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7"/>
          <w:szCs w:val="17"/>
          <w:b w:val="1"/>
          <w:bCs w:val="1"/>
          <w:color w:val="auto"/>
        </w:rPr>
        <w:t>UNITED STATES</w:t>
      </w:r>
    </w:p>
    <w:p>
      <w:pPr>
        <w:spacing w:after="0" w:line="19"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12"/>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163"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92710</wp:posOffset>
            </wp:positionV>
            <wp:extent cx="71323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4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02"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Date of Report (Date of earliest event reported): February 20, 2024</w:t>
      </w:r>
    </w:p>
    <w:p>
      <w:pPr>
        <w:spacing w:after="0" w:line="74" w:lineRule="exact"/>
        <w:rPr>
          <w:sz w:val="24"/>
          <w:szCs w:val="24"/>
          <w:color w:val="auto"/>
        </w:rPr>
      </w:pPr>
    </w:p>
    <w:p>
      <w:pPr>
        <w:jc w:val="center"/>
        <w:ind w:right="32"/>
        <w:spacing w:after="0"/>
        <w:rPr>
          <w:sz w:val="20"/>
          <w:szCs w:val="20"/>
          <w:color w:val="auto"/>
        </w:rPr>
      </w:pPr>
      <w:r>
        <w:rPr>
          <w:rFonts w:ascii="Arial" w:cs="Arial" w:eastAsia="Arial" w:hAnsi="Arial"/>
          <w:sz w:val="24"/>
          <w:szCs w:val="24"/>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666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8" w:lineRule="exact"/>
        <w:rPr>
          <w:sz w:val="24"/>
          <w:szCs w:val="24"/>
          <w:color w:val="auto"/>
        </w:rPr>
      </w:pPr>
    </w:p>
    <w:p>
      <w:pPr>
        <w:jc w:val="center"/>
        <w:ind w:right="32"/>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666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sectPr>
      </w:pPr>
    </w:p>
    <w:p>
      <w:pPr>
        <w:spacing w:after="0" w:line="98" w:lineRule="exact"/>
        <w:rPr>
          <w:sz w:val="24"/>
          <w:szCs w:val="24"/>
          <w:color w:val="auto"/>
        </w:rPr>
      </w:pPr>
    </w:p>
    <w:p>
      <w:pPr>
        <w:jc w:val="center"/>
        <w:ind w:right="1572"/>
        <w:spacing w:after="0"/>
        <w:rPr>
          <w:sz w:val="20"/>
          <w:szCs w:val="20"/>
          <w:color w:val="auto"/>
        </w:rPr>
      </w:pPr>
      <w:r>
        <w:rPr>
          <w:rFonts w:ascii="Arial" w:cs="Arial" w:eastAsia="Arial" w:hAnsi="Arial"/>
          <w:sz w:val="11"/>
          <w:szCs w:val="11"/>
          <w:b w:val="1"/>
          <w:bCs w:val="1"/>
          <w:color w:val="auto"/>
        </w:rPr>
        <w:t>Maryland</w:t>
      </w:r>
    </w:p>
    <w:p>
      <w:pPr>
        <w:spacing w:after="0" w:line="38" w:lineRule="exact"/>
        <w:rPr>
          <w:sz w:val="24"/>
          <w:szCs w:val="24"/>
          <w:color w:val="auto"/>
        </w:rPr>
      </w:pPr>
    </w:p>
    <w:p>
      <w:pPr>
        <w:ind w:left="868"/>
        <w:spacing w:after="0"/>
        <w:rPr>
          <w:sz w:val="20"/>
          <w:szCs w:val="20"/>
          <w:color w:val="auto"/>
        </w:rPr>
      </w:pPr>
      <w:r>
        <w:rPr>
          <w:rFonts w:ascii="Arial" w:cs="Arial" w:eastAsia="Arial" w:hAnsi="Arial"/>
          <w:sz w:val="8"/>
          <w:szCs w:val="8"/>
          <w:b w:val="1"/>
          <w:bCs w:val="1"/>
          <w:color w:val="auto"/>
        </w:rPr>
        <w:t>(State or Other Jurisdiction of</w:t>
      </w:r>
    </w:p>
    <w:p>
      <w:pPr>
        <w:ind w:left="848"/>
        <w:spacing w:after="0"/>
        <w:rPr>
          <w:sz w:val="20"/>
          <w:szCs w:val="20"/>
          <w:color w:val="auto"/>
        </w:rPr>
      </w:pPr>
      <w:r>
        <w:rPr>
          <w:rFonts w:ascii="Arial" w:cs="Arial" w:eastAsia="Arial" w:hAnsi="Arial"/>
          <w:sz w:val="8"/>
          <w:szCs w:val="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200" w:type="dxa"/>
            <w:vAlign w:val="bottom"/>
          </w:tcPr>
          <w:p>
            <w:pPr>
              <w:spacing w:after="0"/>
              <w:rPr>
                <w:sz w:val="20"/>
                <w:szCs w:val="20"/>
                <w:color w:val="auto"/>
              </w:rPr>
            </w:pPr>
            <w:r>
              <w:rPr>
                <w:rFonts w:ascii="Arial" w:cs="Arial" w:eastAsia="Arial" w:hAnsi="Arial"/>
                <w:sz w:val="11"/>
                <w:szCs w:val="11"/>
                <w:b w:val="1"/>
                <w:bCs w:val="1"/>
                <w:color w:val="auto"/>
              </w:rPr>
              <w:t>001-37980</w:t>
            </w:r>
          </w:p>
        </w:tc>
        <w:tc>
          <w:tcPr>
            <w:tcW w:w="2400" w:type="dxa"/>
            <w:vAlign w:val="bottom"/>
          </w:tcPr>
          <w:p>
            <w:pPr>
              <w:jc w:val="center"/>
              <w:ind w:left="1614"/>
              <w:spacing w:after="0"/>
              <w:rPr>
                <w:sz w:val="20"/>
                <w:szCs w:val="20"/>
                <w:color w:val="auto"/>
              </w:rPr>
            </w:pPr>
            <w:r>
              <w:rPr>
                <w:rFonts w:ascii="Arial" w:cs="Arial" w:eastAsia="Arial" w:hAnsi="Arial"/>
                <w:sz w:val="11"/>
                <w:szCs w:val="11"/>
                <w:b w:val="1"/>
                <w:bCs w:val="1"/>
                <w:color w:val="auto"/>
                <w:w w:val="98"/>
              </w:rPr>
              <w:t>46-4591526</w:t>
            </w:r>
          </w:p>
        </w:tc>
      </w:tr>
      <w:tr>
        <w:trPr>
          <w:trHeight w:val="104"/>
        </w:trPr>
        <w:tc>
          <w:tcPr>
            <w:tcW w:w="2200" w:type="dxa"/>
            <w:vAlign w:val="bottom"/>
          </w:tcPr>
          <w:p>
            <w:pPr>
              <w:spacing w:after="0"/>
              <w:rPr>
                <w:sz w:val="20"/>
                <w:szCs w:val="20"/>
                <w:color w:val="auto"/>
              </w:rPr>
            </w:pPr>
            <w:r>
              <w:rPr>
                <w:rFonts w:ascii="Arial" w:cs="Arial" w:eastAsia="Arial" w:hAnsi="Arial"/>
                <w:sz w:val="8"/>
                <w:szCs w:val="8"/>
                <w:b w:val="1"/>
                <w:bCs w:val="1"/>
                <w:color w:val="auto"/>
              </w:rPr>
              <w:t>(Commission</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(I.R.S. Employer</w:t>
            </w:r>
          </w:p>
        </w:tc>
      </w:tr>
      <w:tr>
        <w:trPr>
          <w:trHeight w:val="114"/>
        </w:trPr>
        <w:tc>
          <w:tcPr>
            <w:tcW w:w="2200" w:type="dxa"/>
            <w:vAlign w:val="bottom"/>
          </w:tcPr>
          <w:p>
            <w:pPr>
              <w:spacing w:after="0"/>
              <w:rPr>
                <w:sz w:val="20"/>
                <w:szCs w:val="20"/>
                <w:color w:val="auto"/>
              </w:rPr>
            </w:pPr>
            <w:r>
              <w:rPr>
                <w:rFonts w:ascii="Arial" w:cs="Arial" w:eastAsia="Arial" w:hAnsi="Arial"/>
                <w:sz w:val="8"/>
                <w:szCs w:val="8"/>
                <w:b w:val="1"/>
                <w:bCs w:val="1"/>
                <w:color w:val="auto"/>
              </w:rPr>
              <w:t>File Number)</w:t>
            </w:r>
          </w:p>
        </w:tc>
        <w:tc>
          <w:tcPr>
            <w:tcW w:w="2400" w:type="dxa"/>
            <w:vAlign w:val="bottom"/>
          </w:tcPr>
          <w:p>
            <w:pPr>
              <w:jc w:val="center"/>
              <w:ind w:left="1634"/>
              <w:spacing w:after="0"/>
              <w:rPr>
                <w:sz w:val="20"/>
                <w:szCs w:val="20"/>
                <w:color w:val="auto"/>
              </w:rPr>
            </w:pPr>
            <w:r>
              <w:rPr>
                <w:rFonts w:ascii="Arial" w:cs="Arial" w:eastAsia="Arial" w:hAnsi="Arial"/>
                <w:sz w:val="8"/>
                <w:szCs w:val="8"/>
                <w:b w:val="1"/>
                <w:bCs w:val="1"/>
                <w:color w:val="auto"/>
              </w:rPr>
              <w:t>Identification No.)</w:t>
            </w:r>
          </w:p>
        </w:tc>
      </w:tr>
    </w:tbl>
    <w:p>
      <w:pPr>
        <w:spacing w:after="0" w:line="84" w:lineRule="exact"/>
        <w:rPr>
          <w:sz w:val="24"/>
          <w:szCs w:val="24"/>
          <w:color w:val="auto"/>
        </w:rPr>
      </w:pPr>
    </w:p>
    <w:p>
      <w:pPr>
        <w:sectPr>
          <w:pgSz w:w="11900" w:h="16838" w:orient="portrait"/>
          <w:cols w:equalWidth="0" w:num="2">
            <w:col w:w="4488" w:space="720"/>
            <w:col w:w="6100"/>
          </w:cols>
          <w:pgMar w:left="292" w:top="782" w:right="299" w:bottom="1440" w:gutter="0" w:footer="0" w:header="0"/>
          <w:type w:val="continuous"/>
        </w:sectPr>
      </w:pPr>
    </w:p>
    <w:p>
      <w:pPr>
        <w:jc w:val="center"/>
        <w:ind w:right="-7"/>
        <w:spacing w:after="0"/>
        <w:rPr>
          <w:sz w:val="20"/>
          <w:szCs w:val="20"/>
          <w:color w:val="auto"/>
        </w:rPr>
      </w:pPr>
      <w:r>
        <w:rPr>
          <w:rFonts w:ascii="Arial" w:cs="Arial" w:eastAsia="Arial" w:hAnsi="Arial"/>
          <w:sz w:val="11"/>
          <w:szCs w:val="11"/>
          <w:b w:val="1"/>
          <w:bCs w:val="1"/>
          <w:color w:val="auto"/>
        </w:rPr>
        <w:t>750 Park of Commerce Drive, Suite 210</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Boca Raton, Florida 33487</w:t>
      </w:r>
    </w:p>
    <w:p>
      <w:pPr>
        <w:spacing w:after="0" w:line="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(Address of Principal Executive Offices, Including Zip Code)</w:t>
      </w:r>
    </w:p>
    <w:p>
      <w:pPr>
        <w:spacing w:after="0" w:line="98"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(561) 570-4644</w:t>
      </w:r>
    </w:p>
    <w:p>
      <w:pPr>
        <w:spacing w:after="0" w:line="10"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71"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N/A</w:t>
      </w:r>
    </w:p>
    <w:p>
      <w:pPr>
        <w:spacing w:after="0" w:line="11"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4"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9"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Written communications pursuant to Rule 425 under the Securities Act (17 CFR 230.425)</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Soliciting material pursuant to Rule 14a-12 under the Exchange Act (17 CFR 240.14a-12)</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14d-2(b) under the Exchange Act (17 CFR 240.14d-2(b))</w:t>
      </w:r>
    </w:p>
    <w:p>
      <w:pPr>
        <w:spacing w:after="0" w:line="91" w:lineRule="exact"/>
        <w:rPr>
          <w:rFonts w:ascii="MS PGothic" w:cs="MS PGothic" w:eastAsia="MS PGothic" w:hAnsi="MS PGothic"/>
          <w:sz w:val="11"/>
          <w:szCs w:val="11"/>
          <w:color w:val="auto"/>
        </w:rPr>
      </w:pPr>
    </w:p>
    <w:p>
      <w:pPr>
        <w:ind w:left="328" w:hanging="328"/>
        <w:spacing w:after="0"/>
        <w:tabs>
          <w:tab w:leader="none" w:pos="328" w:val="left"/>
        </w:tabs>
        <w:numPr>
          <w:ilvl w:val="0"/>
          <w:numId w:val="1"/>
        </w:numPr>
        <w:rPr>
          <w:rFonts w:ascii="MS PGothic" w:cs="MS PGothic" w:eastAsia="MS PGothic" w:hAnsi="MS PGothic"/>
          <w:sz w:val="11"/>
          <w:szCs w:val="11"/>
          <w:color w:val="auto"/>
        </w:rPr>
      </w:pPr>
      <w:r>
        <w:rPr>
          <w:rFonts w:ascii="Arial" w:cs="Arial" w:eastAsia="Arial" w:hAnsi="Arial"/>
          <w:sz w:val="10"/>
          <w:szCs w:val="1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99" w:lineRule="exact"/>
        <w:rPr>
          <w:sz w:val="24"/>
          <w:szCs w:val="24"/>
          <w:color w:val="auto"/>
        </w:rPr>
      </w:pPr>
    </w:p>
    <w:tbl>
      <w:tblPr>
        <w:tblLayout w:type="fixed"/>
        <w:tblInd w:w="88" w:type="dxa"/>
        <w:tblCellMar>
          <w:top w:w="0" w:type="dxa"/>
          <w:left w:w="0" w:type="dxa"/>
          <w:bottom w:w="0" w:type="dxa"/>
          <w:right w:w="0" w:type="dxa"/>
        </w:tblCellMar>
      </w:tblPr>
      <w:tr>
        <w:trPr>
          <w:trHeight w:val="114"/>
        </w:trPr>
        <w:tc>
          <w:tcPr>
            <w:tcW w:w="12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400" w:type="dxa"/>
            <w:vAlign w:val="bottom"/>
            <w:gridSpan w:val="4"/>
          </w:tcPr>
          <w:p>
            <w:pPr>
              <w:ind w:left="400"/>
              <w:spacing w:after="0"/>
              <w:rPr>
                <w:sz w:val="20"/>
                <w:szCs w:val="20"/>
                <w:color w:val="auto"/>
              </w:rPr>
            </w:pPr>
            <w:r>
              <w:rPr>
                <w:rFonts w:ascii="Arial" w:cs="Arial" w:eastAsia="Arial" w:hAnsi="Arial"/>
                <w:sz w:val="8"/>
                <w:szCs w:val="8"/>
                <w:b w:val="1"/>
                <w:bCs w:val="1"/>
                <w:color w:val="auto"/>
              </w:rPr>
              <w:t>Securities registered pursuant to Section 12(b) of the Act:</w:t>
            </w:r>
          </w:p>
        </w:tc>
        <w:tc>
          <w:tcPr>
            <w:tcW w:w="2720" w:type="dxa"/>
            <w:vAlign w:val="bottom"/>
          </w:tcPr>
          <w:p>
            <w:pPr>
              <w:spacing w:after="0"/>
              <w:rPr>
                <w:sz w:val="9"/>
                <w:szCs w:val="9"/>
                <w:color w:val="auto"/>
              </w:rPr>
            </w:pPr>
          </w:p>
        </w:tc>
      </w:tr>
      <w:tr>
        <w:trPr>
          <w:trHeight w:val="120"/>
        </w:trPr>
        <w:tc>
          <w:tcPr>
            <w:tcW w:w="12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Class</w:t>
            </w:r>
          </w:p>
        </w:tc>
        <w:tc>
          <w:tcPr>
            <w:tcW w:w="282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34"/>
        </w:trPr>
        <w:tc>
          <w:tcPr>
            <w:tcW w:w="4020" w:type="dxa"/>
            <w:vAlign w:val="bottom"/>
            <w:gridSpan w:val="2"/>
          </w:tcPr>
          <w:p>
            <w:pPr>
              <w:spacing w:after="0"/>
              <w:rPr>
                <w:sz w:val="20"/>
                <w:szCs w:val="20"/>
                <w:color w:val="auto"/>
              </w:rPr>
            </w:pPr>
            <w:r>
              <w:rPr>
                <w:rFonts w:ascii="Arial" w:cs="Arial" w:eastAsia="Arial" w:hAnsi="Arial"/>
                <w:sz w:val="11"/>
                <w:szCs w:val="11"/>
                <w:color w:val="auto"/>
              </w:rPr>
              <w:t>Class A Common Stock, $0.01 par value</w:t>
            </w: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4"/>
              </w:rPr>
              <w:t>DBRG</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1200" w:type="dxa"/>
            <w:vAlign w:val="bottom"/>
          </w:tcPr>
          <w:p>
            <w:pPr>
              <w:spacing w:after="0"/>
              <w:rPr>
                <w:sz w:val="20"/>
                <w:szCs w:val="20"/>
                <w:color w:val="auto"/>
              </w:rPr>
            </w:pPr>
            <w:r>
              <w:rPr>
                <w:rFonts w:ascii="Arial" w:cs="Arial" w:eastAsia="Arial" w:hAnsi="Arial"/>
                <w:sz w:val="11"/>
                <w:szCs w:val="11"/>
                <w:color w:val="auto"/>
                <w:w w:val="98"/>
              </w:rPr>
              <w:t>Preferred Stock, 7.125%</w:t>
            </w:r>
          </w:p>
        </w:tc>
        <w:tc>
          <w:tcPr>
            <w:tcW w:w="2820" w:type="dxa"/>
            <w:vAlign w:val="bottom"/>
          </w:tcPr>
          <w:p>
            <w:pPr>
              <w:spacing w:after="0"/>
              <w:rPr>
                <w:sz w:val="20"/>
                <w:szCs w:val="20"/>
                <w:color w:val="auto"/>
              </w:rPr>
            </w:pPr>
            <w:r>
              <w:rPr>
                <w:rFonts w:ascii="Arial" w:cs="Arial" w:eastAsia="Arial" w:hAnsi="Arial"/>
                <w:sz w:val="11"/>
                <w:szCs w:val="11"/>
                <w:color w:val="auto"/>
              </w:rPr>
              <w:t>Series H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9"/>
              </w:rPr>
              <w:t>DBRG.PRH</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4020" w:type="dxa"/>
            <w:vAlign w:val="bottom"/>
            <w:gridSpan w:val="2"/>
          </w:tcPr>
          <w:p>
            <w:pPr>
              <w:spacing w:after="0"/>
              <w:rPr>
                <w:sz w:val="20"/>
                <w:szCs w:val="20"/>
                <w:color w:val="auto"/>
              </w:rPr>
            </w:pPr>
            <w:r>
              <w:rPr>
                <w:rFonts w:ascii="Arial" w:cs="Arial" w:eastAsia="Arial" w:hAnsi="Arial"/>
                <w:sz w:val="11"/>
                <w:szCs w:val="11"/>
                <w:color w:val="auto"/>
              </w:rPr>
              <w:t>Preferred Stock, 7.15% Series I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DBRG.PRI</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r>
        <w:trPr>
          <w:trHeight w:val="144"/>
        </w:trPr>
        <w:tc>
          <w:tcPr>
            <w:tcW w:w="1200" w:type="dxa"/>
            <w:vAlign w:val="bottom"/>
          </w:tcPr>
          <w:p>
            <w:pPr>
              <w:spacing w:after="0"/>
              <w:rPr>
                <w:sz w:val="20"/>
                <w:szCs w:val="20"/>
                <w:color w:val="auto"/>
              </w:rPr>
            </w:pPr>
            <w:r>
              <w:rPr>
                <w:rFonts w:ascii="Arial" w:cs="Arial" w:eastAsia="Arial" w:hAnsi="Arial"/>
                <w:sz w:val="11"/>
                <w:szCs w:val="11"/>
                <w:color w:val="auto"/>
                <w:w w:val="98"/>
              </w:rPr>
              <w:t>Preferred Stock, 7.125%</w:t>
            </w:r>
          </w:p>
        </w:tc>
        <w:tc>
          <w:tcPr>
            <w:tcW w:w="2820" w:type="dxa"/>
            <w:vAlign w:val="bottom"/>
          </w:tcPr>
          <w:p>
            <w:pPr>
              <w:spacing w:after="0"/>
              <w:rPr>
                <w:sz w:val="20"/>
                <w:szCs w:val="20"/>
                <w:color w:val="auto"/>
              </w:rPr>
            </w:pPr>
            <w:r>
              <w:rPr>
                <w:rFonts w:ascii="Arial" w:cs="Arial" w:eastAsia="Arial" w:hAnsi="Arial"/>
                <w:sz w:val="11"/>
                <w:szCs w:val="11"/>
                <w:color w:val="auto"/>
              </w:rPr>
              <w:t>Series J Cumulative Redeemable, $0.01 par value</w:t>
            </w: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DBRG.PRJ</w:t>
            </w:r>
          </w:p>
        </w:tc>
        <w:tc>
          <w:tcPr>
            <w:tcW w:w="2720" w:type="dxa"/>
            <w:vAlign w:val="bottom"/>
          </w:tcPr>
          <w:p>
            <w:pPr>
              <w:jc w:val="center"/>
              <w:spacing w:after="0"/>
              <w:rPr>
                <w:sz w:val="20"/>
                <w:szCs w:val="20"/>
                <w:color w:val="auto"/>
              </w:rPr>
            </w:pPr>
            <w:r>
              <w:rPr>
                <w:rFonts w:ascii="Arial" w:cs="Arial" w:eastAsia="Arial" w:hAnsi="Arial"/>
                <w:sz w:val="11"/>
                <w:szCs w:val="11"/>
                <w:color w:val="auto"/>
                <w:w w:val="98"/>
              </w:rPr>
              <w:t>New York Stock Exchange</w:t>
            </w:r>
          </w:p>
        </w:tc>
      </w:tr>
    </w:tbl>
    <w:p>
      <w:pPr>
        <w:spacing w:after="0" w:line="141" w:lineRule="exact"/>
        <w:rPr>
          <w:sz w:val="24"/>
          <w:szCs w:val="24"/>
          <w:color w:val="auto"/>
        </w:rPr>
      </w:pPr>
    </w:p>
    <w:p>
      <w:pPr>
        <w:ind w:left="8"/>
        <w:spacing w:after="0"/>
        <w:rPr>
          <w:sz w:val="20"/>
          <w:szCs w:val="20"/>
          <w:color w:val="auto"/>
        </w:rPr>
      </w:pPr>
      <w:r>
        <w:rPr>
          <w:rFonts w:ascii="Arial" w:cs="Arial" w:eastAsia="Arial" w:hAnsi="Arial"/>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tbl>
      <w:tblPr>
        <w:tblLayout w:type="fixed"/>
        <w:tblInd w:w="8" w:type="dxa"/>
        <w:tblCellMar>
          <w:top w:w="0" w:type="dxa"/>
          <w:left w:w="0" w:type="dxa"/>
          <w:bottom w:w="0" w:type="dxa"/>
          <w:right w:w="0" w:type="dxa"/>
        </w:tblCellMar>
      </w:tblPr>
      <w:tr>
        <w:trPr>
          <w:trHeight w:val="189"/>
        </w:trPr>
        <w:tc>
          <w:tcPr>
            <w:tcW w:w="8700" w:type="dxa"/>
            <w:vAlign w:val="bottom"/>
          </w:tcPr>
          <w:p>
            <w:pPr>
              <w:ind w:left="280"/>
              <w:spacing w:after="0"/>
              <w:rPr>
                <w:sz w:val="20"/>
                <w:szCs w:val="20"/>
                <w:color w:val="auto"/>
              </w:rPr>
            </w:pPr>
            <w:r>
              <w:rPr>
                <w:rFonts w:ascii="Arial" w:cs="Arial" w:eastAsia="Arial" w:hAnsi="Arial"/>
                <w:sz w:val="10"/>
                <w:szCs w:val="10"/>
                <w:color w:val="auto"/>
              </w:rPr>
              <w:t>Emerging growth company</w:t>
            </w:r>
          </w:p>
        </w:tc>
        <w:tc>
          <w:tcPr>
            <w:tcW w:w="260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33"/>
        </w:trPr>
        <w:tc>
          <w:tcPr>
            <w:tcW w:w="8700" w:type="dxa"/>
            <w:vAlign w:val="bottom"/>
          </w:tcPr>
          <w:p>
            <w:pPr>
              <w:ind w:left="280"/>
              <w:spacing w:after="0"/>
              <w:rPr>
                <w:sz w:val="20"/>
                <w:szCs w:val="20"/>
                <w:color w:val="auto"/>
              </w:rPr>
            </w:pPr>
            <w:r>
              <w:rPr>
                <w:rFonts w:ascii="Arial" w:cs="Arial" w:eastAsia="Arial" w:hAnsi="Arial"/>
                <w:sz w:val="10"/>
                <w:szCs w:val="10"/>
                <w:color w:val="auto"/>
                <w:w w:val="97"/>
              </w:rPr>
              <w:t>If an emerging growth company, indicate by check mark if the registrant has elected not to use the extended transition period for complying with any new or revised financial accounting standards</w:t>
            </w:r>
          </w:p>
        </w:tc>
        <w:tc>
          <w:tcPr>
            <w:tcW w:w="260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r>
      <w:tr>
        <w:trPr>
          <w:trHeight w:val="125"/>
        </w:trPr>
        <w:tc>
          <w:tcPr>
            <w:tcW w:w="8700" w:type="dxa"/>
            <w:vAlign w:val="bottom"/>
          </w:tcPr>
          <w:p>
            <w:pPr>
              <w:ind w:left="280"/>
              <w:spacing w:after="0"/>
              <w:rPr>
                <w:sz w:val="20"/>
                <w:szCs w:val="20"/>
                <w:color w:val="auto"/>
              </w:rPr>
            </w:pPr>
            <w:r>
              <w:rPr>
                <w:rFonts w:ascii="Arial" w:cs="Arial" w:eastAsia="Arial" w:hAnsi="Arial"/>
                <w:sz w:val="10"/>
                <w:szCs w:val="10"/>
                <w:color w:val="auto"/>
              </w:rPr>
              <w:t>provided pursuant to Section 13(a) of the Exchange Act.</w:t>
            </w:r>
          </w:p>
        </w:tc>
        <w:tc>
          <w:tcPr>
            <w:tcW w:w="2600" w:type="dxa"/>
            <w:vAlign w:val="bottom"/>
          </w:tcPr>
          <w:p>
            <w:pPr>
              <w:spacing w:after="0"/>
              <w:rPr>
                <w:sz w:val="10"/>
                <w:szCs w:val="10"/>
                <w:color w:val="auto"/>
              </w:rPr>
            </w:pPr>
          </w:p>
        </w:tc>
      </w:tr>
      <w:tr>
        <w:trPr>
          <w:trHeight w:val="799"/>
        </w:trPr>
        <w:tc>
          <w:tcPr>
            <w:tcW w:w="87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82"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68"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2"/>
          <w:szCs w:val="12"/>
          <w:color w:val="auto"/>
        </w:rPr>
        <w:t>On February 20, 2024, DigitalBridge Group, Inc. (the “Company”) issued an earnings release and detailed presentation announcing its financial position as of December 31, 2023 and its financial results for the quarter and full year ended December 31, 2023. A copy of the earnings release is attached as Exhibit 99.1 to this Current Report on Form 8-K.</w:t>
      </w:r>
    </w:p>
    <w:p>
      <w:pPr>
        <w:spacing w:after="0" w:line="31"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2"/>
          <w:szCs w:val="12"/>
          <w:color w:val="auto"/>
        </w:rPr>
        <w:t>On February 20, 2024, the Company also made available a Supplemental Financial Disclosure Presentation for the quarter ended December 31, 2023. A copy of the Supplemental Financial Disclosure Presentation is attached as Exhibit 99.2 to this Current Report on Form 8-K.</w:t>
      </w:r>
    </w:p>
    <w:p>
      <w:pPr>
        <w:spacing w:after="0" w:line="13" w:lineRule="exact"/>
        <w:rPr>
          <w:sz w:val="20"/>
          <w:szCs w:val="20"/>
          <w:color w:val="auto"/>
        </w:rPr>
      </w:pPr>
    </w:p>
    <w:p>
      <w:pPr>
        <w:jc w:val="both"/>
        <w:ind w:firstLine="270"/>
        <w:spacing w:after="0" w:line="268" w:lineRule="auto"/>
        <w:rPr>
          <w:sz w:val="20"/>
          <w:szCs w:val="20"/>
          <w:color w:val="auto"/>
        </w:rPr>
      </w:pPr>
      <w:r>
        <w:rPr>
          <w:rFonts w:ascii="Arial" w:cs="Arial" w:eastAsia="Arial" w:hAnsi="Arial"/>
          <w:sz w:val="12"/>
          <w:szCs w:val="12"/>
          <w:color w:val="auto"/>
        </w:rPr>
        <w:t>The information included in this Current Report on Form 8-K (including Exhibits 99.1 and 99.2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Use of Website to Distribute Material Company Information</w:t>
      </w:r>
    </w:p>
    <w:p>
      <w:pPr>
        <w:spacing w:after="0" w:line="112"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0" w:lineRule="exact"/>
        <w:rPr>
          <w:sz w:val="20"/>
          <w:szCs w:val="20"/>
          <w:color w:val="auto"/>
        </w:rPr>
      </w:pPr>
    </w:p>
    <w:p>
      <w:pPr>
        <w:ind w:left="440" w:hanging="178"/>
        <w:spacing w:after="0"/>
        <w:tabs>
          <w:tab w:leader="none" w:pos="440" w:val="left"/>
        </w:tabs>
        <w:numPr>
          <w:ilvl w:val="0"/>
          <w:numId w:val="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Exhibits. </w:t>
      </w:r>
      <w:r>
        <w:rPr>
          <w:rFonts w:ascii="Arial" w:cs="Arial" w:eastAsia="Arial" w:hAnsi="Arial"/>
          <w:sz w:val="12"/>
          <w:szCs w:val="12"/>
          <w:color w:val="auto"/>
        </w:rPr>
        <w:t>The following exhibits are being furnished herewith to this Current Report on Form 8-K.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60" w:type="dxa"/>
            <w:vAlign w:val="bottom"/>
            <w:gridSpan w:val="4"/>
          </w:tcPr>
          <w:p>
            <w:pPr>
              <w:ind w:left="340"/>
              <w:spacing w:after="0"/>
              <w:rPr>
                <w:sz w:val="20"/>
                <w:szCs w:val="20"/>
                <w:color w:val="auto"/>
              </w:rPr>
            </w:pPr>
            <w:r>
              <w:rPr>
                <w:rFonts w:ascii="Arial" w:cs="Arial" w:eastAsia="Arial" w:hAnsi="Arial"/>
                <w:sz w:val="12"/>
                <w:szCs w:val="12"/>
                <w:b w:val="1"/>
                <w:bCs w:val="1"/>
                <w:color w:val="auto"/>
              </w:rPr>
              <w:t>Exhibit No.</w:t>
            </w:r>
          </w:p>
        </w:tc>
        <w:tc>
          <w:tcPr>
            <w:tcW w:w="9820" w:type="dxa"/>
            <w:vAlign w:val="bottom"/>
            <w:gridSpan w:val="2"/>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tcBorders>
            <w:gridSpan w:val="2"/>
          </w:tcPr>
          <w:p>
            <w:pPr>
              <w:jc w:val="center"/>
              <w:ind w:left="480"/>
              <w:spacing w:after="0" w:line="115" w:lineRule="exact"/>
              <w:rPr>
                <w:sz w:val="20"/>
                <w:szCs w:val="20"/>
                <w:color w:val="auto"/>
              </w:rPr>
            </w:pPr>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1</w:t>
            </w: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80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2"/>
                <w:szCs w:val="12"/>
                <w:color w:val="auto"/>
              </w:rPr>
              <w:t>Earnings Release dated February 20, 2024</w:t>
            </w:r>
          </w:p>
        </w:tc>
        <w:tc>
          <w:tcPr>
            <w:tcW w:w="20" w:type="dxa"/>
            <w:vAlign w:val="bottom"/>
          </w:tcPr>
          <w:p>
            <w:pPr>
              <w:spacing w:after="0"/>
              <w:rPr>
                <w:sz w:val="10"/>
                <w:szCs w:val="10"/>
                <w:color w:val="auto"/>
              </w:rPr>
            </w:pPr>
          </w:p>
        </w:tc>
      </w:tr>
      <w:tr>
        <w:trPr>
          <w:trHeight w:val="20"/>
        </w:trPr>
        <w:tc>
          <w:tcPr>
            <w:tcW w:w="580" w:type="dxa"/>
            <w:vAlign w:val="bottom"/>
            <w:tcBorders>
              <w:right w:val="single" w:sz="8" w:color="0000FF"/>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33"/>
        </w:trPr>
        <w:tc>
          <w:tcPr>
            <w:tcW w:w="780" w:type="dxa"/>
            <w:vAlign w:val="bottom"/>
            <w:gridSpan w:val="3"/>
          </w:tcPr>
          <w:p>
            <w:pPr>
              <w:jc w:val="center"/>
              <w:ind w:left="500"/>
              <w:spacing w:after="0" w:line="133" w:lineRule="exact"/>
              <w:rPr>
                <w:sz w:val="20"/>
                <w:szCs w:val="20"/>
                <w:color w:val="auto"/>
              </w:rPr>
            </w:pPr>
            <w:r>
              <w:rPr>
                <w:rFonts w:ascii="Arial" w:cs="Arial" w:eastAsia="Arial" w:hAnsi="Arial"/>
                <w:sz w:val="12"/>
                <w:szCs w:val="12"/>
                <w:color w:val="0000FF"/>
                <w:w w:val="93"/>
              </w:rPr>
              <w:t>99.</w:t>
            </w:r>
            <w:r>
              <w:rPr>
                <w:rFonts w:ascii="Arial" w:cs="Arial" w:eastAsia="Arial" w:hAnsi="Arial"/>
                <w:sz w:val="12"/>
                <w:szCs w:val="12"/>
                <w:u w:val="single" w:color="auto"/>
                <w:color w:val="0000FF"/>
                <w:w w:val="93"/>
              </w:rPr>
              <w:t>2</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2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Supplemental Financial Disclosure Presentation for the quarter ended December 31, 2023</w:t>
            </w:r>
          </w:p>
        </w:tc>
      </w:tr>
      <w:tr>
        <w:trPr>
          <w:trHeight w:val="20"/>
        </w:trPr>
        <w:tc>
          <w:tcPr>
            <w:tcW w:w="5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20" w:type="dxa"/>
            <w:vAlign w:val="bottom"/>
            <w:gridSpan w:val="2"/>
          </w:tcPr>
          <w:p>
            <w:pPr>
              <w:spacing w:after="0" w:line="20" w:lineRule="exact"/>
              <w:rPr>
                <w:sz w:val="1"/>
                <w:szCs w:val="1"/>
                <w:color w:val="auto"/>
              </w:rPr>
            </w:pPr>
          </w:p>
        </w:tc>
      </w:tr>
      <w:tr>
        <w:trPr>
          <w:trHeight w:val="162"/>
        </w:trPr>
        <w:tc>
          <w:tcPr>
            <w:tcW w:w="780" w:type="dxa"/>
            <w:vAlign w:val="bottom"/>
            <w:gridSpan w:val="3"/>
          </w:tcPr>
          <w:p>
            <w:pPr>
              <w:jc w:val="center"/>
              <w:ind w:left="480"/>
              <w:spacing w:after="0"/>
              <w:rPr>
                <w:sz w:val="20"/>
                <w:szCs w:val="20"/>
                <w:color w:val="auto"/>
              </w:rPr>
            </w:pPr>
            <w:r>
              <w:rPr>
                <w:rFonts w:ascii="Arial" w:cs="Arial" w:eastAsia="Arial" w:hAnsi="Arial"/>
                <w:sz w:val="12"/>
                <w:szCs w:val="12"/>
                <w:color w:val="auto"/>
                <w:w w:val="99"/>
              </w:rPr>
              <w:t>104</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20" w:type="dxa"/>
            <w:vAlign w:val="bottom"/>
            <w:gridSpan w:val="2"/>
          </w:tcPr>
          <w:p>
            <w:pPr>
              <w:ind w:left="20"/>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799"/>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2" w:right="2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2"/>
          <w:szCs w:val="12"/>
          <w:b w:val="1"/>
          <w:bCs w:val="1"/>
          <w:color w:val="auto"/>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348" w:lineRule="exact"/>
        <w:rPr>
          <w:sz w:val="20"/>
          <w:szCs w:val="20"/>
          <w:color w:val="auto"/>
        </w:rPr>
      </w:pPr>
    </w:p>
    <w:p>
      <w:pPr>
        <w:ind w:left="20"/>
        <w:spacing w:after="0"/>
        <w:tabs>
          <w:tab w:leader="none" w:pos="660" w:val="left"/>
          <w:tab w:leader="none" w:pos="58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February 20, 2024</w:t>
      </w:r>
      <w:r>
        <w:rPr>
          <w:sz w:val="20"/>
          <w:szCs w:val="20"/>
          <w:color w:val="auto"/>
        </w:rPr>
        <w:tab/>
      </w:r>
      <w:r>
        <w:rPr>
          <w:rFonts w:ascii="Arial" w:cs="Arial" w:eastAsia="Arial" w:hAnsi="Arial"/>
          <w:sz w:val="11"/>
          <w:szCs w:val="11"/>
          <w:b w:val="1"/>
          <w:bCs w:val="1"/>
          <w:color w:val="auto"/>
        </w:rPr>
        <w:t>DIGITALBRIDGE GROUP, INC.</w:t>
      </w:r>
    </w:p>
    <w:p>
      <w:pPr>
        <w:spacing w:after="0" w:line="204" w:lineRule="exact"/>
        <w:rPr>
          <w:sz w:val="20"/>
          <w:szCs w:val="20"/>
          <w:color w:val="auto"/>
        </w:rPr>
      </w:pPr>
    </w:p>
    <w:p>
      <w:pPr>
        <w:ind w:left="6200"/>
        <w:spacing w:after="0"/>
        <w:tabs>
          <w:tab w:leader="none" w:pos="84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23495</wp:posOffset>
            </wp:positionV>
            <wp:extent cx="29952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5295" cy="5715"/>
                    </a:xfrm>
                    <a:prstGeom prst="rect">
                      <a:avLst/>
                    </a:prstGeom>
                    <a:noFill/>
                  </pic:spPr>
                </pic:pic>
              </a:graphicData>
            </a:graphic>
          </wp:anchor>
        </w:drawing>
      </w:r>
    </w:p>
    <w:p>
      <w:pPr>
        <w:spacing w:after="0" w:line="26" w:lineRule="exact"/>
        <w:rPr>
          <w:sz w:val="20"/>
          <w:szCs w:val="20"/>
          <w:color w:val="auto"/>
        </w:rPr>
      </w:pPr>
    </w:p>
    <w:p>
      <w:pPr>
        <w:jc w:val="center"/>
        <w:ind w:left="6920"/>
        <w:spacing w:after="0"/>
        <w:rPr>
          <w:sz w:val="20"/>
          <w:szCs w:val="20"/>
          <w:color w:val="auto"/>
        </w:rPr>
      </w:pPr>
      <w:r>
        <w:rPr>
          <w:rFonts w:ascii="Arial" w:cs="Arial" w:eastAsia="Arial" w:hAnsi="Arial"/>
          <w:sz w:val="11"/>
          <w:szCs w:val="11"/>
          <w:b w:val="1"/>
          <w:bCs w:val="1"/>
          <w:color w:val="auto"/>
        </w:rPr>
        <w:t>Jacky Wu</w:t>
      </w:r>
    </w:p>
    <w:p>
      <w:pPr>
        <w:spacing w:after="0" w:line="21" w:lineRule="exact"/>
        <w:rPr>
          <w:sz w:val="20"/>
          <w:szCs w:val="20"/>
          <w:color w:val="auto"/>
        </w:rPr>
      </w:pPr>
    </w:p>
    <w:p>
      <w:pPr>
        <w:jc w:val="center"/>
        <w:ind w:left="6920"/>
        <w:spacing w:after="0"/>
        <w:rPr>
          <w:sz w:val="20"/>
          <w:szCs w:val="20"/>
          <w:color w:val="auto"/>
        </w:rPr>
      </w:pPr>
      <w:r>
        <w:rPr>
          <w:rFonts w:ascii="Arial" w:cs="Arial" w:eastAsia="Arial" w:hAnsi="Arial"/>
          <w:sz w:val="10"/>
          <w:szCs w:val="10"/>
          <w:b w:val="1"/>
          <w:bCs w:val="1"/>
          <w:color w:val="auto"/>
        </w:rPr>
        <w:t>Executive Vice President, Chief Financial Officer and Treasurer</w:t>
      </w:r>
    </w:p>
    <w:p>
      <w:pPr>
        <w:sectPr>
          <w:pgSz w:w="11900" w:h="16838" w:orient="portrait"/>
          <w:cols w:equalWidth="0" w:num="1">
            <w:col w:w="10460"/>
          </w:cols>
          <w:pgMar w:left="560" w:top="640" w:right="87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67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67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4669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66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26"/>
          <w:szCs w:val="26"/>
          <w:color w:val="auto"/>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60"/>
        <w:spacing w:after="0" w:line="254" w:lineRule="auto"/>
        <w:rPr>
          <w:sz w:val="20"/>
          <w:szCs w:val="20"/>
          <w:color w:val="auto"/>
        </w:rPr>
      </w:pPr>
      <w:r>
        <w:rPr>
          <w:rFonts w:ascii="Arial" w:cs="Arial" w:eastAsia="Arial" w:hAnsi="Arial"/>
          <w:sz w:val="11"/>
          <w:szCs w:val="11"/>
          <w:color w:val="424242"/>
        </w:rPr>
        <w:t>This presentation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49" w:lineRule="exact"/>
        <w:rPr>
          <w:sz w:val="20"/>
          <w:szCs w:val="20"/>
          <w:color w:val="auto"/>
        </w:rPr>
      </w:pPr>
    </w:p>
    <w:p>
      <w:pPr>
        <w:spacing w:after="0" w:line="247" w:lineRule="auto"/>
        <w:rPr>
          <w:sz w:val="20"/>
          <w:szCs w:val="20"/>
          <w:color w:val="auto"/>
        </w:rPr>
      </w:pPr>
      <w:r>
        <w:rPr>
          <w:rFonts w:ascii="Arial" w:cs="Arial" w:eastAsia="Arial" w:hAnsi="Arial"/>
          <w:sz w:val="11"/>
          <w:szCs w:val="11"/>
          <w:color w:val="424242"/>
        </w:rPr>
        <w:t>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difficult market and political conditions, including those resulting from supply chain difficulties, inflation, higher interest rates, a general economic slowdown or a recession; our ability to raise capital from investors for our Company, our funds and the companies that we manage; the performance of our funds and investments relative to our expectations and the highly variable nature of our revenues, earnings and cash flow; our exposure to risks inherent in the ownership and operation of infrastructure and digital infrastructure assets, including our reliance on third-party suppliers to provide power, network connectivity and certain other services to our managed companies; our exposure to business risks in Europe, Asia, Latin America and other foreign markets; our ability to increase assets under management and expand our existing and new investment strategies while maintaining consistent standards and controls; our ability to appropriately manage conflicts of interest; our ability to expand into new investment strategies, geographic markets and businesses, including through acquisitions in the infrastructure and investment management industries; the impact of climate change and regulatory efforts associated with environmental, social and governance matters; our ability to maintain effective information and cybersecurity policies, procedures and capabilities and the impact of any cybersecurity incident affecting our systems or network or the system and network of any of our managed companies or service providers; the ability of our portfolio companies to attract and retain key customers and to provide reliable services without disruption; any litigation and contractual claims against us and our affiliates, including potential settlement and litigation of such claims; our ability to obtain and maintain financing arrangements, including securitizations, on favorable or comparable terms or at all; the general volatility of the securities markets in which we participate; the market value of our assets and effects of hedging instruments on our assets; the impact of legislative, regulatory and competitive changes, including those related to privacy and data protection and new Securities and Exchange Commission (“SEC”) rules governing investment advisers; whether we will be able to utilize existing tax attributes to offset taxable income to the extent contemplated; our ability to maintain our exemption from registration as an investment company under the Investment Company Act of 1940, as amended; changes in our board of directors or management team, and availability of qualified personnel; our ability to make or maintain distributions to our stockholders; our understanding of and ability to successfully navigate the competitive landscape in which we and our managed companies operate and other risks and uncertainties, including those detailed in the Company’s Annual Report on Form 10-K for the fiscal year ended December 31, 2022 under the heading “Risk Factors,” as such factors may be updated from time to time in the Company’s subsequent periodic filings with the U.S. Securities and Exchange Commission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w:t>
      </w:r>
    </w:p>
    <w:p>
      <w:pPr>
        <w:spacing w:after="0" w:line="145"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424242"/>
        </w:rPr>
        <w:t>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w:t>
      </w:r>
    </w:p>
    <w:p>
      <w:pPr>
        <w:spacing w:after="0" w:line="150" w:lineRule="exact"/>
        <w:rPr>
          <w:sz w:val="20"/>
          <w:szCs w:val="20"/>
          <w:color w:val="auto"/>
        </w:rPr>
      </w:pPr>
    </w:p>
    <w:p>
      <w:pPr>
        <w:ind w:right="260"/>
        <w:spacing w:after="0" w:line="273" w:lineRule="auto"/>
        <w:rPr>
          <w:sz w:val="20"/>
          <w:szCs w:val="20"/>
          <w:color w:val="auto"/>
        </w:rPr>
      </w:pPr>
      <w:r>
        <w:rPr>
          <w:rFonts w:ascii="Arial" w:cs="Arial" w:eastAsia="Arial" w:hAnsi="Arial"/>
          <w:sz w:val="11"/>
          <w:szCs w:val="11"/>
          <w:b w:val="1"/>
          <w:bCs w:val="1"/>
          <w:color w:val="424242"/>
        </w:rPr>
        <w:t>This presentation is for informational purposes only and does not constitute an offer to sell or a solicitation of an offer to buy any securities of the Company. This information is not intended to be indicative of future results. Actual performance of the Company may vary materially.</w:t>
      </w:r>
    </w:p>
    <w:p>
      <w:pPr>
        <w:spacing w:after="0"/>
        <w:rPr>
          <w:sz w:val="20"/>
          <w:szCs w:val="20"/>
          <w:color w:val="auto"/>
        </w:rPr>
      </w:pPr>
      <w:r>
        <w:rPr>
          <w:rFonts w:ascii="Arial" w:cs="Arial" w:eastAsia="Arial" w:hAnsi="Arial"/>
          <w:sz w:val="11"/>
          <w:szCs w:val="11"/>
          <w:b w:val="1"/>
          <w:bCs w:val="1"/>
          <w:color w:val="424242"/>
        </w:rPr>
        <w:t>The appendices herein contain important definitions and information that is material to an understanding of this presentation and you should read this presentation only with and in context of the appendices.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260"/>
          </w:cols>
          <w:pgMar w:left="300" w:top="136" w:right="339" w:bottom="1440" w:gutter="0" w:footer="0" w:header="0"/>
        </w:sectPr>
      </w:pPr>
    </w:p>
    <w:bookmarkStart w:id="42" w:name="page43"/>
    <w:bookmarkEnd w:id="42"/>
    <w:p>
      <w:pPr>
        <w:spacing w:after="0"/>
        <w:rPr>
          <w:sz w:val="20"/>
          <w:szCs w:val="20"/>
          <w:color w:val="auto"/>
        </w:rPr>
      </w:pPr>
      <w:r>
        <w:rPr>
          <w:rFonts w:ascii="Arial" w:cs="Arial" w:eastAsia="Arial" w:hAnsi="Arial"/>
          <w:sz w:val="26"/>
          <w:szCs w:val="26"/>
          <w:color w:val="auto"/>
        </w:rPr>
        <w:t>Important 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color w:val="424242"/>
        </w:rPr>
        <w:t>This financial supplemental package includes certain non-GAAP financial measures and operating metrics that are not defined by generally accepted accounting principles, or GAAP.</w:t>
      </w:r>
    </w:p>
    <w:p>
      <w:pPr>
        <w:spacing w:after="0" w:line="162" w:lineRule="exact"/>
        <w:rPr>
          <w:sz w:val="20"/>
          <w:szCs w:val="20"/>
          <w:color w:val="auto"/>
        </w:rPr>
      </w:pPr>
    </w:p>
    <w:p>
      <w:pPr>
        <w:ind w:right="140"/>
        <w:spacing w:after="0" w:line="314" w:lineRule="auto"/>
        <w:rPr>
          <w:sz w:val="20"/>
          <w:szCs w:val="20"/>
          <w:color w:val="auto"/>
        </w:rPr>
      </w:pPr>
      <w:r>
        <w:rPr>
          <w:rFonts w:ascii="Arial" w:cs="Arial" w:eastAsia="Arial" w:hAnsi="Arial"/>
          <w:sz w:val="10"/>
          <w:szCs w:val="10"/>
          <w:color w:val="424242"/>
        </w:rPr>
        <w:t>The Company conducts its business through its one reportable segment of Investment Management. On December 31, 2023, the Operating segment was discontinued following full deconsolidation of the portfolio companies in the Operating segment, at which time, the activities thereof qualified as discontinued operations. Accordingly, the measures of DE and Adjusted EBITDA exclude the Operating segment for both 2023 and the comparative period of 2022.</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0"/>
          <w:szCs w:val="10"/>
          <w:color w:val="424242"/>
        </w:rPr>
        <w:t>The Company reports the following non-GAAP financial measures attributable to the Operating Company: Distributable Earnings (“DE”) and Adjusted Earnings before Interest, Taxes, Depreciation and Amortization (“Adjusted EBITDA”) on a Company-wide basis, and specific to the Company's Investment Management segment, Fee Related Earnings (“FRE”) and FRE before the effects of new investment strategies, as represented by Investment Management Adjusted EBITDA. DE and FRE are the most common metrics utilized in the investment management sector. The Company believes these non-GAAP financial measures supplement and enhance the overall understanding of its underlying financial performance and trends, and facilitate comparison among current, past and future periods and to other companies in similar lines of business. The Company uses these non-GAAP financial measures in evaluating the Company’s ongoing business performance and in making operating decisions. For the same reasons, the Company believes these non-GAAP measures are useful to the Company’s investors and analysts. As the Company evaluates profitability based upon continuing operations, these non-GAAP measures exclude results from discontinued operations. These non-GAAP financial measures should be considered as a supplement to and not an alternative or in lieu of GAAP net income (loss) as measures of operating performance, or to cash flows from operating activities as indicators of liquidity. The Company's calculation of these non-GAAP measures may differ from methodologies utilized by other companies for similarly titled performance measures and, as a result, may not be fully comparable to those calculated by the Company's peers. In evaluating the information presented throughout this supplemental financial report, refer to the appendices to this presentation for definitions and reconciliations of non-GAAP financial measures to GAAP measures. For purposes of comparability, historical information in this presentation may reflect certain adjustments to information reported in prior periods.</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424242"/>
        </w:rPr>
        <w:t>DE:</w:t>
      </w:r>
    </w:p>
    <w:p>
      <w:pPr>
        <w:spacing w:after="0" w:line="10" w:lineRule="exact"/>
        <w:rPr>
          <w:sz w:val="20"/>
          <w:szCs w:val="20"/>
          <w:color w:val="auto"/>
        </w:rPr>
      </w:pPr>
    </w:p>
    <w:p>
      <w:pPr>
        <w:ind w:right="100"/>
        <w:spacing w:after="0" w:line="244" w:lineRule="auto"/>
        <w:rPr>
          <w:sz w:val="20"/>
          <w:szCs w:val="20"/>
          <w:color w:val="auto"/>
        </w:rPr>
      </w:pPr>
      <w:r>
        <w:rPr>
          <w:rFonts w:ascii="Arial" w:cs="Arial" w:eastAsia="Arial" w:hAnsi="Arial"/>
          <w:sz w:val="11"/>
          <w:szCs w:val="11"/>
          <w:color w:val="424242"/>
        </w:rPr>
        <w:t>DE generally represents the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w:t>
      </w:r>
    </w:p>
    <w:p>
      <w:pPr>
        <w:spacing w:after="0" w:line="147" w:lineRule="exact"/>
        <w:rPr>
          <w:sz w:val="20"/>
          <w:szCs w:val="20"/>
          <w:color w:val="auto"/>
        </w:rPr>
      </w:pPr>
    </w:p>
    <w:p>
      <w:pPr>
        <w:spacing w:after="0" w:line="242" w:lineRule="auto"/>
        <w:rPr>
          <w:sz w:val="20"/>
          <w:szCs w:val="20"/>
          <w:color w:val="auto"/>
        </w:rPr>
      </w:pPr>
      <w:r>
        <w:rPr>
          <w:rFonts w:ascii="Arial" w:cs="Arial" w:eastAsia="Arial" w:hAnsi="Arial"/>
          <w:sz w:val="11"/>
          <w:szCs w:val="11"/>
          <w:color w:val="424242"/>
        </w:rPr>
        <w:t>DE reflects the ongoing operating performance of the Company’s core business by generally excluding non-cash expenses, income (loss) items that are unrealized and items that may not be indicative of core operating results. This allows the Company, and its investors and analysts to assess its operating results on a more comparable basis period-over-period. DE is calculated as an after-tax measure that differs from GAAP net income (loss) from continuing operations as a result of the following adjustments to net income (loss): transaction-related costs; restructuring charges;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compensation expense; non-cash equity-based compensation costs; preferred stock redemption gain (loss); and straight-line adjustment to lease income and expense. Transaction-related costs are incurred in connection with acquisitions and include costs of unconsummated transactions, while restructuring charges are related primarily to severance and retention costs. These costs, along with other gain (loss) amounts, are excluded from DE as they are related to discrete items, are not considered part of our ongoing operating cost structure, and are not reflective of our core operating performance. Other items excluded from DE are generally non-cash in nature, including income (loss) items that are unrealized, or otherwise do not represent current or future cash obligations such as amortization of deferred financing costs and straight-line lease adjustment. These items are excluded from DE as they do not contribute to the measurement of DE as a net realized earnings measure that is used in decision making related to distributions and reinvestments. 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 The items we have excluded from DE are generally consistent with the exclusions made by our peers, which we believe allows for better comparability to the DE presented by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621030</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300"/>
          </w:cols>
          <w:pgMar w:left="300" w:top="136" w:right="299" w:bottom="1440" w:gutter="0" w:footer="0" w:header="0"/>
        </w:sectPr>
      </w:pPr>
    </w:p>
    <w:bookmarkStart w:id="43" w:name="page44"/>
    <w:bookmarkEnd w:id="43"/>
    <w:p>
      <w:pPr>
        <w:spacing w:after="0"/>
        <w:rPr>
          <w:sz w:val="20"/>
          <w:szCs w:val="20"/>
          <w:color w:val="auto"/>
        </w:rPr>
      </w:pPr>
      <w:r>
        <w:rPr>
          <w:rFonts w:ascii="Arial" w:cs="Arial" w:eastAsia="Arial" w:hAnsi="Arial"/>
          <w:sz w:val="26"/>
          <w:szCs w:val="26"/>
          <w:color w:val="auto"/>
        </w:rPr>
        <w:t>Important 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424242"/>
        </w:rPr>
        <w:t>Adjusted EBITDA:</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1"/>
          <w:szCs w:val="11"/>
          <w:color w:val="424242"/>
        </w:rPr>
        <w:t>Adjusted EBITDA is a supplemental measure derived from DE and generally presents the Company’s core operating performance on a pre-tax basis, based upon recurring revenues and independent of our capital structure and leverage. We believe Adjusted EBITDA is useful to investors as an indicative measure of the Company’s profitability that is recurring and sustainable and allows for better comparability of the Company’s performance relative to its peers independent of capital structure and leverage. However, because Adjusted EBITDA is calculated without the effects of certain recurring cash charges, including interest expense, preferred stock dividends, and income taxes, its usefulness as a performance measure may be limited. Adjusted EBITDA is calculated as DE adjusted to generally exclude the following items attributable to the Operating Company that are included in DE: interest expense as included in DE and income tax benefit (expense) as included in DE consistent with an EBITDA measure, preferred stock dividends, placement fee expense, and our share of incentive fees and distributed carried interest net of associated compensation expense. Items excluded from Adjusted EBITDA include preferred stock dividends as Adjusted EBITDA removes the effects to earnings associated with the Company's capital structure, and placement fees as they are inconsistent in amount and frequency depending upon timing of fundraising for our funds. Additionally, Adjusted EBITDA excludes incentive fees and distributed carried interest net of associated compensation expense to be consistent with the FRE measure for our Investment Management segment, as discussed further below.</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424242"/>
        </w:rPr>
        <w:t>Investment Management Fee Related Earnings (IM FRE):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424242"/>
        </w:rPr>
        <w:t>Investment Management FRE is presented as Investment Management Adjusted EBITDA, further adjusted to exclude FRE associated with new investment strategies. Investment Management FRE is used to assess the extent to which direct base compensation and core operating expenses are covered by recurring fee revenues in a stabilized investment management business. Investment Management FRE is measured as recurring fee revenue that is not subject to future realization events and other income (inclusive of cost reimbursements associated with administrative expenses), net of the following: compensation expense (excluding non-cash equity-based compensation, and incentive and carried interest compensation expense), administrative expense (excluding placement fee expense and straight-line adjustment to lease expense) and FRE associated with new investment strategies. In reconciling Investment Management FRE to GAAP net income (loss), adjustments are made to first arrive at Investment Management Adjusted EBITDA, which generally excludes the following: our share of incentive fees and carried interest net of associated compensation expense; unrealized principal investment income (loss); other gain (loss); transaction-related and restructuring charges; non-cash equity-based compensation costs; straight-line adjustment to lease expense; placement fee expense; investment expense; and in line with an EBITDA measure, non-cash depreciation and amortization expense, interest expense, and income tax benefit (expense). Consistent with an FRE measure, Investment Management Adjusted EBITDA excludes incentive fees and carried interest net of associated compensation expense, as these are not recurring fee revenue and are subject to variability given that they are performance-based and/or dependent upon future realization events. In calculating Investment Management FRE which reflects the Company’s Investment Management segment as a stabilized business, Investment Management Adjusted EBITDA is further adjusted to exclude Start-Up FRE. Start-Up FRE is FRE associated with new investment strategies that have 1) not yet held a first close raising FEEUM; or 2) not yet achieved break-even Adjusted EBITDA only for investment products that may be terminated solely at the Company’s discretion. The Company evaluates new investment strategies on a regular basis and excludes Start- Up FRE from Investment Management FRE until such time as a new strategy is determined to form part of the Company’s core investment management business. We believe that Investment Management FRE and Investment Management Adjusted EBITDA are useful measures to investors as they reflect the Company’s profitability based upon recurring fee streams that are not subject to future realization events, and without the effects of income taxes, leverage, non-cash expenses, income (loss) items that are unrealized and other items that may not be indicative of core operating results. This allows for better comparability of the profitability of the Company’s investment management business on a recurring and sustainable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240"/>
          </w:cols>
          <w:pgMar w:left="300" w:top="136" w:right="359" w:bottom="1440" w:gutter="0" w:footer="0" w:header="0"/>
        </w:sectPr>
      </w:pPr>
    </w:p>
    <w:bookmarkStart w:id="44" w:name="page45"/>
    <w:bookmarkEnd w:id="44"/>
    <w:p>
      <w:pPr>
        <w:ind w:right="560"/>
        <w:spacing w:after="0" w:line="249" w:lineRule="auto"/>
        <w:rPr>
          <w:sz w:val="20"/>
          <w:szCs w:val="20"/>
          <w:color w:val="auto"/>
        </w:rPr>
      </w:pPr>
      <w:r>
        <w:rPr>
          <w:rFonts w:ascii="Arial" w:cs="Arial" w:eastAsia="Arial" w:hAnsi="Arial"/>
          <w:sz w:val="26"/>
          <w:szCs w:val="26"/>
          <w:color w:val="auto"/>
        </w:rPr>
        <w:t>Note Regarding DBRG Reportable Segments / Consolidated and OP Share of Consolidated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78040"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424242"/>
        </w:rPr>
        <w:t>This presentation includes supplemental financial information for the following segments:</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424242"/>
        </w:rPr>
        <w:t>Investment Management (IM)</w:t>
      </w:r>
    </w:p>
    <w:p>
      <w:pPr>
        <w:spacing w:after="0" w:line="10" w:lineRule="exact"/>
        <w:rPr>
          <w:sz w:val="20"/>
          <w:szCs w:val="20"/>
          <w:color w:val="auto"/>
        </w:rPr>
      </w:pPr>
    </w:p>
    <w:p>
      <w:pPr>
        <w:spacing w:after="0" w:line="243" w:lineRule="auto"/>
        <w:rPr>
          <w:sz w:val="20"/>
          <w:szCs w:val="20"/>
          <w:color w:val="auto"/>
        </w:rPr>
      </w:pPr>
      <w:r>
        <w:rPr>
          <w:rFonts w:ascii="Arial" w:cs="Arial" w:eastAsia="Arial" w:hAnsi="Arial"/>
          <w:sz w:val="11"/>
          <w:szCs w:val="11"/>
          <w:color w:val="424242"/>
        </w:rPr>
        <w:t>This segment represents the Company's global investment management platform, deploying and managing capital on behalf of a diverse base of global institutional investors. The Company's investment management platform is composed of a growing number of long-duration, private investment funds designed to provide institutional investors access to investments across different segments of the digital infrastructure ecosystem. In addition to its flagship value-add digital infrastructure equity offerings, the Company's investment offerings have expanded to include core equity, credit and liquid securities. The Company earns management fees based upon the assets or capital managed in investment vehicles, and may earn incentive fees and carried interest based upon the performance of such investment vehicles, subject to achievement of minimum return hurdles. The amount of incentive fees and carried interest recognized, a portion of which is allocated to employees and former employees, may be highly variable from period to period. Through the end of May 2022, earnings from the Investment Management segment were attributed 31.5% to Wafra prior to the Company's redemption of Wafra's interest in the investment management business.</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424242"/>
        </w:rPr>
        <w:t>Corporate and Other</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424242"/>
        </w:rPr>
        <w:t>The Company's remaining investment activities and corporate level activities are presented as Corporate and Other.</w:t>
      </w:r>
    </w:p>
    <w:p>
      <w:pPr>
        <w:spacing w:after="0" w:line="152" w:lineRule="exact"/>
        <w:rPr>
          <w:sz w:val="20"/>
          <w:szCs w:val="20"/>
          <w:color w:val="auto"/>
        </w:rPr>
      </w:pPr>
    </w:p>
    <w:p>
      <w:pPr>
        <w:ind w:right="40"/>
        <w:spacing w:after="0" w:line="245" w:lineRule="auto"/>
        <w:rPr>
          <w:sz w:val="20"/>
          <w:szCs w:val="20"/>
          <w:color w:val="auto"/>
        </w:rPr>
      </w:pPr>
      <w:r>
        <w:rPr>
          <w:rFonts w:ascii="Arial" w:cs="Arial" w:eastAsia="Arial" w:hAnsi="Arial"/>
          <w:sz w:val="11"/>
          <w:szCs w:val="11"/>
          <w:color w:val="424242"/>
        </w:rPr>
        <w:t>Other investment activities are composed primarily of the Company's equity interests as general partner affiliate in its sponsored investment vehicles, the largest of which are the DBP flagship funds, InfraBridge funds, DataBank and Vantage SDC post-deconsolidation, and seed investments in liquid securities and other potential new strategies. With respect to seed investments, these are not intended to be a long-term deployment of capital by the Company and are expected to be warehoused temporarily on the Company's balance sheet until sufficient third party capital has been raised. The Company's remaining non-digital investments consisted, for the most part, of shares in BRSP that were disposed in March 2023. The Company's other investment activities generate largely principal investment income, driven by fair value changes of underlying investments held by its investment vehicles, and to a lesser extent, interest income or dividend income from warehoused investments and investments of consolidated investment vehicles.</w:t>
      </w:r>
    </w:p>
    <w:p>
      <w:pPr>
        <w:spacing w:after="0" w:line="146" w:lineRule="exact"/>
        <w:rPr>
          <w:sz w:val="20"/>
          <w:szCs w:val="20"/>
          <w:color w:val="auto"/>
        </w:rPr>
      </w:pPr>
    </w:p>
    <w:p>
      <w:pPr>
        <w:ind w:right="40"/>
        <w:spacing w:after="0" w:line="247" w:lineRule="auto"/>
        <w:rPr>
          <w:sz w:val="20"/>
          <w:szCs w:val="20"/>
          <w:color w:val="auto"/>
        </w:rPr>
      </w:pPr>
      <w:r>
        <w:rPr>
          <w:rFonts w:ascii="Arial" w:cs="Arial" w:eastAsia="Arial" w:hAnsi="Arial"/>
          <w:sz w:val="11"/>
          <w:szCs w:val="11"/>
          <w:color w:val="424242"/>
        </w:rPr>
        <w:t>Corporate activities include corporate level cash and corresponding interest income, corporate level financing and related interest expense, corporate level transaction costs, costs in connection with unconsummated investments, income and expense related to cost reimbursement arrangements with affiliates, fixed assets for corporate use, compensation expense not directly attributable to reportable segments, and corporate level administrative and overhead costs. Costs which are directly attributable, or otherwise can be subjected to a reasonable and systematic attribution, have been attributed to reportable segments. As segment results are presented before elimination of intercompany fees, elimination adjustment is made with respect to fee income earned by the Investment Management segment from third party capital in managed investment vehicles consolidated in Corporate and Other.</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424242"/>
        </w:rPr>
        <w:t>Fund Performance Metrics</w:t>
      </w:r>
      <w:r>
        <w:rPr>
          <w:rFonts w:ascii="Arial" w:cs="Arial" w:eastAsia="Arial" w:hAnsi="Arial"/>
          <w:sz w:val="11"/>
          <w:szCs w:val="11"/>
          <w:color w:val="424242"/>
        </w:rPr>
        <w:t>:</w:t>
      </w:r>
    </w:p>
    <w:p>
      <w:pPr>
        <w:spacing w:after="0" w:line="17" w:lineRule="exact"/>
        <w:rPr>
          <w:sz w:val="20"/>
          <w:szCs w:val="20"/>
          <w:color w:val="auto"/>
        </w:rPr>
      </w:pPr>
    </w:p>
    <w:p>
      <w:pPr>
        <w:ind w:right="100"/>
        <w:spacing w:after="0" w:line="241" w:lineRule="auto"/>
        <w:rPr>
          <w:sz w:val="20"/>
          <w:szCs w:val="20"/>
          <w:color w:val="auto"/>
        </w:rPr>
      </w:pPr>
      <w:r>
        <w:rPr>
          <w:rFonts w:ascii="Arial" w:cs="Arial" w:eastAsia="Arial" w:hAnsi="Arial"/>
          <w:sz w:val="11"/>
          <w:szCs w:val="11"/>
          <w:color w:val="424242"/>
        </w:rPr>
        <w:t>Certain performance metrics for our key investment funds from inception through December 31, 2023 are presented in this financial supplemental presentation. Excluded are funds with less than one year of performance history as of December 31, 2023, funds and separately managed accounts in the liquid strategy, co-investment vehicles and separately capitalized portfolio companies. The historical performance of these funds is not indicative of their future performance nor indicative of the performance of our other existing investment vehicles or of any of our future funds. An investment in DigitalBridge Group, Inc. is not an investment in any of our funds and these fund performance metrics are not indicative of the performance of DigitalBridge Group, Inc.</w:t>
      </w:r>
    </w:p>
    <w:p>
      <w:pPr>
        <w:spacing w:after="0" w:line="311" w:lineRule="exact"/>
        <w:rPr>
          <w:sz w:val="20"/>
          <w:szCs w:val="20"/>
          <w:color w:val="auto"/>
        </w:rPr>
      </w:pPr>
    </w:p>
    <w:p>
      <w:pPr>
        <w:ind w:right="100"/>
        <w:spacing w:after="0" w:line="263" w:lineRule="auto"/>
        <w:rPr>
          <w:sz w:val="20"/>
          <w:szCs w:val="20"/>
          <w:color w:val="auto"/>
        </w:rPr>
      </w:pPr>
      <w:r>
        <w:rPr>
          <w:rFonts w:ascii="Arial" w:cs="Arial" w:eastAsia="Arial" w:hAnsi="Arial"/>
          <w:sz w:val="11"/>
          <w:szCs w:val="11"/>
          <w:color w:val="424242"/>
        </w:rPr>
        <w:t>Throughout this presentation, consolidated figures represent the interest of both the Company (and its subsidiary DigitalBridge Operating Company, LLC (the Operating Company" or “DBRG OP”)) and noncontrolling interests. Figures labeled as DBRG OP share represent the Company’s pro-rata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p>
      <w:pPr>
        <w:sectPr>
          <w:pgSz w:w="11900" w:h="16838" w:orient="portrait"/>
          <w:cols w:equalWidth="0" w:num="1">
            <w:col w:w="11280"/>
          </w:cols>
          <w:pgMar w:left="300" w:top="136" w:right="319" w:bottom="1440" w:gutter="0" w:footer="0" w:header="0"/>
        </w:sectPr>
      </w:pPr>
    </w:p>
    <w:bookmarkStart w:id="45" w:name="page46"/>
    <w:bookmarkEnd w:id="45"/>
    <w:p>
      <w:pPr>
        <w:spacing w:after="0"/>
        <w:rPr>
          <w:sz w:val="20"/>
          <w:szCs w:val="20"/>
          <w:color w:val="auto"/>
        </w:rPr>
      </w:pPr>
      <w:r>
        <w:rPr>
          <w:rFonts w:ascii="Arial" w:cs="Arial" w:eastAsia="Arial" w:hAnsi="Arial"/>
          <w:sz w:val="28"/>
          <w:szCs w:val="2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hanging="536"/>
        <w:spacing w:after="0"/>
        <w:tabs>
          <w:tab w:leader="none" w:pos="540" w:val="left"/>
        </w:tabs>
        <w:numPr>
          <w:ilvl w:val="0"/>
          <w:numId w:val="3"/>
        </w:numPr>
        <w:rPr>
          <w:rFonts w:ascii="Arial" w:cs="Arial" w:eastAsia="Arial" w:hAnsi="Arial"/>
          <w:sz w:val="12"/>
          <w:szCs w:val="12"/>
          <w:color w:val="3E5A99"/>
        </w:rPr>
      </w:pPr>
      <w:r>
        <w:rPr>
          <w:rFonts w:ascii="Arial" w:cs="Arial" w:eastAsia="Arial" w:hAnsi="Arial"/>
          <w:sz w:val="13"/>
          <w:szCs w:val="13"/>
          <w:color w:val="3E5A99"/>
        </w:rPr>
        <w:t>Financial Overview</w:t>
      </w:r>
    </w:p>
    <w:p>
      <w:pPr>
        <w:spacing w:after="0" w:line="102" w:lineRule="exact"/>
        <w:rPr>
          <w:rFonts w:ascii="Arial" w:cs="Arial" w:eastAsia="Arial" w:hAnsi="Arial"/>
          <w:sz w:val="12"/>
          <w:szCs w:val="12"/>
          <w:color w:val="3E5A99"/>
        </w:rPr>
      </w:pPr>
    </w:p>
    <w:p>
      <w:pPr>
        <w:ind w:left="1020" w:hanging="503"/>
        <w:spacing w:after="0"/>
        <w:tabs>
          <w:tab w:leader="none" w:pos="1020" w:val="left"/>
        </w:tabs>
        <w:numPr>
          <w:ilvl w:val="1"/>
          <w:numId w:val="3"/>
        </w:numPr>
        <w:rPr>
          <w:rFonts w:ascii="Arial" w:cs="Arial" w:eastAsia="Arial" w:hAnsi="Arial"/>
          <w:sz w:val="13"/>
          <w:szCs w:val="13"/>
          <w:color w:val="424242"/>
        </w:rPr>
      </w:pPr>
      <w:r>
        <w:rPr>
          <w:rFonts w:ascii="Arial" w:cs="Arial" w:eastAsia="Arial" w:hAnsi="Arial"/>
          <w:sz w:val="13"/>
          <w:szCs w:val="13"/>
          <w:color w:val="424242"/>
        </w:rPr>
        <w:t>Summary Financial Metrics</w:t>
      </w:r>
    </w:p>
    <w:p>
      <w:pPr>
        <w:spacing w:after="0" w:line="93" w:lineRule="exact"/>
        <w:rPr>
          <w:rFonts w:ascii="Arial" w:cs="Arial" w:eastAsia="Arial" w:hAnsi="Arial"/>
          <w:sz w:val="13"/>
          <w:szCs w:val="13"/>
          <w:color w:val="424242"/>
        </w:rPr>
      </w:pPr>
    </w:p>
    <w:p>
      <w:pPr>
        <w:ind w:left="1020" w:hanging="503"/>
        <w:spacing w:after="0"/>
        <w:tabs>
          <w:tab w:leader="none" w:pos="1020" w:val="left"/>
        </w:tabs>
        <w:numPr>
          <w:ilvl w:val="1"/>
          <w:numId w:val="3"/>
        </w:numPr>
        <w:rPr>
          <w:rFonts w:ascii="Arial" w:cs="Arial" w:eastAsia="Arial" w:hAnsi="Arial"/>
          <w:sz w:val="13"/>
          <w:szCs w:val="13"/>
          <w:color w:val="424242"/>
        </w:rPr>
      </w:pPr>
      <w:r>
        <w:rPr>
          <w:rFonts w:ascii="Arial" w:cs="Arial" w:eastAsia="Arial" w:hAnsi="Arial"/>
          <w:sz w:val="13"/>
          <w:szCs w:val="13"/>
          <w:color w:val="424242"/>
        </w:rPr>
        <w:t>Investment Management &amp; Fund Performance</w:t>
      </w:r>
    </w:p>
    <w:p>
      <w:pPr>
        <w:spacing w:after="0" w:line="103" w:lineRule="exact"/>
        <w:rPr>
          <w:sz w:val="20"/>
          <w:szCs w:val="20"/>
          <w:color w:val="auto"/>
        </w:rPr>
      </w:pPr>
    </w:p>
    <w:p>
      <w:pPr>
        <w:ind w:left="540" w:hanging="536"/>
        <w:spacing w:after="0"/>
        <w:tabs>
          <w:tab w:leader="none" w:pos="540" w:val="left"/>
        </w:tabs>
        <w:numPr>
          <w:ilvl w:val="0"/>
          <w:numId w:val="4"/>
        </w:numPr>
        <w:rPr>
          <w:rFonts w:ascii="Arial" w:cs="Arial" w:eastAsia="Arial" w:hAnsi="Arial"/>
          <w:sz w:val="12"/>
          <w:szCs w:val="12"/>
          <w:color w:val="3E5A99"/>
        </w:rPr>
      </w:pPr>
      <w:r>
        <w:rPr>
          <w:rFonts w:ascii="Arial" w:cs="Arial" w:eastAsia="Arial" w:hAnsi="Arial"/>
          <w:sz w:val="13"/>
          <w:szCs w:val="13"/>
          <w:color w:val="3E5A99"/>
        </w:rPr>
        <w:t>Financial Results</w:t>
      </w:r>
    </w:p>
    <w:p>
      <w:pPr>
        <w:spacing w:after="0" w:line="102" w:lineRule="exact"/>
        <w:rPr>
          <w:rFonts w:ascii="Arial" w:cs="Arial" w:eastAsia="Arial" w:hAnsi="Arial"/>
          <w:sz w:val="12"/>
          <w:szCs w:val="12"/>
          <w:color w:val="3E5A99"/>
        </w:rPr>
      </w:pPr>
    </w:p>
    <w:p>
      <w:pPr>
        <w:ind w:left="1020" w:hanging="503"/>
        <w:spacing w:after="0"/>
        <w:tabs>
          <w:tab w:leader="none" w:pos="1020" w:val="left"/>
        </w:tabs>
        <w:numPr>
          <w:ilvl w:val="1"/>
          <w:numId w:val="4"/>
        </w:numPr>
        <w:rPr>
          <w:rFonts w:ascii="Arial" w:cs="Arial" w:eastAsia="Arial" w:hAnsi="Arial"/>
          <w:sz w:val="13"/>
          <w:szCs w:val="13"/>
          <w:color w:val="424242"/>
        </w:rPr>
      </w:pPr>
      <w:r>
        <w:rPr>
          <w:rFonts w:ascii="Arial" w:cs="Arial" w:eastAsia="Arial" w:hAnsi="Arial"/>
          <w:sz w:val="13"/>
          <w:szCs w:val="13"/>
          <w:color w:val="424242"/>
        </w:rPr>
        <w:t>Balance Sheet Consolidated &amp; Noncontrolling Interests’ Share</w:t>
      </w:r>
    </w:p>
    <w:p>
      <w:pPr>
        <w:spacing w:after="0" w:line="93" w:lineRule="exact"/>
        <w:rPr>
          <w:rFonts w:ascii="Arial" w:cs="Arial" w:eastAsia="Arial" w:hAnsi="Arial"/>
          <w:sz w:val="13"/>
          <w:szCs w:val="13"/>
          <w:color w:val="424242"/>
        </w:rPr>
      </w:pPr>
    </w:p>
    <w:p>
      <w:pPr>
        <w:ind w:left="1020" w:hanging="503"/>
        <w:spacing w:after="0"/>
        <w:tabs>
          <w:tab w:leader="none" w:pos="1020" w:val="left"/>
        </w:tabs>
        <w:numPr>
          <w:ilvl w:val="1"/>
          <w:numId w:val="4"/>
        </w:numPr>
        <w:rPr>
          <w:rFonts w:ascii="Arial" w:cs="Arial" w:eastAsia="Arial" w:hAnsi="Arial"/>
          <w:sz w:val="13"/>
          <w:szCs w:val="13"/>
          <w:color w:val="424242"/>
        </w:rPr>
      </w:pPr>
      <w:r>
        <w:rPr>
          <w:rFonts w:ascii="Arial" w:cs="Arial" w:eastAsia="Arial" w:hAnsi="Arial"/>
          <w:sz w:val="13"/>
          <w:szCs w:val="13"/>
          <w:color w:val="424242"/>
        </w:rPr>
        <w:t>Consolidated Segment Operating Results</w:t>
      </w:r>
    </w:p>
    <w:p>
      <w:pPr>
        <w:spacing w:after="0" w:line="93" w:lineRule="exact"/>
        <w:rPr>
          <w:rFonts w:ascii="Arial" w:cs="Arial" w:eastAsia="Arial" w:hAnsi="Arial"/>
          <w:sz w:val="13"/>
          <w:szCs w:val="13"/>
          <w:color w:val="424242"/>
        </w:rPr>
      </w:pPr>
    </w:p>
    <w:p>
      <w:pPr>
        <w:ind w:left="1020" w:hanging="503"/>
        <w:spacing w:after="0"/>
        <w:tabs>
          <w:tab w:leader="none" w:pos="1020" w:val="left"/>
        </w:tabs>
        <w:numPr>
          <w:ilvl w:val="1"/>
          <w:numId w:val="4"/>
        </w:numPr>
        <w:rPr>
          <w:rFonts w:ascii="Arial" w:cs="Arial" w:eastAsia="Arial" w:hAnsi="Arial"/>
          <w:sz w:val="13"/>
          <w:szCs w:val="13"/>
          <w:color w:val="424242"/>
        </w:rPr>
      </w:pPr>
      <w:r>
        <w:rPr>
          <w:rFonts w:ascii="Arial" w:cs="Arial" w:eastAsia="Arial" w:hAnsi="Arial"/>
          <w:sz w:val="13"/>
          <w:szCs w:val="13"/>
          <w:color w:val="424242"/>
        </w:rPr>
        <w:t>Noncontrolling Interests’ Share Segment Operating Results</w:t>
      </w:r>
    </w:p>
    <w:p>
      <w:pPr>
        <w:spacing w:after="0" w:line="93" w:lineRule="exact"/>
        <w:rPr>
          <w:rFonts w:ascii="Arial" w:cs="Arial" w:eastAsia="Arial" w:hAnsi="Arial"/>
          <w:sz w:val="13"/>
          <w:szCs w:val="13"/>
          <w:color w:val="424242"/>
        </w:rPr>
      </w:pPr>
    </w:p>
    <w:p>
      <w:pPr>
        <w:ind w:left="1020" w:hanging="503"/>
        <w:spacing w:after="0"/>
        <w:tabs>
          <w:tab w:leader="none" w:pos="1020" w:val="left"/>
        </w:tabs>
        <w:numPr>
          <w:ilvl w:val="1"/>
          <w:numId w:val="4"/>
        </w:numPr>
        <w:rPr>
          <w:rFonts w:ascii="Arial" w:cs="Arial" w:eastAsia="Arial" w:hAnsi="Arial"/>
          <w:sz w:val="13"/>
          <w:szCs w:val="13"/>
          <w:color w:val="424242"/>
        </w:rPr>
      </w:pPr>
      <w:r>
        <w:rPr>
          <w:rFonts w:ascii="Arial" w:cs="Arial" w:eastAsia="Arial" w:hAnsi="Arial"/>
          <w:sz w:val="13"/>
          <w:szCs w:val="13"/>
          <w:color w:val="424242"/>
        </w:rPr>
        <w:t>Segment Reconciliation of Net Income to DE and Adjusted EBITDA</w:t>
      </w:r>
    </w:p>
    <w:p>
      <w:pPr>
        <w:spacing w:after="0" w:line="94" w:lineRule="exact"/>
        <w:rPr>
          <w:sz w:val="20"/>
          <w:szCs w:val="20"/>
          <w:color w:val="auto"/>
        </w:rPr>
      </w:pPr>
    </w:p>
    <w:p>
      <w:pPr>
        <w:ind w:left="540" w:hanging="536"/>
        <w:spacing w:after="0"/>
        <w:tabs>
          <w:tab w:leader="none" w:pos="540" w:val="left"/>
        </w:tabs>
        <w:numPr>
          <w:ilvl w:val="0"/>
          <w:numId w:val="5"/>
        </w:numPr>
        <w:rPr>
          <w:rFonts w:ascii="Arial" w:cs="Arial" w:eastAsia="Arial" w:hAnsi="Arial"/>
          <w:sz w:val="12"/>
          <w:szCs w:val="12"/>
          <w:color w:val="3E5A99"/>
        </w:rPr>
      </w:pPr>
      <w:r>
        <w:rPr>
          <w:rFonts w:ascii="Arial" w:cs="Arial" w:eastAsia="Arial" w:hAnsi="Arial"/>
          <w:sz w:val="13"/>
          <w:szCs w:val="13"/>
          <w:color w:val="3E5A99"/>
        </w:rPr>
        <w:t>Capitalization</w:t>
      </w:r>
    </w:p>
    <w:p>
      <w:pPr>
        <w:spacing w:after="0" w:line="102" w:lineRule="exact"/>
        <w:rPr>
          <w:rFonts w:ascii="Arial" w:cs="Arial" w:eastAsia="Arial" w:hAnsi="Arial"/>
          <w:sz w:val="12"/>
          <w:szCs w:val="12"/>
          <w:color w:val="3E5A99"/>
        </w:rPr>
      </w:pPr>
    </w:p>
    <w:p>
      <w:pPr>
        <w:ind w:left="1020" w:hanging="503"/>
        <w:spacing w:after="0"/>
        <w:tabs>
          <w:tab w:leader="none" w:pos="1020" w:val="left"/>
        </w:tabs>
        <w:numPr>
          <w:ilvl w:val="1"/>
          <w:numId w:val="5"/>
        </w:numPr>
        <w:rPr>
          <w:rFonts w:ascii="Arial" w:cs="Arial" w:eastAsia="Arial" w:hAnsi="Arial"/>
          <w:sz w:val="13"/>
          <w:szCs w:val="13"/>
          <w:color w:val="424242"/>
        </w:rPr>
      </w:pPr>
      <w:r>
        <w:rPr>
          <w:rFonts w:ascii="Arial" w:cs="Arial" w:eastAsia="Arial" w:hAnsi="Arial"/>
          <w:sz w:val="13"/>
          <w:szCs w:val="13"/>
          <w:color w:val="424242"/>
        </w:rPr>
        <w:t>Debt and Preferred Stock Summary</w:t>
      </w:r>
    </w:p>
    <w:p>
      <w:pPr>
        <w:spacing w:after="0" w:line="93" w:lineRule="exact"/>
        <w:rPr>
          <w:rFonts w:ascii="Arial" w:cs="Arial" w:eastAsia="Arial" w:hAnsi="Arial"/>
          <w:sz w:val="13"/>
          <w:szCs w:val="13"/>
          <w:color w:val="424242"/>
        </w:rPr>
      </w:pPr>
    </w:p>
    <w:p>
      <w:pPr>
        <w:ind w:left="1020" w:hanging="503"/>
        <w:spacing w:after="0"/>
        <w:tabs>
          <w:tab w:leader="none" w:pos="1020" w:val="left"/>
        </w:tabs>
        <w:numPr>
          <w:ilvl w:val="1"/>
          <w:numId w:val="5"/>
        </w:numPr>
        <w:rPr>
          <w:rFonts w:ascii="Arial" w:cs="Arial" w:eastAsia="Arial" w:hAnsi="Arial"/>
          <w:sz w:val="13"/>
          <w:szCs w:val="13"/>
          <w:color w:val="424242"/>
        </w:rPr>
      </w:pPr>
      <w:r>
        <w:rPr>
          <w:rFonts w:ascii="Arial" w:cs="Arial" w:eastAsia="Arial" w:hAnsi="Arial"/>
          <w:sz w:val="13"/>
          <w:szCs w:val="13"/>
          <w:color w:val="424242"/>
        </w:rPr>
        <w:t>Secured Fund Fee Revenue Notes and Variable Funding Notes</w:t>
      </w:r>
    </w:p>
    <w:p>
      <w:pPr>
        <w:spacing w:after="0" w:line="86" w:lineRule="exact"/>
        <w:rPr>
          <w:rFonts w:ascii="Arial" w:cs="Arial" w:eastAsia="Arial" w:hAnsi="Arial"/>
          <w:sz w:val="13"/>
          <w:szCs w:val="13"/>
          <w:color w:val="424242"/>
        </w:rPr>
      </w:pPr>
    </w:p>
    <w:p>
      <w:pPr>
        <w:spacing w:after="0"/>
        <w:rPr>
          <w:rFonts w:ascii="Arial" w:cs="Arial" w:eastAsia="Arial" w:hAnsi="Arial"/>
          <w:sz w:val="13"/>
          <w:szCs w:val="13"/>
          <w:color w:val="424242"/>
        </w:rPr>
      </w:pPr>
      <w:r>
        <w:rPr>
          <w:rFonts w:ascii="Arial" w:cs="Arial" w:eastAsia="Arial" w:hAnsi="Arial"/>
          <w:sz w:val="12"/>
          <w:szCs w:val="12"/>
          <w:color w:val="3E5A99"/>
        </w:rPr>
        <w:t>IV.</w:t>
      </w:r>
      <w:r>
        <w:rPr>
          <w:rFonts w:ascii="Arial" w:cs="Arial" w:eastAsia="Arial" w:hAnsi="Arial"/>
          <w:sz w:val="13"/>
          <w:szCs w:val="13"/>
          <w:color w:val="3E5A99"/>
        </w:rPr>
        <w:t>Other</w:t>
      </w:r>
    </w:p>
    <w:p>
      <w:pPr>
        <w:spacing w:after="0" w:line="110" w:lineRule="exact"/>
        <w:rPr>
          <w:sz w:val="20"/>
          <w:szCs w:val="20"/>
          <w:color w:val="auto"/>
        </w:rPr>
      </w:pPr>
    </w:p>
    <w:p>
      <w:pPr>
        <w:ind w:left="540" w:hanging="536"/>
        <w:spacing w:after="0"/>
        <w:tabs>
          <w:tab w:leader="none" w:pos="540" w:val="left"/>
        </w:tabs>
        <w:numPr>
          <w:ilvl w:val="0"/>
          <w:numId w:val="6"/>
        </w:numPr>
        <w:rPr>
          <w:rFonts w:ascii="Arial" w:cs="Arial" w:eastAsia="Arial" w:hAnsi="Arial"/>
          <w:sz w:val="12"/>
          <w:szCs w:val="12"/>
          <w:color w:val="3E5A99"/>
        </w:rPr>
      </w:pPr>
      <w:r>
        <w:rPr>
          <w:rFonts w:ascii="Arial" w:cs="Arial" w:eastAsia="Arial" w:hAnsi="Arial"/>
          <w:sz w:val="13"/>
          <w:szCs w:val="13"/>
          <w:color w:val="3E5A99"/>
        </w:rPr>
        <w:t>Cash G&amp;A Expense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3E5A99"/>
        </w:rPr>
        <w:t>Appendices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3"/>
          <w:szCs w:val="13"/>
          <w:color w:val="3E5A99"/>
        </w:rPr>
        <w:t>Reconciliation of IM FRE to Net Income (Loss)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3"/>
          <w:szCs w:val="13"/>
          <w:color w:val="3E5A99"/>
        </w:rPr>
        <w:t>Reconciliations of DE and Adjusted EBITDA and to Net Income (Loss)</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3"/>
          <w:szCs w:val="13"/>
          <w:color w:val="3E5A99"/>
        </w:rPr>
        <w:t>Definitions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u w:val="single" w:color="auto"/>
          <w:color w:val="40576D"/>
        </w:rPr>
        <w:t>Page</w:t>
      </w:r>
    </w:p>
    <w:p>
      <w:pPr>
        <w:spacing w:after="0" w:line="337"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7</w:t>
      </w:r>
    </w:p>
    <w:p>
      <w:pPr>
        <w:spacing w:after="0" w:line="94"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8-9</w:t>
      </w:r>
    </w:p>
    <w:p>
      <w:pPr>
        <w:spacing w:after="0" w:line="355"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10</w:t>
      </w:r>
    </w:p>
    <w:p>
      <w:pPr>
        <w:spacing w:after="0" w:line="94"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11</w:t>
      </w:r>
    </w:p>
    <w:p>
      <w:pPr>
        <w:spacing w:after="0" w:line="94"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12</w:t>
      </w:r>
    </w:p>
    <w:p>
      <w:pPr>
        <w:spacing w:after="0" w:line="94"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13-14</w:t>
      </w:r>
    </w:p>
    <w:p>
      <w:pPr>
        <w:spacing w:after="0" w:line="346" w:lineRule="exact"/>
        <w:rPr>
          <w:sz w:val="20"/>
          <w:szCs w:val="20"/>
          <w:color w:val="auto"/>
        </w:rPr>
      </w:pPr>
    </w:p>
    <w:p>
      <w:pPr>
        <w:ind w:left="260"/>
        <w:spacing w:after="0"/>
        <w:rPr>
          <w:sz w:val="20"/>
          <w:szCs w:val="20"/>
          <w:color w:val="auto"/>
        </w:rPr>
      </w:pPr>
      <w:r>
        <w:rPr>
          <w:rFonts w:ascii="Arial" w:cs="Arial" w:eastAsia="Arial" w:hAnsi="Arial"/>
          <w:sz w:val="13"/>
          <w:szCs w:val="13"/>
          <w:color w:val="424242"/>
        </w:rPr>
        <w:t>15</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3"/>
          <w:szCs w:val="13"/>
          <w:color w:val="424242"/>
        </w:rPr>
        <w:t>16</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3"/>
          <w:szCs w:val="13"/>
          <w:color w:val="424242"/>
        </w:rPr>
        <w:t>17</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3"/>
          <w:szCs w:val="13"/>
          <w:color w:val="424242"/>
        </w:rPr>
        <w:t>18</w:t>
      </w:r>
    </w:p>
    <w:p>
      <w:pPr>
        <w:spacing w:after="0" w:line="200" w:lineRule="exact"/>
        <w:rPr>
          <w:sz w:val="20"/>
          <w:szCs w:val="20"/>
          <w:color w:val="auto"/>
        </w:rPr>
      </w:pPr>
    </w:p>
    <w:p>
      <w:pPr>
        <w:spacing w:after="0" w:line="218"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20</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21-22</w:t>
      </w:r>
    </w:p>
    <w:p>
      <w:pPr>
        <w:spacing w:after="0" w:line="103" w:lineRule="exact"/>
        <w:rPr>
          <w:sz w:val="20"/>
          <w:szCs w:val="20"/>
          <w:color w:val="auto"/>
        </w:rPr>
      </w:pPr>
    </w:p>
    <w:p>
      <w:pPr>
        <w:jc w:val="center"/>
        <w:ind w:right="3180"/>
        <w:spacing w:after="0"/>
        <w:rPr>
          <w:sz w:val="20"/>
          <w:szCs w:val="20"/>
          <w:color w:val="auto"/>
        </w:rPr>
      </w:pPr>
      <w:r>
        <w:rPr>
          <w:rFonts w:ascii="Arial" w:cs="Arial" w:eastAsia="Arial" w:hAnsi="Arial"/>
          <w:sz w:val="13"/>
          <w:szCs w:val="13"/>
          <w:color w:val="424242"/>
        </w:rPr>
        <w:t>23</w:t>
      </w:r>
    </w:p>
    <w:p>
      <w:pPr>
        <w:spacing w:after="0" w:line="200" w:lineRule="exact"/>
        <w:rPr>
          <w:sz w:val="20"/>
          <w:szCs w:val="20"/>
          <w:color w:val="auto"/>
        </w:rPr>
      </w:pPr>
    </w:p>
    <w:p>
      <w:pPr>
        <w:sectPr>
          <w:pgSz w:w="11900" w:h="16838" w:orient="portrait"/>
          <w:cols w:equalWidth="0" w:num="2">
            <w:col w:w="6740" w:space="720"/>
            <w:col w:w="3840"/>
          </w:cols>
          <w:pgMar w:left="300" w:top="130" w:right="299" w:bottom="1440" w:gutter="0" w:footer="0" w:header="0"/>
          <w:type w:val="continuous"/>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6</w:t>
            </w:r>
          </w:p>
        </w:tc>
      </w:tr>
    </w:tbl>
    <w:p>
      <w:pPr>
        <w:sectPr>
          <w:pgSz w:w="11900" w:h="16838" w:orient="portrait"/>
          <w:cols w:equalWidth="0" w:num="1">
            <w:col w:w="11300"/>
          </w:cols>
          <w:pgMar w:left="300" w:top="130" w:right="299" w:bottom="1440" w:gutter="0" w:footer="0" w:header="0"/>
          <w:type w:val="continuous"/>
        </w:sectPr>
      </w:pPr>
    </w:p>
    <w:bookmarkStart w:id="46" w:name="page47"/>
    <w:bookmarkEnd w:id="46"/>
    <w:p>
      <w:pPr>
        <w:ind w:left="8"/>
        <w:spacing w:after="0"/>
        <w:rPr>
          <w:sz w:val="20"/>
          <w:szCs w:val="20"/>
          <w:color w:val="auto"/>
        </w:rPr>
      </w:pPr>
      <w:r>
        <w:rPr>
          <w:rFonts w:ascii="Arial" w:cs="Arial" w:eastAsia="Arial" w:hAnsi="Arial"/>
          <w:sz w:val="29"/>
          <w:szCs w:val="29"/>
          <w:color w:val="auto"/>
        </w:rPr>
        <w:t>Ia. Summary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620" w:type="dxa"/>
            <w:vAlign w:val="bottom"/>
          </w:tcPr>
          <w:p>
            <w:pPr>
              <w:spacing w:after="0"/>
              <w:rPr>
                <w:sz w:val="20"/>
                <w:szCs w:val="20"/>
                <w:color w:val="auto"/>
              </w:rPr>
            </w:pPr>
            <w:r>
              <w:rPr>
                <w:rFonts w:ascii="Arial" w:cs="Arial" w:eastAsia="Arial" w:hAnsi="Arial"/>
                <w:sz w:val="10"/>
                <w:szCs w:val="10"/>
                <w:i w:val="1"/>
                <w:iCs w:val="1"/>
                <w:color w:val="auto"/>
              </w:rPr>
              <w:t>($ and shares in thousands, except per share data and as noted) (Unaudited)</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12/31/2023 - 4Q23</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9/30/2023 - 3Q23</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6/30/2023 - 2Q23</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7"/>
              </w:rPr>
              <w:t>3/31/2023 - 1Q23</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12/31/2022 - 4Q22</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9/30/2022 - 3Q22</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97"/>
              </w:rPr>
              <w:t>6/30/2022 - 2Q22</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3/31/2022 - 1Q22</w:t>
            </w:r>
          </w:p>
        </w:tc>
      </w:tr>
      <w:tr>
        <w:trPr>
          <w:trHeight w:val="124"/>
        </w:trPr>
        <w:tc>
          <w:tcPr>
            <w:tcW w:w="3620" w:type="dxa"/>
            <w:vAlign w:val="bottom"/>
          </w:tcPr>
          <w:p>
            <w:pPr>
              <w:spacing w:after="0" w:line="124" w:lineRule="exact"/>
              <w:rPr>
                <w:sz w:val="20"/>
                <w:szCs w:val="20"/>
                <w:color w:val="auto"/>
              </w:rPr>
            </w:pPr>
            <w:r>
              <w:rPr>
                <w:rFonts w:ascii="Arial" w:cs="Arial" w:eastAsia="Arial" w:hAnsi="Arial"/>
                <w:sz w:val="11"/>
                <w:szCs w:val="11"/>
                <w:b w:val="1"/>
                <w:bCs w:val="1"/>
                <w:i w:val="1"/>
                <w:iCs w:val="1"/>
                <w:color w:val="003366"/>
              </w:rPr>
              <w:t>Financial Data</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44"/>
        </w:trPr>
        <w:tc>
          <w:tcPr>
            <w:tcW w:w="3620" w:type="dxa"/>
            <w:vAlign w:val="bottom"/>
          </w:tcPr>
          <w:p>
            <w:pPr>
              <w:spacing w:after="0"/>
              <w:rPr>
                <w:sz w:val="20"/>
                <w:szCs w:val="20"/>
                <w:color w:val="auto"/>
              </w:rPr>
            </w:pPr>
            <w:r>
              <w:rPr>
                <w:rFonts w:ascii="Arial" w:cs="Arial" w:eastAsia="Arial" w:hAnsi="Arial"/>
                <w:sz w:val="11"/>
                <w:szCs w:val="11"/>
                <w:b w:val="1"/>
                <w:bCs w:val="1"/>
                <w:color w:val="auto"/>
              </w:rPr>
              <w:t>Total Company</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common stockholders</w:t>
            </w:r>
          </w:p>
        </w:tc>
        <w:tc>
          <w:tcPr>
            <w:tcW w:w="240" w:type="dxa"/>
            <w:vAlign w:val="bottom"/>
            <w:shd w:val="clear" w:color="auto" w:fill="DBDBDB"/>
          </w:tcPr>
          <w:p>
            <w:pPr>
              <w:jc w:val="right"/>
              <w:ind w:right="10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100,607</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261,828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(22,411)</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(212,473)</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(19,356)</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(63,273)</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(37,321)</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(262,316)</w:t>
            </w:r>
          </w:p>
        </w:tc>
      </w:tr>
      <w:tr>
        <w:trPr>
          <w:trHeight w:val="144"/>
        </w:trPr>
        <w:tc>
          <w:tcPr>
            <w:tcW w:w="3620" w:type="dxa"/>
            <w:vAlign w:val="bottom"/>
          </w:tcPr>
          <w:p>
            <w:pPr>
              <w:spacing w:after="0" w:line="144" w:lineRule="exact"/>
              <w:rPr>
                <w:sz w:val="20"/>
                <w:szCs w:val="20"/>
                <w:color w:val="auto"/>
              </w:rPr>
            </w:pPr>
            <w:r>
              <w:rPr>
                <w:rFonts w:ascii="Arial" w:cs="Arial" w:eastAsia="Arial" w:hAnsi="Arial"/>
                <w:sz w:val="11"/>
                <w:szCs w:val="11"/>
                <w:color w:val="auto"/>
              </w:rPr>
              <w:t>Net income (loss) attributable to common stockholders per basic share</w:t>
            </w:r>
            <w:r>
              <w:rPr>
                <w:rFonts w:ascii="Arial" w:cs="Arial" w:eastAsia="Arial" w:hAnsi="Arial"/>
                <w:sz w:val="14"/>
                <w:szCs w:val="14"/>
                <w:color w:val="auto"/>
                <w:vertAlign w:val="superscript"/>
              </w:rPr>
              <w:t>(1)</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(0.14)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(1.34)</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(0.12)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(0.39)</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(0.24)</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(1.84)</w:t>
            </w: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Distributable Earnings ("DE")</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17,931</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32,618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5,503</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(7,430)</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(22,305)</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26,704</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(6,752)</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(11,647)</w:t>
            </w:r>
          </w:p>
        </w:tc>
      </w:tr>
      <w:tr>
        <w:trPr>
          <w:trHeight w:val="144"/>
        </w:trPr>
        <w:tc>
          <w:tcPr>
            <w:tcW w:w="3620" w:type="dxa"/>
            <w:vAlign w:val="bottom"/>
          </w:tcPr>
          <w:p>
            <w:pPr>
              <w:spacing w:after="0" w:line="144" w:lineRule="exact"/>
              <w:rPr>
                <w:sz w:val="20"/>
                <w:szCs w:val="20"/>
                <w:color w:val="auto"/>
              </w:rPr>
            </w:pPr>
            <w:r>
              <w:rPr>
                <w:rFonts w:ascii="Arial" w:cs="Arial" w:eastAsia="Arial" w:hAnsi="Arial"/>
                <w:sz w:val="11"/>
                <w:szCs w:val="11"/>
                <w:color w:val="auto"/>
              </w:rPr>
              <w:t>DE per basic share</w:t>
            </w:r>
            <w:r>
              <w:rPr>
                <w:rFonts w:ascii="Arial" w:cs="Arial" w:eastAsia="Arial" w:hAnsi="Arial"/>
                <w:sz w:val="14"/>
                <w:szCs w:val="14"/>
                <w:color w:val="auto"/>
                <w:vertAlign w:val="superscript"/>
              </w:rPr>
              <w:t>(1)</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0.19</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(0.04)</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(0.13)</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0.15</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(0.07)</w:t>
            </w: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Adjusted EBITDA</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31,985</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24,435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32,040</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15,100</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16,979</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15,385</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14,786</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6,446</w:t>
            </w:r>
          </w:p>
        </w:tc>
      </w:tr>
      <w:tr>
        <w:trPr>
          <w:trHeight w:val="216"/>
        </w:trPr>
        <w:tc>
          <w:tcPr>
            <w:tcW w:w="3620" w:type="dxa"/>
            <w:vAlign w:val="bottom"/>
          </w:tcPr>
          <w:p>
            <w:pPr>
              <w:spacing w:after="0"/>
              <w:rPr>
                <w:sz w:val="20"/>
                <w:szCs w:val="20"/>
                <w:color w:val="auto"/>
              </w:rPr>
            </w:pPr>
            <w:r>
              <w:rPr>
                <w:rFonts w:ascii="Arial" w:cs="Arial" w:eastAsia="Arial" w:hAnsi="Arial"/>
                <w:sz w:val="11"/>
                <w:szCs w:val="11"/>
                <w:b w:val="1"/>
                <w:bCs w:val="1"/>
                <w:color w:val="auto"/>
              </w:rPr>
              <w:t>Investment Management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Total Assets Under Management ("AUM") (in billions)</w:t>
            </w:r>
          </w:p>
        </w:tc>
        <w:tc>
          <w:tcPr>
            <w:tcW w:w="240" w:type="dxa"/>
            <w:vAlign w:val="bottom"/>
            <w:shd w:val="clear" w:color="auto" w:fill="DBDBDB"/>
          </w:tcPr>
          <w:p>
            <w:pPr>
              <w:jc w:val="right"/>
              <w:ind w:right="10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80.1</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74.6</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72.2</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69.3</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52.8</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50.3</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47.9</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46.6</w:t>
            </w:r>
          </w:p>
        </w:tc>
      </w:tr>
      <w:tr>
        <w:trPr>
          <w:trHeight w:val="143"/>
        </w:trPr>
        <w:tc>
          <w:tcPr>
            <w:tcW w:w="3620" w:type="dxa"/>
            <w:vAlign w:val="bottom"/>
          </w:tcPr>
          <w:p>
            <w:pPr>
              <w:spacing w:after="0"/>
              <w:rPr>
                <w:sz w:val="20"/>
                <w:szCs w:val="20"/>
                <w:color w:val="auto"/>
              </w:rPr>
            </w:pPr>
            <w:r>
              <w:rPr>
                <w:rFonts w:ascii="Arial" w:cs="Arial" w:eastAsia="Arial" w:hAnsi="Arial"/>
                <w:sz w:val="11"/>
                <w:szCs w:val="11"/>
                <w:color w:val="auto"/>
              </w:rPr>
              <w:t>Fee Earning Equity Under Management ("FEEUM") (in billions)</w:t>
            </w:r>
          </w:p>
        </w:tc>
        <w:tc>
          <w:tcPr>
            <w:tcW w:w="240" w:type="dxa"/>
            <w:vAlign w:val="bottom"/>
          </w:tcPr>
          <w:p>
            <w:pPr>
              <w:jc w:val="right"/>
              <w:ind w:right="107"/>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32.8</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29.9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29.1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27.7</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22.2</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20.5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19.0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18.8</w:t>
            </w:r>
          </w:p>
        </w:tc>
      </w:tr>
      <w:tr>
        <w:trPr>
          <w:trHeight w:val="145"/>
        </w:trPr>
        <w:tc>
          <w:tcPr>
            <w:tcW w:w="36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IM management fee revenue - DBRG OP share</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72,205</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66,058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66,460</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59,229</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45,272</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42,039</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36,948</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29,921</w:t>
            </w:r>
          </w:p>
        </w:tc>
      </w:tr>
      <w:tr>
        <w:trPr>
          <w:trHeight w:val="143"/>
        </w:trPr>
        <w:tc>
          <w:tcPr>
            <w:tcW w:w="3620" w:type="dxa"/>
            <w:vAlign w:val="bottom"/>
          </w:tcPr>
          <w:p>
            <w:pPr>
              <w:ind w:left="140"/>
              <w:spacing w:after="0"/>
              <w:rPr>
                <w:sz w:val="20"/>
                <w:szCs w:val="20"/>
                <w:color w:val="auto"/>
              </w:rPr>
            </w:pPr>
            <w:r>
              <w:rPr>
                <w:rFonts w:ascii="Arial" w:cs="Arial" w:eastAsia="Arial" w:hAnsi="Arial"/>
                <w:sz w:val="11"/>
                <w:szCs w:val="11"/>
                <w:color w:val="auto"/>
              </w:rPr>
              <w:t>IM FRE - DBRG OP share</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39,803</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29,202</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34,398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34,512</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24,228</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21,498</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20,759</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16,989</w:t>
            </w:r>
          </w:p>
        </w:tc>
      </w:tr>
      <w:tr>
        <w:trPr>
          <w:trHeight w:val="145"/>
        </w:trPr>
        <w:tc>
          <w:tcPr>
            <w:tcW w:w="36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IM FRE margin %</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54.8%</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44.2%</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51.8%</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58.3%</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53.5%</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51.1%</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56.2%</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56.8%</w:t>
            </w:r>
          </w:p>
        </w:tc>
      </w:tr>
      <w:tr>
        <w:trPr>
          <w:trHeight w:val="142"/>
        </w:trPr>
        <w:tc>
          <w:tcPr>
            <w:tcW w:w="3620" w:type="dxa"/>
            <w:vAlign w:val="bottom"/>
          </w:tcPr>
          <w:p>
            <w:pPr>
              <w:spacing w:after="0"/>
              <w:rPr>
                <w:sz w:val="20"/>
                <w:szCs w:val="20"/>
                <w:color w:val="auto"/>
              </w:rPr>
            </w:pPr>
            <w:r>
              <w:rPr>
                <w:rFonts w:ascii="Arial" w:cs="Arial" w:eastAsia="Arial" w:hAnsi="Arial"/>
                <w:sz w:val="11"/>
                <w:szCs w:val="11"/>
                <w:color w:val="auto"/>
              </w:rPr>
              <w:t>Net realized carried interest and incentive fees</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606</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27,927</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(883)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243</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12,377</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20,258</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(1,172)</w:t>
            </w:r>
          </w:p>
        </w:tc>
      </w:tr>
      <w:tr>
        <w:trPr>
          <w:trHeight w:val="182"/>
        </w:trPr>
        <w:tc>
          <w:tcPr>
            <w:tcW w:w="3620" w:type="dxa"/>
            <w:vAlign w:val="bottom"/>
          </w:tcPr>
          <w:p>
            <w:pPr>
              <w:spacing w:after="0"/>
              <w:rPr>
                <w:sz w:val="20"/>
                <w:szCs w:val="20"/>
                <w:color w:val="auto"/>
              </w:rPr>
            </w:pPr>
            <w:r>
              <w:rPr>
                <w:rFonts w:ascii="Arial" w:cs="Arial" w:eastAsia="Arial" w:hAnsi="Arial"/>
                <w:sz w:val="11"/>
                <w:szCs w:val="11"/>
                <w:b w:val="1"/>
                <w:bCs w:val="1"/>
                <w:i w:val="1"/>
                <w:iCs w:val="1"/>
                <w:color w:val="003366"/>
              </w:rPr>
              <w:t>Balance Sheet and Capitalization</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Consolidated assets</w:t>
            </w:r>
          </w:p>
        </w:tc>
        <w:tc>
          <w:tcPr>
            <w:tcW w:w="240" w:type="dxa"/>
            <w:vAlign w:val="bottom"/>
            <w:shd w:val="clear" w:color="auto" w:fill="DBDBDB"/>
          </w:tcPr>
          <w:p>
            <w:pPr>
              <w:jc w:val="right"/>
              <w:ind w:right="10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3,562,550</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6,872,091</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10,757,065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10,743,429</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11,028,503</w:t>
            </w: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11,740,829</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11,877,288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11,232,157</w:t>
            </w:r>
          </w:p>
        </w:tc>
      </w:tr>
      <w:tr>
        <w:trPr>
          <w:trHeight w:val="144"/>
        </w:trPr>
        <w:tc>
          <w:tcPr>
            <w:tcW w:w="3620" w:type="dxa"/>
            <w:vAlign w:val="bottom"/>
          </w:tcPr>
          <w:p>
            <w:pPr>
              <w:spacing w:after="0" w:line="145" w:lineRule="exact"/>
              <w:rPr>
                <w:sz w:val="20"/>
                <w:szCs w:val="20"/>
                <w:color w:val="auto"/>
              </w:rPr>
            </w:pPr>
            <w:r>
              <w:rPr>
                <w:rFonts w:ascii="Arial" w:cs="Arial" w:eastAsia="Arial" w:hAnsi="Arial"/>
                <w:sz w:val="11"/>
                <w:szCs w:val="11"/>
                <w:color w:val="auto"/>
              </w:rPr>
              <w:t>Consolidated debt</w:t>
            </w:r>
            <w:r>
              <w:rPr>
                <w:rFonts w:ascii="Arial" w:cs="Arial" w:eastAsia="Arial" w:hAnsi="Arial"/>
                <w:sz w:val="14"/>
                <w:szCs w:val="14"/>
                <w:color w:val="auto"/>
                <w:vertAlign w:val="superscript"/>
              </w:rPr>
              <w:t>(2)</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378,422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383,082</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404,222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579,022</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578,922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888,574</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1,135,156</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708,922</w:t>
            </w:r>
          </w:p>
        </w:tc>
      </w:tr>
      <w:tr>
        <w:trPr>
          <w:trHeight w:val="144"/>
        </w:trPr>
        <w:tc>
          <w:tcPr>
            <w:tcW w:w="3620" w:type="dxa"/>
            <w:vAlign w:val="bottom"/>
          </w:tcPr>
          <w:p>
            <w:pPr>
              <w:ind w:left="140"/>
              <w:spacing w:after="0"/>
              <w:rPr>
                <w:sz w:val="20"/>
                <w:szCs w:val="20"/>
                <w:color w:val="auto"/>
              </w:rPr>
            </w:pPr>
            <w:r>
              <w:rPr>
                <w:rFonts w:ascii="Arial" w:cs="Arial" w:eastAsia="Arial" w:hAnsi="Arial"/>
                <w:sz w:val="11"/>
                <w:szCs w:val="11"/>
                <w:b w:val="1"/>
                <w:bCs w:val="1"/>
                <w:color w:val="auto"/>
              </w:rPr>
              <w:t>DBRG OP Share: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4"/>
        </w:trPr>
        <w:tc>
          <w:tcPr>
            <w:tcW w:w="36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Total Assets</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2,919,643</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2,888,793</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2,868,093</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3,001,644</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3,334,288</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3,755,231</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4,177,806</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3,561,501</w:t>
            </w:r>
          </w:p>
        </w:tc>
      </w:tr>
      <w:tr>
        <w:trPr>
          <w:trHeight w:val="143"/>
        </w:trPr>
        <w:tc>
          <w:tcPr>
            <w:tcW w:w="3620" w:type="dxa"/>
            <w:vAlign w:val="bottom"/>
          </w:tcPr>
          <w:p>
            <w:pPr>
              <w:ind w:left="320"/>
              <w:spacing w:after="0"/>
              <w:rPr>
                <w:sz w:val="20"/>
                <w:szCs w:val="20"/>
                <w:color w:val="auto"/>
              </w:rPr>
            </w:pPr>
            <w:r>
              <w:rPr>
                <w:rFonts w:ascii="Arial" w:cs="Arial" w:eastAsia="Arial" w:hAnsi="Arial"/>
                <w:sz w:val="11"/>
                <w:szCs w:val="11"/>
                <w:i w:val="1"/>
                <w:iCs w:val="1"/>
                <w:color w:val="auto"/>
              </w:rPr>
              <w:t>Corporate debt</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i w:val="1"/>
                <w:iCs w:val="1"/>
                <w:color w:val="auto"/>
              </w:rPr>
              <w:t>378,422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i w:val="1"/>
                <w:iCs w:val="1"/>
                <w:color w:val="auto"/>
              </w:rPr>
              <w:t>378,422</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i w:val="1"/>
                <w:iCs w:val="1"/>
                <w:color w:val="auto"/>
              </w:rPr>
              <w:t>378,422</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i w:val="1"/>
                <w:iCs w:val="1"/>
                <w:color w:val="auto"/>
              </w:rPr>
              <w:t>578,422</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i w:val="1"/>
                <w:iCs w:val="1"/>
                <w:color w:val="auto"/>
              </w:rPr>
              <w:t>578,422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i w:val="1"/>
                <w:iCs w:val="1"/>
                <w:color w:val="auto"/>
              </w:rPr>
              <w:t>578,422</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i w:val="1"/>
                <w:iCs w:val="1"/>
                <w:color w:val="auto"/>
              </w:rPr>
              <w:t>648,422</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i w:val="1"/>
                <w:iCs w:val="1"/>
                <w:color w:val="auto"/>
              </w:rPr>
              <w:t>578,422</w:t>
            </w:r>
          </w:p>
        </w:tc>
      </w:tr>
      <w:tr>
        <w:trPr>
          <w:trHeight w:val="145"/>
        </w:trPr>
        <w:tc>
          <w:tcPr>
            <w:tcW w:w="3620" w:type="dxa"/>
            <w:vAlign w:val="bottom"/>
            <w:shd w:val="clear" w:color="auto" w:fill="DBDBDB"/>
          </w:tcPr>
          <w:p>
            <w:pPr>
              <w:ind w:left="320"/>
              <w:spacing w:after="0"/>
              <w:rPr>
                <w:sz w:val="20"/>
                <w:szCs w:val="20"/>
                <w:color w:val="auto"/>
              </w:rPr>
            </w:pPr>
            <w:r>
              <w:rPr>
                <w:rFonts w:ascii="Arial" w:cs="Arial" w:eastAsia="Arial" w:hAnsi="Arial"/>
                <w:sz w:val="11"/>
                <w:szCs w:val="11"/>
                <w:i w:val="1"/>
                <w:iCs w:val="1"/>
                <w:color w:val="auto"/>
              </w:rPr>
              <w:t>Investment-level debt</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i w:val="1"/>
                <w:iCs w:val="1"/>
                <w:color w:val="auto"/>
              </w:rPr>
              <w:t>—</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i w:val="1"/>
                <w:iCs w:val="1"/>
                <w:color w:val="auto"/>
              </w:rPr>
              <w:t>1,351</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i w:val="1"/>
                <w:iCs w:val="1"/>
                <w:color w:val="auto"/>
              </w:rPr>
              <w:t>7,006</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i w:val="1"/>
                <w:iCs w:val="1"/>
                <w:color w:val="auto"/>
              </w:rPr>
              <w:t>149</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i w:val="1"/>
                <w:iCs w:val="1"/>
                <w:color w:val="auto"/>
              </w:rPr>
              <w:t>124</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i w:val="1"/>
                <w:iCs w:val="1"/>
                <w:color w:val="auto"/>
              </w:rPr>
              <w:t>177,396</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i w:val="1"/>
                <w:iCs w:val="1"/>
                <w:color w:val="auto"/>
              </w:rPr>
              <w:t>348,196</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i w:val="1"/>
                <w:iCs w:val="1"/>
                <w:color w:val="auto"/>
              </w:rPr>
              <w:t>130,500</w:t>
            </w:r>
          </w:p>
        </w:tc>
      </w:tr>
      <w:tr>
        <w:trPr>
          <w:trHeight w:val="198"/>
        </w:trPr>
        <w:tc>
          <w:tcPr>
            <w:tcW w:w="3620" w:type="dxa"/>
            <w:vAlign w:val="bottom"/>
          </w:tcPr>
          <w:p>
            <w:pPr>
              <w:ind w:left="140"/>
              <w:spacing w:after="0"/>
              <w:rPr>
                <w:sz w:val="20"/>
                <w:szCs w:val="20"/>
                <w:color w:val="auto"/>
              </w:rPr>
            </w:pPr>
            <w:r>
              <w:rPr>
                <w:rFonts w:ascii="Arial" w:cs="Arial" w:eastAsia="Arial" w:hAnsi="Arial"/>
                <w:sz w:val="11"/>
                <w:szCs w:val="11"/>
                <w:color w:val="auto"/>
              </w:rPr>
              <w:t>Total Debt</w:t>
            </w:r>
            <w:r>
              <w:rPr>
                <w:rFonts w:ascii="Arial" w:cs="Arial" w:eastAsia="Arial" w:hAnsi="Arial"/>
                <w:sz w:val="14"/>
                <w:szCs w:val="14"/>
                <w:color w:val="auto"/>
                <w:vertAlign w:val="superscript"/>
              </w:rPr>
              <w:t>(2)</w:t>
            </w:r>
          </w:p>
        </w:tc>
        <w:tc>
          <w:tcPr>
            <w:tcW w:w="240" w:type="dxa"/>
            <w:vAlign w:val="bottom"/>
          </w:tcPr>
          <w:p>
            <w:pPr>
              <w:spacing w:after="0"/>
              <w:rPr>
                <w:sz w:val="17"/>
                <w:szCs w:val="17"/>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378,422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379,773</w:t>
            </w:r>
          </w:p>
        </w:tc>
        <w:tc>
          <w:tcPr>
            <w:tcW w:w="12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385,428</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578,571</w:t>
            </w:r>
          </w:p>
        </w:tc>
        <w:tc>
          <w:tcPr>
            <w:tcW w:w="240" w:type="dxa"/>
            <w:vAlign w:val="bottom"/>
          </w:tcPr>
          <w:p>
            <w:pPr>
              <w:spacing w:after="0"/>
              <w:rPr>
                <w:sz w:val="17"/>
                <w:szCs w:val="17"/>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578,546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755,818</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996,618</w:t>
            </w:r>
          </w:p>
        </w:tc>
        <w:tc>
          <w:tcPr>
            <w:tcW w:w="120" w:type="dxa"/>
            <w:vAlign w:val="bottom"/>
          </w:tcPr>
          <w:p>
            <w:pPr>
              <w:spacing w:after="0"/>
              <w:rPr>
                <w:sz w:val="17"/>
                <w:szCs w:val="17"/>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708,922</w:t>
            </w:r>
          </w:p>
        </w:tc>
      </w:tr>
      <w:tr>
        <w:trPr>
          <w:trHeight w:val="27"/>
        </w:trPr>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Corporate cash</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175,195</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230,300</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204,508</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449,368</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733,382</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423,441</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55,628</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813,237</w:t>
            </w:r>
          </w:p>
        </w:tc>
      </w:tr>
      <w:tr>
        <w:trPr>
          <w:trHeight w:val="142"/>
        </w:trPr>
        <w:tc>
          <w:tcPr>
            <w:tcW w:w="3620" w:type="dxa"/>
            <w:vAlign w:val="bottom"/>
          </w:tcPr>
          <w:p>
            <w:pPr>
              <w:spacing w:after="0"/>
              <w:rPr>
                <w:sz w:val="20"/>
                <w:szCs w:val="20"/>
                <w:color w:val="auto"/>
              </w:rPr>
            </w:pPr>
            <w:r>
              <w:rPr>
                <w:rFonts w:ascii="Arial" w:cs="Arial" w:eastAsia="Arial" w:hAnsi="Arial"/>
                <w:sz w:val="11"/>
                <w:szCs w:val="11"/>
                <w:color w:val="auto"/>
              </w:rPr>
              <w:t>Corporate cash &amp; VFN / Revolver borrowing availability</w:t>
            </w:r>
          </w:p>
        </w:tc>
        <w:tc>
          <w:tcPr>
            <w:tcW w:w="2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475,195</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530,300</w:t>
            </w: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504,508</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749,368</w:t>
            </w:r>
          </w:p>
        </w:tc>
        <w:tc>
          <w:tcPr>
            <w:tcW w:w="24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1,033,382</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723,441</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285,628</w:t>
            </w:r>
          </w:p>
        </w:tc>
        <w:tc>
          <w:tcPr>
            <w:tcW w:w="120" w:type="dxa"/>
            <w:vAlign w:val="bottom"/>
          </w:tcPr>
          <w:p>
            <w:pPr>
              <w:spacing w:after="0"/>
              <w:rPr>
                <w:sz w:val="12"/>
                <w:szCs w:val="12"/>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1,013,237</w:t>
            </w:r>
          </w:p>
        </w:tc>
      </w:tr>
      <w:tr>
        <w:trPr>
          <w:trHeight w:val="65"/>
        </w:trPr>
        <w:tc>
          <w:tcPr>
            <w:tcW w:w="3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144"/>
        </w:trPr>
        <w:tc>
          <w:tcPr>
            <w:tcW w:w="3620" w:type="dxa"/>
            <w:vAlign w:val="bottom"/>
            <w:shd w:val="clear" w:color="auto" w:fill="DBDBDB"/>
          </w:tcPr>
          <w:p>
            <w:pPr>
              <w:spacing w:after="0"/>
              <w:rPr>
                <w:sz w:val="20"/>
                <w:szCs w:val="20"/>
                <w:color w:val="auto"/>
              </w:rPr>
            </w:pPr>
            <w:r>
              <w:rPr>
                <w:rFonts w:ascii="Arial" w:cs="Arial" w:eastAsia="Arial" w:hAnsi="Arial"/>
                <w:sz w:val="11"/>
                <w:szCs w:val="11"/>
                <w:color w:val="auto"/>
              </w:rPr>
              <w:t>Perpetual Preferred Equity, $25 per share liquidation preference</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821,899</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821,899</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821,899</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827,711</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827,779</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827,779</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883,500</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883,500</w:t>
            </w:r>
          </w:p>
        </w:tc>
      </w:tr>
      <w:tr>
        <w:trPr>
          <w:trHeight w:val="180"/>
        </w:trPr>
        <w:tc>
          <w:tcPr>
            <w:tcW w:w="3620" w:type="dxa"/>
            <w:vAlign w:val="bottom"/>
          </w:tcPr>
          <w:p>
            <w:pPr>
              <w:spacing w:after="0"/>
              <w:rPr>
                <w:sz w:val="20"/>
                <w:szCs w:val="20"/>
                <w:color w:val="auto"/>
              </w:rPr>
            </w:pPr>
            <w:r>
              <w:rPr>
                <w:rFonts w:ascii="Arial" w:cs="Arial" w:eastAsia="Arial" w:hAnsi="Arial"/>
                <w:sz w:val="11"/>
                <w:szCs w:val="11"/>
                <w:color w:val="auto"/>
              </w:rPr>
              <w:t>Basic shares and OP units outstanding</w:t>
            </w:r>
            <w:r>
              <w:rPr>
                <w:rFonts w:ascii="Arial" w:cs="Arial" w:eastAsia="Arial" w:hAnsi="Arial"/>
                <w:sz w:val="14"/>
                <w:szCs w:val="14"/>
                <w:color w:val="auto"/>
                <w:vertAlign w:val="superscript"/>
              </w:rPr>
              <w:t>(1)(3)</w:t>
            </w:r>
          </w:p>
        </w:tc>
        <w:tc>
          <w:tcPr>
            <w:tcW w:w="240" w:type="dxa"/>
            <w:vAlign w:val="bottom"/>
          </w:tcPr>
          <w:p>
            <w:pPr>
              <w:spacing w:after="0"/>
              <w:rPr>
                <w:sz w:val="15"/>
                <w:szCs w:val="15"/>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175,751</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175,806</w:t>
            </w:r>
          </w:p>
        </w:tc>
        <w:tc>
          <w:tcPr>
            <w:tcW w:w="12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175,017</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174,630</w:t>
            </w:r>
          </w:p>
        </w:tc>
        <w:tc>
          <w:tcPr>
            <w:tcW w:w="24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172,558</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175,770</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176,733</w:t>
            </w:r>
          </w:p>
        </w:tc>
        <w:tc>
          <w:tcPr>
            <w:tcW w:w="120" w:type="dxa"/>
            <w:vAlign w:val="bottom"/>
          </w:tcPr>
          <w:p>
            <w:pPr>
              <w:spacing w:after="0"/>
              <w:rPr>
                <w:sz w:val="15"/>
                <w:szCs w:val="15"/>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162,265</w:t>
            </w:r>
          </w:p>
        </w:tc>
      </w:tr>
      <w:tr>
        <w:trPr>
          <w:trHeight w:val="144"/>
        </w:trPr>
        <w:tc>
          <w:tcPr>
            <w:tcW w:w="3620" w:type="dxa"/>
            <w:vAlign w:val="bottom"/>
            <w:shd w:val="clear" w:color="auto" w:fill="DBDBDB"/>
          </w:tcPr>
          <w:p>
            <w:pPr>
              <w:spacing w:after="0" w:line="144" w:lineRule="exact"/>
              <w:rPr>
                <w:sz w:val="20"/>
                <w:szCs w:val="20"/>
                <w:color w:val="auto"/>
              </w:rPr>
            </w:pPr>
            <w:r>
              <w:rPr>
                <w:rFonts w:ascii="Arial" w:cs="Arial" w:eastAsia="Arial" w:hAnsi="Arial"/>
                <w:sz w:val="11"/>
                <w:szCs w:val="11"/>
                <w:color w:val="auto"/>
              </w:rPr>
              <w:t>Diluted shares and OP units outstanding</w:t>
            </w:r>
            <w:r>
              <w:rPr>
                <w:rFonts w:ascii="Arial" w:cs="Arial" w:eastAsia="Arial" w:hAnsi="Arial"/>
                <w:sz w:val="14"/>
                <w:szCs w:val="14"/>
                <w:color w:val="auto"/>
                <w:vertAlign w:val="superscript"/>
              </w:rPr>
              <w:t>(1)(3)</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186,406</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185,943</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185,506</w:t>
            </w:r>
          </w:p>
        </w:tc>
        <w:tc>
          <w:tcPr>
            <w:tcW w:w="120" w:type="dxa"/>
            <w:vAlign w:val="bottom"/>
            <w:shd w:val="clear" w:color="auto" w:fill="DBDBDB"/>
          </w:tcPr>
          <w:p>
            <w:pPr>
              <w:spacing w:after="0"/>
              <w:rPr>
                <w:sz w:val="12"/>
                <w:szCs w:val="12"/>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185,243</w:t>
            </w:r>
          </w:p>
        </w:tc>
        <w:tc>
          <w:tcPr>
            <w:tcW w:w="24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182,907</w:t>
            </w: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188,478</w:t>
            </w:r>
          </w:p>
        </w:tc>
        <w:tc>
          <w:tcPr>
            <w:tcW w:w="120" w:type="dxa"/>
            <w:vAlign w:val="bottom"/>
            <w:shd w:val="clear" w:color="auto" w:fill="DBDBDB"/>
          </w:tcPr>
          <w:p>
            <w:pPr>
              <w:spacing w:after="0"/>
              <w:rPr>
                <w:sz w:val="12"/>
                <w:szCs w:val="12"/>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191,185</w:t>
            </w:r>
          </w:p>
        </w:tc>
        <w:tc>
          <w:tcPr>
            <w:tcW w:w="12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180,758</w:t>
            </w:r>
          </w:p>
        </w:tc>
      </w:tr>
      <w:tr>
        <w:trPr>
          <w:trHeight w:val="142"/>
        </w:trPr>
        <w:tc>
          <w:tcPr>
            <w:tcW w:w="3620" w:type="dxa"/>
            <w:vAlign w:val="bottom"/>
          </w:tcPr>
          <w:p>
            <w:pPr>
              <w:spacing w:after="0"/>
              <w:rPr>
                <w:sz w:val="20"/>
                <w:szCs w:val="20"/>
                <w:color w:val="auto"/>
              </w:rPr>
            </w:pPr>
            <w:r>
              <w:rPr>
                <w:rFonts w:ascii="Arial" w:cs="Arial" w:eastAsia="Arial" w:hAnsi="Arial"/>
                <w:sz w:val="11"/>
                <w:szCs w:val="11"/>
                <w:color w:val="auto"/>
              </w:rPr>
              <w:t>Common dividend per share</w:t>
            </w:r>
          </w:p>
        </w:tc>
        <w:tc>
          <w:tcPr>
            <w:tcW w:w="240" w:type="dxa"/>
            <w:vAlign w:val="bottom"/>
          </w:tcPr>
          <w:p>
            <w:pPr>
              <w:jc w:val="right"/>
              <w:ind w:right="107"/>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0.01</w:t>
            </w:r>
          </w:p>
        </w:tc>
        <w:tc>
          <w:tcPr>
            <w:tcW w:w="2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0.01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-752475</wp:posOffset>
            </wp:positionV>
            <wp:extent cx="48691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69180" cy="5715"/>
                    </a:xfrm>
                    <a:prstGeom prst="rect">
                      <a:avLst/>
                    </a:prstGeom>
                    <a:noFill/>
                  </pic:spPr>
                </pic:pic>
              </a:graphicData>
            </a:graphic>
          </wp:anchor>
        </w:drawing>
      </w:r>
    </w:p>
    <w:p>
      <w:pPr>
        <w:spacing w:after="0" w:line="33"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188" w:hanging="188"/>
        <w:spacing w:after="0"/>
        <w:tabs>
          <w:tab w:leader="none" w:pos="188" w:val="left"/>
        </w:tabs>
        <w:numPr>
          <w:ilvl w:val="0"/>
          <w:numId w:val="7"/>
        </w:numPr>
        <w:rPr>
          <w:rFonts w:ascii="Arial" w:cs="Arial" w:eastAsia="Arial" w:hAnsi="Arial"/>
          <w:sz w:val="8"/>
          <w:szCs w:val="8"/>
          <w:color w:val="424242"/>
        </w:rPr>
      </w:pPr>
      <w:r>
        <w:rPr>
          <w:rFonts w:ascii="Arial" w:cs="Arial" w:eastAsia="Arial" w:hAnsi="Arial"/>
          <w:sz w:val="8"/>
          <w:szCs w:val="8"/>
          <w:color w:val="424242"/>
        </w:rPr>
        <w:t>In August 2022, the Company effectuated a 1-for-4 reverse stock split of its shares of class A and B common stock. All prior period common share and per share information is presented after giving effect to the reverse stock split.</w:t>
      </w:r>
    </w:p>
    <w:p>
      <w:pPr>
        <w:spacing w:after="0" w:line="4" w:lineRule="exact"/>
        <w:rPr>
          <w:rFonts w:ascii="Arial" w:cs="Arial" w:eastAsia="Arial" w:hAnsi="Arial"/>
          <w:sz w:val="8"/>
          <w:szCs w:val="8"/>
          <w:color w:val="424242"/>
        </w:rPr>
      </w:pPr>
    </w:p>
    <w:p>
      <w:pPr>
        <w:ind w:left="188" w:hanging="188"/>
        <w:spacing w:after="0"/>
        <w:tabs>
          <w:tab w:leader="none" w:pos="188" w:val="left"/>
        </w:tabs>
        <w:numPr>
          <w:ilvl w:val="0"/>
          <w:numId w:val="7"/>
        </w:numPr>
        <w:rPr>
          <w:rFonts w:ascii="Arial" w:cs="Arial" w:eastAsia="Arial" w:hAnsi="Arial"/>
          <w:sz w:val="8"/>
          <w:szCs w:val="8"/>
          <w:color w:val="424242"/>
        </w:rPr>
      </w:pPr>
      <w:r>
        <w:rPr>
          <w:rFonts w:ascii="Arial" w:cs="Arial" w:eastAsia="Arial" w:hAnsi="Arial"/>
          <w:sz w:val="8"/>
          <w:szCs w:val="8"/>
          <w:color w:val="424242"/>
        </w:rPr>
        <w:t>Represents principal balance and excludes debt issuance costs, discounts and premiums.</w:t>
      </w:r>
    </w:p>
    <w:p>
      <w:pPr>
        <w:spacing w:after="0" w:line="7" w:lineRule="exact"/>
        <w:rPr>
          <w:rFonts w:ascii="Arial" w:cs="Arial" w:eastAsia="Arial" w:hAnsi="Arial"/>
          <w:sz w:val="8"/>
          <w:szCs w:val="8"/>
          <w:color w:val="424242"/>
        </w:rPr>
      </w:pPr>
    </w:p>
    <w:p>
      <w:pPr>
        <w:ind w:left="208" w:hanging="208"/>
        <w:spacing w:after="0" w:line="259" w:lineRule="auto"/>
        <w:tabs>
          <w:tab w:leader="none" w:pos="188" w:val="left"/>
        </w:tabs>
        <w:numPr>
          <w:ilvl w:val="0"/>
          <w:numId w:val="7"/>
        </w:numPr>
        <w:rPr>
          <w:rFonts w:ascii="Arial" w:cs="Arial" w:eastAsia="Arial" w:hAnsi="Arial"/>
          <w:sz w:val="8"/>
          <w:szCs w:val="8"/>
          <w:color w:val="424242"/>
        </w:rPr>
      </w:pPr>
      <w:r>
        <w:rPr>
          <w:rFonts w:ascii="Arial" w:cs="Arial" w:eastAsia="Arial" w:hAnsi="Arial"/>
          <w:sz w:val="8"/>
          <w:szCs w:val="8"/>
          <w:color w:val="424242"/>
        </w:rPr>
        <w:t>Basic shares and OP units outstanding for the respective quarters represent the shares/units outstanding at quarter end of Class A and Class B common stock, inclusive of unvested restricted stock and OP units. For the purpose of calculating basic DE per share, the basic shares and OP units represent the weighted average number of share/units during the respective quarters and is inclusive of vested deferred stock units. Diluted shares and OP units outstanding for the respective quarters represent the number of basic shares and OP units outstanding at quarter end, adjusted to include the effect of potentially dilutive share equivalents which are common stock issuable in connection with performance stock units, exchangeable senior notes and in-the-money warrants issued to Wafra.</w:t>
      </w:r>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7</w:t>
            </w:r>
          </w:p>
        </w:tc>
      </w:tr>
    </w:tbl>
    <w:p>
      <w:pPr>
        <w:sectPr>
          <w:pgSz w:w="11900" w:h="16838" w:orient="portrait"/>
          <w:cols w:equalWidth="0" w:num="1">
            <w:col w:w="11308"/>
          </w:cols>
          <w:pgMar w:left="292" w:top="130" w:right="299" w:bottom="1440" w:gutter="0" w:footer="0" w:header="0"/>
        </w:sectPr>
      </w:pPr>
    </w:p>
    <w:bookmarkStart w:id="47" w:name="page48"/>
    <w:bookmarkEnd w:id="47"/>
    <w:p>
      <w:pPr>
        <w:ind w:left="8"/>
        <w:spacing w:after="0"/>
        <w:rPr>
          <w:sz w:val="20"/>
          <w:szCs w:val="20"/>
          <w:color w:val="auto"/>
        </w:rPr>
      </w:pPr>
      <w:r>
        <w:rPr>
          <w:rFonts w:ascii="Arial" w:cs="Arial" w:eastAsia="Arial" w:hAnsi="Arial"/>
          <w:sz w:val="29"/>
          <w:szCs w:val="29"/>
          <w:color w:val="auto"/>
        </w:rPr>
        <w:t>Ib.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328" w:type="dxa"/>
        <w:tblCellMar>
          <w:top w:w="0" w:type="dxa"/>
          <w:left w:w="0" w:type="dxa"/>
          <w:bottom w:w="0" w:type="dxa"/>
          <w:right w:w="0" w:type="dxa"/>
        </w:tblCellMar>
      </w:tblPr>
      <w:tr>
        <w:trPr>
          <w:trHeight w:val="130"/>
        </w:trPr>
        <w:tc>
          <w:tcPr>
            <w:tcW w:w="2320" w:type="dxa"/>
            <w:vAlign w:val="bottom"/>
          </w:tcPr>
          <w:p>
            <w:pPr>
              <w:ind w:left="20"/>
              <w:spacing w:after="0"/>
              <w:rPr>
                <w:sz w:val="20"/>
                <w:szCs w:val="20"/>
                <w:color w:val="auto"/>
              </w:rPr>
            </w:pPr>
            <w:r>
              <w:rPr>
                <w:rFonts w:ascii="Arial" w:cs="Arial" w:eastAsia="Arial" w:hAnsi="Arial"/>
                <w:sz w:val="10"/>
                <w:szCs w:val="10"/>
                <w:i w:val="1"/>
                <w:iCs w:val="1"/>
                <w:color w:val="auto"/>
              </w:rPr>
              <w:t>($ in millions)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700" w:type="dxa"/>
            <w:vAlign w:val="bottom"/>
            <w:gridSpan w:val="2"/>
          </w:tcPr>
          <w:p>
            <w:pPr>
              <w:jc w:val="center"/>
              <w:ind w:left="27"/>
              <w:spacing w:after="0"/>
              <w:rPr>
                <w:sz w:val="20"/>
                <w:szCs w:val="20"/>
                <w:color w:val="auto"/>
              </w:rPr>
            </w:pPr>
            <w:r>
              <w:rPr>
                <w:rFonts w:ascii="Arial" w:cs="Arial" w:eastAsia="Arial" w:hAnsi="Arial"/>
                <w:sz w:val="10"/>
                <w:szCs w:val="10"/>
                <w:b w:val="1"/>
                <w:bCs w:val="1"/>
                <w:color w:val="auto"/>
                <w:w w:val="97"/>
              </w:rPr>
              <w:t>12/31/23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3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Investment Management FEEUM</w:t>
            </w:r>
          </w:p>
        </w:tc>
        <w:tc>
          <w:tcPr>
            <w:tcW w:w="100" w:type="dxa"/>
            <w:vAlign w:val="bottom"/>
          </w:tcPr>
          <w:p>
            <w:pPr>
              <w:spacing w:after="0"/>
              <w:rPr>
                <w:sz w:val="8"/>
                <w:szCs w:val="8"/>
                <w:color w:val="auto"/>
              </w:rPr>
            </w:pPr>
          </w:p>
        </w:tc>
        <w:tc>
          <w:tcPr>
            <w:tcW w:w="6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6"/>
              </w:rPr>
              <w:t>Annual IM</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12/31/23</w:t>
            </w:r>
          </w:p>
        </w:tc>
        <w:tc>
          <w:tcPr>
            <w:tcW w:w="140" w:type="dxa"/>
            <w:vAlign w:val="bottom"/>
          </w:tcPr>
          <w:p>
            <w:pPr>
              <w:spacing w:after="0"/>
              <w:rPr>
                <w:sz w:val="8"/>
                <w:szCs w:val="8"/>
                <w:color w:val="auto"/>
              </w:rPr>
            </w:pPr>
          </w:p>
        </w:tc>
        <w:tc>
          <w:tcPr>
            <w:tcW w:w="560" w:type="dxa"/>
            <w:vAlign w:val="bottom"/>
            <w:vMerge w:val="restart"/>
          </w:tcPr>
          <w:p>
            <w:pPr>
              <w:jc w:val="right"/>
              <w:ind w:right="126"/>
              <w:spacing w:after="0"/>
              <w:rPr>
                <w:sz w:val="20"/>
                <w:szCs w:val="20"/>
                <w:color w:val="auto"/>
              </w:rPr>
            </w:pPr>
            <w:r>
              <w:rPr>
                <w:rFonts w:ascii="Arial" w:cs="Arial" w:eastAsia="Arial" w:hAnsi="Arial"/>
                <w:sz w:val="10"/>
                <w:szCs w:val="10"/>
                <w:b w:val="1"/>
                <w:bCs w:val="1"/>
                <w:color w:val="auto"/>
              </w:rPr>
              <w:t>9/30/23</w:t>
            </w:r>
          </w:p>
        </w:tc>
        <w:tc>
          <w:tcPr>
            <w:tcW w:w="120" w:type="dxa"/>
            <w:vAlign w:val="bottom"/>
          </w:tcPr>
          <w:p>
            <w:pPr>
              <w:spacing w:after="0"/>
              <w:rPr>
                <w:sz w:val="8"/>
                <w:szCs w:val="8"/>
                <w:color w:val="auto"/>
              </w:rPr>
            </w:pPr>
          </w:p>
        </w:tc>
        <w:tc>
          <w:tcPr>
            <w:tcW w:w="560" w:type="dxa"/>
            <w:vAlign w:val="bottom"/>
            <w:vMerge w:val="restart"/>
          </w:tcPr>
          <w:p>
            <w:pPr>
              <w:jc w:val="right"/>
              <w:ind w:right="126"/>
              <w:spacing w:after="0"/>
              <w:rPr>
                <w:sz w:val="20"/>
                <w:szCs w:val="20"/>
                <w:color w:val="auto"/>
              </w:rPr>
            </w:pPr>
            <w:r>
              <w:rPr>
                <w:rFonts w:ascii="Arial" w:cs="Arial" w:eastAsia="Arial" w:hAnsi="Arial"/>
                <w:sz w:val="10"/>
                <w:szCs w:val="10"/>
                <w:b w:val="1"/>
                <w:bCs w:val="1"/>
                <w:color w:val="auto"/>
              </w:rPr>
              <w:t>6/30/23</w:t>
            </w:r>
          </w:p>
        </w:tc>
        <w:tc>
          <w:tcPr>
            <w:tcW w:w="120" w:type="dxa"/>
            <w:vAlign w:val="bottom"/>
          </w:tcPr>
          <w:p>
            <w:pPr>
              <w:spacing w:after="0"/>
              <w:rPr>
                <w:sz w:val="8"/>
                <w:szCs w:val="8"/>
                <w:color w:val="auto"/>
              </w:rPr>
            </w:pPr>
          </w:p>
        </w:tc>
        <w:tc>
          <w:tcPr>
            <w:tcW w:w="560" w:type="dxa"/>
            <w:vAlign w:val="bottom"/>
            <w:vMerge w:val="restart"/>
          </w:tcPr>
          <w:p>
            <w:pPr>
              <w:jc w:val="right"/>
              <w:ind w:right="106"/>
              <w:spacing w:after="0"/>
              <w:rPr>
                <w:sz w:val="20"/>
                <w:szCs w:val="20"/>
                <w:color w:val="auto"/>
              </w:rPr>
            </w:pPr>
            <w:r>
              <w:rPr>
                <w:rFonts w:ascii="Arial" w:cs="Arial" w:eastAsia="Arial" w:hAnsi="Arial"/>
                <w:sz w:val="10"/>
                <w:szCs w:val="10"/>
                <w:b w:val="1"/>
                <w:bCs w:val="1"/>
                <w:color w:val="auto"/>
              </w:rPr>
              <w:t>3/31/23</w:t>
            </w:r>
          </w:p>
        </w:tc>
        <w:tc>
          <w:tcPr>
            <w:tcW w:w="120" w:type="dxa"/>
            <w:vAlign w:val="bottom"/>
          </w:tcPr>
          <w:p>
            <w:pPr>
              <w:spacing w:after="0"/>
              <w:rPr>
                <w:sz w:val="8"/>
                <w:szCs w:val="8"/>
                <w:color w:val="auto"/>
              </w:rPr>
            </w:pPr>
          </w:p>
        </w:tc>
        <w:tc>
          <w:tcPr>
            <w:tcW w:w="560" w:type="dxa"/>
            <w:vAlign w:val="bottom"/>
            <w:vMerge w:val="restart"/>
          </w:tcPr>
          <w:p>
            <w:pPr>
              <w:jc w:val="right"/>
              <w:ind w:right="86"/>
              <w:spacing w:after="0"/>
              <w:rPr>
                <w:sz w:val="20"/>
                <w:szCs w:val="20"/>
                <w:color w:val="auto"/>
              </w:rPr>
            </w:pPr>
            <w:r>
              <w:rPr>
                <w:rFonts w:ascii="Arial" w:cs="Arial" w:eastAsia="Arial" w:hAnsi="Arial"/>
                <w:sz w:val="10"/>
                <w:szCs w:val="10"/>
                <w:b w:val="1"/>
                <w:bCs w:val="1"/>
                <w:color w:val="auto"/>
              </w:rPr>
              <w:t>12/31/22</w:t>
            </w:r>
          </w:p>
        </w:tc>
        <w:tc>
          <w:tcPr>
            <w:tcW w:w="140" w:type="dxa"/>
            <w:vAlign w:val="bottom"/>
          </w:tcPr>
          <w:p>
            <w:pPr>
              <w:spacing w:after="0"/>
              <w:rPr>
                <w:sz w:val="8"/>
                <w:szCs w:val="8"/>
                <w:color w:val="auto"/>
              </w:rPr>
            </w:pPr>
          </w:p>
        </w:tc>
        <w:tc>
          <w:tcPr>
            <w:tcW w:w="540" w:type="dxa"/>
            <w:vAlign w:val="bottom"/>
            <w:vMerge w:val="restart"/>
          </w:tcPr>
          <w:p>
            <w:pPr>
              <w:jc w:val="right"/>
              <w:ind w:right="106"/>
              <w:spacing w:after="0"/>
              <w:rPr>
                <w:sz w:val="20"/>
                <w:szCs w:val="20"/>
                <w:color w:val="auto"/>
              </w:rPr>
            </w:pPr>
            <w:r>
              <w:rPr>
                <w:rFonts w:ascii="Arial" w:cs="Arial" w:eastAsia="Arial" w:hAnsi="Arial"/>
                <w:sz w:val="10"/>
                <w:szCs w:val="10"/>
                <w:b w:val="1"/>
                <w:bCs w:val="1"/>
                <w:color w:val="auto"/>
              </w:rPr>
              <w:t>9/30/22</w:t>
            </w:r>
          </w:p>
        </w:tc>
        <w:tc>
          <w:tcPr>
            <w:tcW w:w="140" w:type="dxa"/>
            <w:vAlign w:val="bottom"/>
          </w:tcPr>
          <w:p>
            <w:pPr>
              <w:spacing w:after="0"/>
              <w:rPr>
                <w:sz w:val="8"/>
                <w:szCs w:val="8"/>
                <w:color w:val="auto"/>
              </w:rPr>
            </w:pPr>
          </w:p>
        </w:tc>
        <w:tc>
          <w:tcPr>
            <w:tcW w:w="560" w:type="dxa"/>
            <w:vAlign w:val="bottom"/>
            <w:vMerge w:val="restart"/>
          </w:tcPr>
          <w:p>
            <w:pPr>
              <w:jc w:val="right"/>
              <w:ind w:right="126"/>
              <w:spacing w:after="0"/>
              <w:rPr>
                <w:sz w:val="20"/>
                <w:szCs w:val="20"/>
                <w:color w:val="auto"/>
              </w:rPr>
            </w:pPr>
            <w:r>
              <w:rPr>
                <w:rFonts w:ascii="Arial" w:cs="Arial" w:eastAsia="Arial" w:hAnsi="Arial"/>
                <w:sz w:val="10"/>
                <w:szCs w:val="10"/>
                <w:b w:val="1"/>
                <w:bCs w:val="1"/>
                <w:color w:val="auto"/>
              </w:rPr>
              <w:t>6/30/22</w:t>
            </w:r>
          </w:p>
        </w:tc>
        <w:tc>
          <w:tcPr>
            <w:tcW w:w="120" w:type="dxa"/>
            <w:vAlign w:val="bottom"/>
          </w:tcPr>
          <w:p>
            <w:pPr>
              <w:spacing w:after="0"/>
              <w:rPr>
                <w:sz w:val="8"/>
                <w:szCs w:val="8"/>
                <w:color w:val="auto"/>
              </w:rPr>
            </w:pPr>
          </w:p>
        </w:tc>
        <w:tc>
          <w:tcPr>
            <w:tcW w:w="560" w:type="dxa"/>
            <w:vAlign w:val="bottom"/>
            <w:vMerge w:val="restart"/>
          </w:tcPr>
          <w:p>
            <w:pPr>
              <w:jc w:val="right"/>
              <w:ind w:right="126"/>
              <w:spacing w:after="0"/>
              <w:rPr>
                <w:sz w:val="20"/>
                <w:szCs w:val="20"/>
                <w:color w:val="auto"/>
              </w:rPr>
            </w:pPr>
            <w:r>
              <w:rPr>
                <w:rFonts w:ascii="Arial" w:cs="Arial" w:eastAsia="Arial" w:hAnsi="Arial"/>
                <w:sz w:val="10"/>
                <w:szCs w:val="10"/>
                <w:b w:val="1"/>
                <w:bCs w:val="1"/>
                <w:color w:val="auto"/>
              </w:rPr>
              <w:t>3/31/22</w:t>
            </w:r>
          </w:p>
        </w:tc>
        <w:tc>
          <w:tcPr>
            <w:tcW w:w="0" w:type="dxa"/>
            <w:vAlign w:val="bottom"/>
          </w:tcPr>
          <w:p>
            <w:pPr>
              <w:spacing w:after="0"/>
              <w:rPr>
                <w:sz w:val="1"/>
                <w:szCs w:val="1"/>
                <w:color w:val="auto"/>
              </w:rPr>
            </w:pPr>
          </w:p>
        </w:tc>
      </w:tr>
      <w:tr>
        <w:trPr>
          <w:trHeight w:val="135"/>
        </w:trPr>
        <w:tc>
          <w:tcPr>
            <w:tcW w:w="2320" w:type="dxa"/>
            <w:vAlign w:val="bottom"/>
            <w:tcBorders>
              <w:bottom w:val="single" w:sz="8" w:color="DBDBDB"/>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Fee Rate</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3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DigitalBridge Partners I (DBP I)</w:t>
            </w:r>
          </w:p>
        </w:tc>
        <w:tc>
          <w:tcPr>
            <w:tcW w:w="100" w:type="dxa"/>
            <w:vAlign w:val="bottom"/>
          </w:tcPr>
          <w:p>
            <w:pPr>
              <w:spacing w:after="0"/>
              <w:rPr>
                <w:sz w:val="13"/>
                <w:szCs w:val="13"/>
                <w:color w:val="auto"/>
              </w:rPr>
            </w:pPr>
          </w:p>
        </w:tc>
        <w:tc>
          <w:tcPr>
            <w:tcW w:w="60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6"/>
              </w:rPr>
              <w:t>1.10%</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3,571</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3,345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3,311</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3,180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3,165</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2,802</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3,048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3,034</w:t>
            </w:r>
          </w:p>
        </w:tc>
        <w:tc>
          <w:tcPr>
            <w:tcW w:w="0" w:type="dxa"/>
            <w:vAlign w:val="bottom"/>
          </w:tcPr>
          <w:p>
            <w:pPr>
              <w:spacing w:after="0"/>
              <w:rPr>
                <w:sz w:val="1"/>
                <w:szCs w:val="1"/>
                <w:color w:val="auto"/>
              </w:rPr>
            </w:pPr>
          </w:p>
        </w:tc>
      </w:tr>
      <w:tr>
        <w:trPr>
          <w:trHeight w:val="170"/>
        </w:trPr>
        <w:tc>
          <w:tcPr>
            <w:tcW w:w="2320" w:type="dxa"/>
            <w:vAlign w:val="bottom"/>
          </w:tcPr>
          <w:p>
            <w:pPr>
              <w:ind w:left="160"/>
              <w:spacing w:after="0"/>
              <w:rPr>
                <w:sz w:val="20"/>
                <w:szCs w:val="20"/>
                <w:color w:val="auto"/>
              </w:rPr>
            </w:pPr>
            <w:r>
              <w:rPr>
                <w:rFonts w:ascii="Arial" w:cs="Arial" w:eastAsia="Arial" w:hAnsi="Arial"/>
                <w:sz w:val="11"/>
                <w:szCs w:val="11"/>
                <w:color w:val="auto"/>
              </w:rPr>
              <w:t>DigitalBridge Partners II (DBP II)</w:t>
            </w:r>
          </w:p>
        </w:tc>
        <w:tc>
          <w:tcPr>
            <w:tcW w:w="700" w:type="dxa"/>
            <w:vAlign w:val="bottom"/>
            <w:gridSpan w:val="2"/>
          </w:tcPr>
          <w:p>
            <w:pPr>
              <w:jc w:val="center"/>
              <w:ind w:left="27"/>
              <w:spacing w:after="0"/>
              <w:rPr>
                <w:sz w:val="20"/>
                <w:szCs w:val="20"/>
                <w:color w:val="auto"/>
              </w:rPr>
            </w:pPr>
            <w:r>
              <w:rPr>
                <w:rFonts w:ascii="Arial" w:cs="Arial" w:eastAsia="Arial" w:hAnsi="Arial"/>
                <w:sz w:val="11"/>
                <w:szCs w:val="11"/>
                <w:color w:val="auto"/>
                <w:w w:val="96"/>
              </w:rPr>
              <w:t>1.18%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6,687</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7,996</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7,996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7,996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7,996</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7,996</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7,996</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7,996</w:t>
            </w:r>
          </w:p>
        </w:tc>
        <w:tc>
          <w:tcPr>
            <w:tcW w:w="0" w:type="dxa"/>
            <w:vAlign w:val="bottom"/>
          </w:tcPr>
          <w:p>
            <w:pPr>
              <w:spacing w:after="0"/>
              <w:rPr>
                <w:sz w:val="1"/>
                <w:szCs w:val="1"/>
                <w:color w:val="auto"/>
              </w:rPr>
            </w:pPr>
          </w:p>
        </w:tc>
      </w:tr>
      <w:tr>
        <w:trPr>
          <w:trHeight w:val="76"/>
        </w:trPr>
        <w:tc>
          <w:tcPr>
            <w:tcW w:w="2320" w:type="dxa"/>
            <w:vAlign w:val="bottom"/>
            <w:vMerge w:val="restart"/>
            <w:shd w:val="clear" w:color="auto" w:fill="DBDBDB"/>
          </w:tcPr>
          <w:p>
            <w:pPr>
              <w:ind w:left="160"/>
              <w:spacing w:after="0"/>
              <w:rPr>
                <w:sz w:val="20"/>
                <w:szCs w:val="20"/>
                <w:color w:val="auto"/>
              </w:rPr>
            </w:pPr>
            <w:r>
              <w:rPr>
                <w:rFonts w:ascii="Arial" w:cs="Arial" w:eastAsia="Arial" w:hAnsi="Arial"/>
                <w:sz w:val="11"/>
                <w:szCs w:val="11"/>
                <w:color w:val="auto"/>
              </w:rPr>
              <w:t>DigitalBridge Partners III (DBP III)</w:t>
            </w:r>
          </w:p>
        </w:tc>
        <w:tc>
          <w:tcPr>
            <w:tcW w:w="100" w:type="dxa"/>
            <w:vAlign w:val="bottom"/>
          </w:tcPr>
          <w:p>
            <w:pPr>
              <w:spacing w:after="0"/>
              <w:rPr>
                <w:sz w:val="6"/>
                <w:szCs w:val="6"/>
                <w:color w:val="auto"/>
              </w:rPr>
            </w:pPr>
          </w:p>
        </w:tc>
        <w:tc>
          <w:tcPr>
            <w:tcW w:w="600" w:type="dxa"/>
            <w:vAlign w:val="bottom"/>
            <w:vMerge w:val="restart"/>
            <w:shd w:val="clear" w:color="auto" w:fill="DBDBDB"/>
          </w:tcPr>
          <w:p>
            <w:pPr>
              <w:jc w:val="center"/>
              <w:spacing w:after="0"/>
              <w:rPr>
                <w:sz w:val="20"/>
                <w:szCs w:val="20"/>
                <w:color w:val="auto"/>
              </w:rPr>
            </w:pPr>
            <w:r>
              <w:rPr>
                <w:rFonts w:ascii="Arial" w:cs="Arial" w:eastAsia="Arial" w:hAnsi="Arial"/>
                <w:sz w:val="11"/>
                <w:szCs w:val="11"/>
                <w:color w:val="auto"/>
                <w:w w:val="96"/>
              </w:rPr>
              <w:t>0.96%</w:t>
            </w:r>
          </w:p>
        </w:tc>
        <w:tc>
          <w:tcPr>
            <w:tcW w:w="160" w:type="dxa"/>
            <w:vAlign w:val="bottom"/>
            <w:shd w:val="clear" w:color="auto" w:fill="DBDBDB"/>
          </w:tcPr>
          <w:p>
            <w:pPr>
              <w:jc w:val="right"/>
              <w:spacing w:after="0"/>
              <w:rPr>
                <w:sz w:val="20"/>
                <w:szCs w:val="20"/>
                <w:color w:val="auto"/>
              </w:rPr>
            </w:pPr>
            <w:r>
              <w:rPr>
                <w:rFonts w:ascii="Arial" w:cs="Arial" w:eastAsia="Arial" w:hAnsi="Arial"/>
                <w:sz w:val="6"/>
                <w:szCs w:val="6"/>
                <w:color w:val="auto"/>
              </w:rPr>
              <w:t>(1)</w:t>
            </w:r>
          </w:p>
        </w:tc>
        <w:tc>
          <w:tcPr>
            <w:tcW w:w="10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2,671</w:t>
            </w:r>
          </w:p>
        </w:tc>
        <w:tc>
          <w:tcPr>
            <w:tcW w:w="14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6"/>
                <w:szCs w:val="6"/>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6"/>
                <w:szCs w:val="6"/>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6"/>
        </w:trPr>
        <w:tc>
          <w:tcPr>
            <w:tcW w:w="2320" w:type="dxa"/>
            <w:vAlign w:val="bottom"/>
            <w:vMerge w:val="continue"/>
            <w:shd w:val="clear" w:color="auto" w:fill="DBDBDB"/>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540" w:type="dxa"/>
            <w:vAlign w:val="bottom"/>
            <w:vMerge w:val="continue"/>
            <w:shd w:val="clear" w:color="auto" w:fill="DBDBDB"/>
          </w:tcPr>
          <w:p>
            <w:pPr>
              <w:spacing w:after="0"/>
              <w:rPr>
                <w:sz w:val="8"/>
                <w:szCs w:val="8"/>
                <w:color w:val="auto"/>
              </w:rPr>
            </w:pPr>
          </w:p>
        </w:tc>
        <w:tc>
          <w:tcPr>
            <w:tcW w:w="14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5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160"/>
              <w:spacing w:after="0"/>
              <w:rPr>
                <w:sz w:val="20"/>
                <w:szCs w:val="20"/>
                <w:color w:val="auto"/>
              </w:rPr>
            </w:pPr>
            <w:r>
              <w:rPr>
                <w:rFonts w:ascii="Arial" w:cs="Arial" w:eastAsia="Arial" w:hAnsi="Arial"/>
                <w:sz w:val="11"/>
                <w:szCs w:val="11"/>
                <w:color w:val="auto"/>
              </w:rPr>
              <w:t>Separately Capitalized Portfolio Companies</w:t>
            </w:r>
          </w:p>
        </w:tc>
        <w:tc>
          <w:tcPr>
            <w:tcW w:w="700" w:type="dxa"/>
            <w:vAlign w:val="bottom"/>
            <w:gridSpan w:val="2"/>
          </w:tcPr>
          <w:p>
            <w:pPr>
              <w:jc w:val="center"/>
              <w:ind w:left="27"/>
              <w:spacing w:after="0"/>
              <w:rPr>
                <w:sz w:val="20"/>
                <w:szCs w:val="20"/>
                <w:color w:val="auto"/>
              </w:rPr>
            </w:pPr>
            <w:r>
              <w:rPr>
                <w:rFonts w:ascii="Arial" w:cs="Arial" w:eastAsia="Arial" w:hAnsi="Arial"/>
                <w:sz w:val="11"/>
                <w:szCs w:val="11"/>
                <w:color w:val="auto"/>
                <w:w w:val="96"/>
              </w:rPr>
              <w:t>0.75%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2,372</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2,402</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2,267</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2,187</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2,512</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2,370</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2,401</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2,372</w:t>
            </w:r>
          </w:p>
        </w:tc>
        <w:tc>
          <w:tcPr>
            <w:tcW w:w="0" w:type="dxa"/>
            <w:vAlign w:val="bottom"/>
          </w:tcPr>
          <w:p>
            <w:pPr>
              <w:spacing w:after="0"/>
              <w:rPr>
                <w:sz w:val="1"/>
                <w:szCs w:val="1"/>
                <w:color w:val="auto"/>
              </w:rPr>
            </w:pPr>
          </w:p>
        </w:tc>
      </w:tr>
      <w:tr>
        <w:trPr>
          <w:trHeight w:val="109"/>
        </w:trPr>
        <w:tc>
          <w:tcPr>
            <w:tcW w:w="2320" w:type="dxa"/>
            <w:vAlign w:val="bottom"/>
            <w:shd w:val="clear" w:color="auto" w:fill="DBDBDB"/>
          </w:tcPr>
          <w:p>
            <w:pPr>
              <w:ind w:left="160"/>
              <w:spacing w:after="0" w:line="110" w:lineRule="exact"/>
              <w:rPr>
                <w:sz w:val="20"/>
                <w:szCs w:val="20"/>
                <w:color w:val="auto"/>
              </w:rPr>
            </w:pPr>
            <w:r>
              <w:rPr>
                <w:rFonts w:ascii="Arial" w:cs="Arial" w:eastAsia="Arial" w:hAnsi="Arial"/>
                <w:sz w:val="11"/>
                <w:szCs w:val="11"/>
                <w:color w:val="auto"/>
                <w:w w:val="97"/>
              </w:rPr>
              <w:t>InfraBridge Global Infrastructure Funds (GIF)</w:t>
            </w:r>
          </w:p>
        </w:tc>
        <w:tc>
          <w:tcPr>
            <w:tcW w:w="100" w:type="dxa"/>
            <w:vAlign w:val="bottom"/>
          </w:tcPr>
          <w:p>
            <w:pPr>
              <w:spacing w:after="0"/>
              <w:rPr>
                <w:sz w:val="9"/>
                <w:szCs w:val="9"/>
                <w:color w:val="auto"/>
              </w:rPr>
            </w:pPr>
          </w:p>
        </w:tc>
        <w:tc>
          <w:tcPr>
            <w:tcW w:w="600" w:type="dxa"/>
            <w:vAlign w:val="bottom"/>
            <w:vMerge w:val="restart"/>
            <w:shd w:val="clear" w:color="auto" w:fill="DBDBDB"/>
          </w:tcPr>
          <w:p>
            <w:pPr>
              <w:jc w:val="center"/>
              <w:spacing w:after="0"/>
              <w:rPr>
                <w:sz w:val="20"/>
                <w:szCs w:val="20"/>
                <w:color w:val="auto"/>
              </w:rPr>
            </w:pPr>
            <w:r>
              <w:rPr>
                <w:rFonts w:ascii="Arial" w:cs="Arial" w:eastAsia="Arial" w:hAnsi="Arial"/>
                <w:sz w:val="11"/>
                <w:szCs w:val="11"/>
                <w:color w:val="auto"/>
                <w:w w:val="96"/>
              </w:rPr>
              <w:t>1.16%</w:t>
            </w:r>
          </w:p>
        </w:tc>
        <w:tc>
          <w:tcPr>
            <w:tcW w:w="16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5,121</w:t>
            </w:r>
          </w:p>
        </w:tc>
        <w:tc>
          <w:tcPr>
            <w:tcW w:w="14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5,083</w:t>
            </w:r>
          </w:p>
        </w:tc>
        <w:tc>
          <w:tcPr>
            <w:tcW w:w="12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5,112</w:t>
            </w:r>
          </w:p>
        </w:tc>
        <w:tc>
          <w:tcPr>
            <w:tcW w:w="12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5,083</w:t>
            </w:r>
          </w:p>
        </w:tc>
        <w:tc>
          <w:tcPr>
            <w:tcW w:w="12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9"/>
                <w:szCs w:val="9"/>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3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&amp; Other</w:t>
            </w:r>
          </w:p>
        </w:tc>
        <w:tc>
          <w:tcPr>
            <w:tcW w:w="100" w:type="dxa"/>
            <w:vAlign w:val="bottom"/>
          </w:tcPr>
          <w:p>
            <w:pPr>
              <w:spacing w:after="0"/>
              <w:rPr>
                <w:sz w:val="12"/>
                <w:szCs w:val="12"/>
                <w:color w:val="auto"/>
              </w:rPr>
            </w:pPr>
          </w:p>
        </w:tc>
        <w:tc>
          <w:tcPr>
            <w:tcW w:w="600" w:type="dxa"/>
            <w:vAlign w:val="bottom"/>
            <w:vMerge w:val="continue"/>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40" w:type="dxa"/>
            <w:vAlign w:val="bottom"/>
            <w:vMerge w:val="continue"/>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160"/>
              <w:spacing w:after="0"/>
              <w:rPr>
                <w:sz w:val="20"/>
                <w:szCs w:val="20"/>
                <w:color w:val="auto"/>
              </w:rPr>
            </w:pPr>
            <w:r>
              <w:rPr>
                <w:rFonts w:ascii="Arial" w:cs="Arial" w:eastAsia="Arial" w:hAnsi="Arial"/>
                <w:sz w:val="11"/>
                <w:szCs w:val="11"/>
                <w:color w:val="auto"/>
              </w:rPr>
              <w:t>Co-Investment (Sidecar) Capital</w:t>
            </w:r>
          </w:p>
        </w:tc>
        <w:tc>
          <w:tcPr>
            <w:tcW w:w="700" w:type="dxa"/>
            <w:vAlign w:val="bottom"/>
            <w:gridSpan w:val="2"/>
          </w:tcPr>
          <w:p>
            <w:pPr>
              <w:jc w:val="center"/>
              <w:ind w:left="27"/>
              <w:spacing w:after="0"/>
              <w:rPr>
                <w:sz w:val="20"/>
                <w:szCs w:val="20"/>
                <w:color w:val="auto"/>
              </w:rPr>
            </w:pPr>
            <w:r>
              <w:rPr>
                <w:rFonts w:ascii="Arial" w:cs="Arial" w:eastAsia="Arial" w:hAnsi="Arial"/>
                <w:sz w:val="11"/>
                <w:szCs w:val="11"/>
                <w:color w:val="auto"/>
                <w:w w:val="96"/>
              </w:rPr>
              <w:t>0.44%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9,646</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8,519</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7,990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7,000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6,525</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6,310</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4,651</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4,370</w:t>
            </w:r>
          </w:p>
        </w:tc>
        <w:tc>
          <w:tcPr>
            <w:tcW w:w="0" w:type="dxa"/>
            <w:vAlign w:val="bottom"/>
          </w:tcPr>
          <w:p>
            <w:pPr>
              <w:spacing w:after="0"/>
              <w:rPr>
                <w:sz w:val="1"/>
                <w:szCs w:val="1"/>
                <w:color w:val="auto"/>
              </w:rPr>
            </w:pPr>
          </w:p>
        </w:tc>
      </w:tr>
      <w:tr>
        <w:trPr>
          <w:trHeight w:val="171"/>
        </w:trPr>
        <w:tc>
          <w:tcPr>
            <w:tcW w:w="23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Digital Core, Liquid and Credit Strategies</w:t>
            </w:r>
          </w:p>
        </w:tc>
        <w:tc>
          <w:tcPr>
            <w:tcW w:w="100" w:type="dxa"/>
            <w:vAlign w:val="bottom"/>
          </w:tcPr>
          <w:p>
            <w:pPr>
              <w:spacing w:after="0"/>
              <w:rPr>
                <w:sz w:val="14"/>
                <w:szCs w:val="14"/>
                <w:color w:val="auto"/>
              </w:rPr>
            </w:pPr>
          </w:p>
        </w:tc>
        <w:tc>
          <w:tcPr>
            <w:tcW w:w="6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1"/>
                <w:szCs w:val="11"/>
                <w:color w:val="auto"/>
                <w:w w:val="96"/>
              </w:rPr>
              <w:t>0.67%</w:t>
            </w:r>
          </w:p>
        </w:tc>
        <w:tc>
          <w:tcPr>
            <w:tcW w:w="16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2,703</w:t>
            </w:r>
          </w:p>
        </w:tc>
        <w:tc>
          <w:tcPr>
            <w:tcW w:w="14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2,591</w:t>
            </w:r>
          </w:p>
        </w:tc>
        <w:tc>
          <w:tcPr>
            <w:tcW w:w="12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2,383</w:t>
            </w:r>
          </w:p>
        </w:tc>
        <w:tc>
          <w:tcPr>
            <w:tcW w:w="12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2,248</w:t>
            </w:r>
          </w:p>
        </w:tc>
        <w:tc>
          <w:tcPr>
            <w:tcW w:w="12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2,036</w:t>
            </w:r>
          </w:p>
        </w:tc>
        <w:tc>
          <w:tcPr>
            <w:tcW w:w="140" w:type="dxa"/>
            <w:vAlign w:val="bottom"/>
            <w:tcBorders>
              <w:bottom w:val="single" w:sz="8" w:color="auto"/>
            </w:tcBorders>
            <w:shd w:val="clear" w:color="auto" w:fill="DBDBDB"/>
          </w:tcPr>
          <w:p>
            <w:pPr>
              <w:spacing w:after="0"/>
              <w:rPr>
                <w:sz w:val="14"/>
                <w:szCs w:val="14"/>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1,021</w:t>
            </w:r>
          </w:p>
        </w:tc>
        <w:tc>
          <w:tcPr>
            <w:tcW w:w="14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933</w:t>
            </w:r>
          </w:p>
        </w:tc>
        <w:tc>
          <w:tcPr>
            <w:tcW w:w="120" w:type="dxa"/>
            <w:vAlign w:val="bottom"/>
            <w:tcBorders>
              <w:bottom w:val="single" w:sz="8" w:color="auto"/>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1,013</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IM FEEUM</w:t>
            </w:r>
          </w:p>
        </w:tc>
        <w:tc>
          <w:tcPr>
            <w:tcW w:w="700" w:type="dxa"/>
            <w:vAlign w:val="bottom"/>
            <w:gridSpan w:val="2"/>
          </w:tcPr>
          <w:p>
            <w:pPr>
              <w:jc w:val="center"/>
              <w:ind w:left="27"/>
              <w:spacing w:after="0"/>
              <w:rPr>
                <w:sz w:val="20"/>
                <w:szCs w:val="20"/>
                <w:color w:val="auto"/>
              </w:rPr>
            </w:pPr>
            <w:r>
              <w:rPr>
                <w:rFonts w:ascii="Arial" w:cs="Arial" w:eastAsia="Arial" w:hAnsi="Arial"/>
                <w:sz w:val="11"/>
                <w:szCs w:val="11"/>
                <w:b w:val="1"/>
                <w:bCs w:val="1"/>
                <w:color w:val="auto"/>
                <w:w w:val="96"/>
              </w:rPr>
              <w:t>0.86%</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32,771</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29,936</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29,059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27,694</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22,234</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20,499</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19,029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18,785</w:t>
            </w:r>
          </w:p>
        </w:tc>
        <w:tc>
          <w:tcPr>
            <w:tcW w:w="0" w:type="dxa"/>
            <w:vAlign w:val="bottom"/>
          </w:tcPr>
          <w:p>
            <w:pPr>
              <w:spacing w:after="0"/>
              <w:rPr>
                <w:sz w:val="1"/>
                <w:szCs w:val="1"/>
                <w:color w:val="auto"/>
              </w:rPr>
            </w:pPr>
          </w:p>
        </w:tc>
      </w:tr>
      <w:tr>
        <w:trPr>
          <w:trHeight w:val="694"/>
        </w:trPr>
        <w:tc>
          <w:tcPr>
            <w:tcW w:w="2320" w:type="dxa"/>
            <w:vAlign w:val="bottom"/>
          </w:tcPr>
          <w:p>
            <w:pPr>
              <w:ind w:left="20"/>
              <w:spacing w:after="0"/>
              <w:rPr>
                <w:sz w:val="20"/>
                <w:szCs w:val="20"/>
                <w:color w:val="auto"/>
              </w:rPr>
            </w:pPr>
            <w:r>
              <w:rPr>
                <w:rFonts w:ascii="Arial" w:cs="Arial" w:eastAsia="Arial" w:hAnsi="Arial"/>
                <w:sz w:val="10"/>
                <w:szCs w:val="10"/>
                <w:i w:val="1"/>
                <w:iCs w:val="1"/>
                <w:color w:val="auto"/>
              </w:rPr>
              <w:t>($ in thousands)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20" w:type="dxa"/>
            <w:vAlign w:val="bottom"/>
            <w:tcBorders>
              <w:bottom w:val="single" w:sz="8" w:color="DBDBDB"/>
            </w:tcBorders>
          </w:tcPr>
          <w:p>
            <w:pPr>
              <w:ind w:left="20"/>
              <w:spacing w:after="0"/>
              <w:rPr>
                <w:sz w:val="20"/>
                <w:szCs w:val="20"/>
                <w:color w:val="auto"/>
              </w:rPr>
            </w:pPr>
            <w:r>
              <w:rPr>
                <w:rFonts w:ascii="Arial" w:cs="Arial" w:eastAsia="Arial" w:hAnsi="Arial"/>
                <w:sz w:val="12"/>
                <w:szCs w:val="12"/>
                <w:b w:val="1"/>
                <w:bCs w:val="1"/>
                <w:color w:val="003366"/>
              </w:rPr>
              <w:t>IM FRE</w:t>
            </w:r>
          </w:p>
        </w:tc>
        <w:tc>
          <w:tcPr>
            <w:tcW w:w="100" w:type="dxa"/>
            <w:vAlign w:val="bottom"/>
          </w:tcPr>
          <w:p>
            <w:pPr>
              <w:spacing w:after="0"/>
              <w:rPr>
                <w:sz w:val="15"/>
                <w:szCs w:val="15"/>
                <w:color w:val="auto"/>
              </w:rPr>
            </w:pPr>
          </w:p>
        </w:tc>
        <w:tc>
          <w:tcPr>
            <w:tcW w:w="60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26"/>
              <w:spacing w:after="0"/>
              <w:rPr>
                <w:sz w:val="20"/>
                <w:szCs w:val="20"/>
                <w:color w:val="auto"/>
              </w:rPr>
            </w:pPr>
            <w:r>
              <w:rPr>
                <w:rFonts w:ascii="Arial" w:cs="Arial" w:eastAsia="Arial" w:hAnsi="Arial"/>
                <w:sz w:val="10"/>
                <w:szCs w:val="10"/>
                <w:b w:val="1"/>
                <w:bCs w:val="1"/>
                <w:color w:val="auto"/>
                <w:w w:val="97"/>
              </w:rPr>
              <w:t>4Q23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97"/>
              </w:rPr>
              <w:t>3Q23</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97"/>
              </w:rPr>
              <w:t>2Q23</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97"/>
              </w:rPr>
              <w:t>1Q23</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rPr>
              <w:t>4Q22</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97"/>
              </w:rPr>
              <w:t>3Q22</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97"/>
              </w:rPr>
              <w:t>2Q22</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97"/>
              </w:rPr>
              <w:t>1Q22</w:t>
            </w:r>
          </w:p>
        </w:tc>
        <w:tc>
          <w:tcPr>
            <w:tcW w:w="0" w:type="dxa"/>
            <w:vAlign w:val="bottom"/>
          </w:tcPr>
          <w:p>
            <w:pPr>
              <w:spacing w:after="0"/>
              <w:rPr>
                <w:sz w:val="1"/>
                <w:szCs w:val="1"/>
                <w:color w:val="auto"/>
              </w:rPr>
            </w:pPr>
          </w:p>
        </w:tc>
      </w:tr>
      <w:tr>
        <w:trPr>
          <w:trHeight w:val="151"/>
        </w:trPr>
        <w:tc>
          <w:tcPr>
            <w:tcW w:w="23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Fee revenue</w:t>
            </w:r>
          </w:p>
        </w:tc>
        <w:tc>
          <w:tcPr>
            <w:tcW w:w="100" w:type="dxa"/>
            <w:vAlign w:val="bottom"/>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70,938</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65,935</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65,812</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58,600</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44,371</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41,353</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44,758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43,155</w:t>
            </w:r>
          </w:p>
        </w:tc>
        <w:tc>
          <w:tcPr>
            <w:tcW w:w="0" w:type="dxa"/>
            <w:vAlign w:val="bottom"/>
          </w:tcPr>
          <w:p>
            <w:pPr>
              <w:spacing w:after="0"/>
              <w:rPr>
                <w:sz w:val="1"/>
                <w:szCs w:val="1"/>
                <w:color w:val="auto"/>
              </w:rPr>
            </w:pPr>
          </w:p>
        </w:tc>
      </w:tr>
      <w:tr>
        <w:trPr>
          <w:trHeight w:val="171"/>
        </w:trPr>
        <w:tc>
          <w:tcPr>
            <w:tcW w:w="2320" w:type="dxa"/>
            <w:vAlign w:val="bottom"/>
          </w:tcPr>
          <w:p>
            <w:pPr>
              <w:ind w:left="160"/>
              <w:spacing w:after="0"/>
              <w:rPr>
                <w:sz w:val="20"/>
                <w:szCs w:val="20"/>
                <w:color w:val="auto"/>
              </w:rPr>
            </w:pPr>
            <w:r>
              <w:rPr>
                <w:rFonts w:ascii="Arial" w:cs="Arial" w:eastAsia="Arial" w:hAnsi="Arial"/>
                <w:sz w:val="11"/>
                <w:szCs w:val="11"/>
                <w:color w:val="auto"/>
              </w:rPr>
              <w:t xml:space="preserve">Fee revenue, other </w:t>
            </w:r>
            <w:r>
              <w:rPr>
                <w:rFonts w:ascii="Arial" w:cs="Arial" w:eastAsia="Arial" w:hAnsi="Arial"/>
                <w:sz w:val="14"/>
                <w:szCs w:val="14"/>
                <w:color w:val="auto"/>
                <w:vertAlign w:val="superscript"/>
              </w:rPr>
              <w:t>(2)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1,267</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648</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629</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686</w:t>
            </w:r>
          </w:p>
        </w:tc>
        <w:tc>
          <w:tcPr>
            <w:tcW w:w="14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355</w:t>
            </w:r>
          </w:p>
        </w:tc>
        <w:tc>
          <w:tcPr>
            <w:tcW w:w="120" w:type="dxa"/>
            <w:vAlign w:val="bottom"/>
          </w:tcPr>
          <w:p>
            <w:pPr>
              <w:spacing w:after="0"/>
              <w:rPr>
                <w:sz w:val="14"/>
                <w:szCs w:val="14"/>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523</w:t>
            </w:r>
          </w:p>
        </w:tc>
        <w:tc>
          <w:tcPr>
            <w:tcW w:w="0" w:type="dxa"/>
            <w:vAlign w:val="bottom"/>
          </w:tcPr>
          <w:p>
            <w:pPr>
              <w:spacing w:after="0"/>
              <w:rPr>
                <w:sz w:val="1"/>
                <w:szCs w:val="1"/>
                <w:color w:val="auto"/>
              </w:rPr>
            </w:pPr>
          </w:p>
        </w:tc>
      </w:tr>
      <w:tr>
        <w:trPr>
          <w:trHeight w:val="171"/>
        </w:trPr>
        <w:tc>
          <w:tcPr>
            <w:tcW w:w="23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Other income</w:t>
            </w:r>
          </w:p>
        </w:tc>
        <w:tc>
          <w:tcPr>
            <w:tcW w:w="100" w:type="dxa"/>
            <w:vAlign w:val="bottom"/>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5,338</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420</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1,051</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492</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535</w:t>
            </w:r>
          </w:p>
        </w:tc>
        <w:tc>
          <w:tcPr>
            <w:tcW w:w="14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386</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530</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251</w:t>
            </w:r>
          </w:p>
        </w:tc>
        <w:tc>
          <w:tcPr>
            <w:tcW w:w="0" w:type="dxa"/>
            <w:vAlign w:val="bottom"/>
          </w:tcPr>
          <w:p>
            <w:pPr>
              <w:spacing w:after="0"/>
              <w:rPr>
                <w:sz w:val="1"/>
                <w:szCs w:val="1"/>
                <w:color w:val="auto"/>
              </w:rPr>
            </w:pPr>
          </w:p>
        </w:tc>
      </w:tr>
      <w:tr>
        <w:trPr>
          <w:trHeight w:val="170"/>
        </w:trPr>
        <w:tc>
          <w:tcPr>
            <w:tcW w:w="2320" w:type="dxa"/>
            <w:vAlign w:val="bottom"/>
          </w:tcPr>
          <w:p>
            <w:pPr>
              <w:ind w:left="160"/>
              <w:spacing w:after="0"/>
              <w:rPr>
                <w:sz w:val="20"/>
                <w:szCs w:val="20"/>
                <w:color w:val="auto"/>
              </w:rPr>
            </w:pPr>
            <w:r>
              <w:rPr>
                <w:rFonts w:ascii="Arial" w:cs="Arial" w:eastAsia="Arial" w:hAnsi="Arial"/>
                <w:sz w:val="11"/>
                <w:szCs w:val="11"/>
                <w:color w:val="auto"/>
              </w:rPr>
              <w:t>Compensation expense—cash</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(25,989)</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(29,695)</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(26,286)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(19,795)</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(17,805)</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(18,876)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(17,725)</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(17,675)</w:t>
            </w:r>
          </w:p>
        </w:tc>
        <w:tc>
          <w:tcPr>
            <w:tcW w:w="0" w:type="dxa"/>
            <w:vAlign w:val="bottom"/>
          </w:tcPr>
          <w:p>
            <w:pPr>
              <w:spacing w:after="0"/>
              <w:rPr>
                <w:sz w:val="1"/>
                <w:szCs w:val="1"/>
                <w:color w:val="auto"/>
              </w:rPr>
            </w:pPr>
          </w:p>
        </w:tc>
      </w:tr>
      <w:tr>
        <w:trPr>
          <w:trHeight w:val="172"/>
        </w:trPr>
        <w:tc>
          <w:tcPr>
            <w:tcW w:w="23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Administrative expenses</w:t>
            </w:r>
          </w:p>
        </w:tc>
        <w:tc>
          <w:tcPr>
            <w:tcW w:w="100" w:type="dxa"/>
            <w:vAlign w:val="bottom"/>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(12,267)</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(8,736)</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(7,992)</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(6,329)</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(6,417)</w:t>
            </w:r>
          </w:p>
        </w:tc>
        <w:tc>
          <w:tcPr>
            <w:tcW w:w="140" w:type="dxa"/>
            <w:vAlign w:val="bottom"/>
            <w:shd w:val="clear" w:color="auto" w:fill="DBDBDB"/>
          </w:tcPr>
          <w:p>
            <w:pPr>
              <w:spacing w:after="0"/>
              <w:rPr>
                <w:sz w:val="14"/>
                <w:szCs w:val="14"/>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(4,450)</w:t>
            </w:r>
          </w:p>
        </w:tc>
        <w:tc>
          <w:tcPr>
            <w:tcW w:w="14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(4,794)</w:t>
            </w:r>
          </w:p>
        </w:tc>
        <w:tc>
          <w:tcPr>
            <w:tcW w:w="120" w:type="dxa"/>
            <w:vAlign w:val="bottom"/>
            <w:shd w:val="clear" w:color="auto" w:fill="DBDBDB"/>
          </w:tcPr>
          <w:p>
            <w:pPr>
              <w:spacing w:after="0"/>
              <w:rPr>
                <w:sz w:val="14"/>
                <w:szCs w:val="14"/>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(4,012)</w:t>
            </w: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9" w:lineRule="exact"/>
              <w:rPr>
                <w:sz w:val="20"/>
                <w:szCs w:val="20"/>
                <w:color w:val="auto"/>
              </w:rPr>
            </w:pPr>
            <w:r>
              <w:rPr>
                <w:rFonts w:ascii="Arial" w:cs="Arial" w:eastAsia="Arial" w:hAnsi="Arial"/>
                <w:sz w:val="11"/>
                <w:szCs w:val="11"/>
                <w:color w:val="auto"/>
              </w:rPr>
              <w:t>Exclude: Start-up FRE of certain new</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516</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1,155</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1,165</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915</w:t>
            </w:r>
          </w:p>
        </w:tc>
        <w:tc>
          <w:tcPr>
            <w:tcW w:w="1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2,643</w:t>
            </w:r>
          </w:p>
        </w:tc>
        <w:tc>
          <w:tcPr>
            <w:tcW w:w="1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2,399</w:t>
            </w:r>
          </w:p>
        </w:tc>
        <w:tc>
          <w:tcPr>
            <w:tcW w:w="14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2,335</w:t>
            </w:r>
          </w:p>
        </w:tc>
        <w:tc>
          <w:tcPr>
            <w:tcW w:w="12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2,362</w:t>
            </w:r>
          </w:p>
        </w:tc>
        <w:tc>
          <w:tcPr>
            <w:tcW w:w="0" w:type="dxa"/>
            <w:vAlign w:val="bottom"/>
          </w:tcPr>
          <w:p>
            <w:pPr>
              <w:spacing w:after="0"/>
              <w:rPr>
                <w:sz w:val="1"/>
                <w:szCs w:val="1"/>
                <w:color w:val="auto"/>
              </w:rPr>
            </w:pPr>
          </w:p>
        </w:tc>
      </w:tr>
      <w:tr>
        <w:trPr>
          <w:trHeight w:val="143"/>
        </w:trPr>
        <w:tc>
          <w:tcPr>
            <w:tcW w:w="232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strategies</w:t>
            </w:r>
          </w:p>
        </w:tc>
        <w:tc>
          <w:tcPr>
            <w:tcW w:w="100" w:type="dxa"/>
            <w:vAlign w:val="bottom"/>
          </w:tcPr>
          <w:p>
            <w:pPr>
              <w:spacing w:after="0"/>
              <w:rPr>
                <w:sz w:val="12"/>
                <w:szCs w:val="12"/>
                <w:color w:val="auto"/>
              </w:rPr>
            </w:pPr>
          </w:p>
        </w:tc>
        <w:tc>
          <w:tcPr>
            <w:tcW w:w="600" w:type="dxa"/>
            <w:vAlign w:val="bottom"/>
            <w:tcBorders>
              <w:bottom w:val="single" w:sz="8" w:color="DBDBDB"/>
            </w:tcBorders>
          </w:tcPr>
          <w:p>
            <w:pPr>
              <w:spacing w:after="0"/>
              <w:rPr>
                <w:sz w:val="12"/>
                <w:szCs w:val="12"/>
                <w:color w:val="auto"/>
              </w:rPr>
            </w:pPr>
          </w:p>
        </w:tc>
        <w:tc>
          <w:tcPr>
            <w:tcW w:w="16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DBDBDB"/>
          </w:tcPr>
          <w:p>
            <w:pPr>
              <w:ind w:left="20"/>
              <w:spacing w:after="0" w:line="152" w:lineRule="exact"/>
              <w:rPr>
                <w:sz w:val="20"/>
                <w:szCs w:val="20"/>
                <w:color w:val="auto"/>
              </w:rPr>
            </w:pPr>
            <w:r>
              <w:rPr>
                <w:rFonts w:ascii="Arial" w:cs="Arial" w:eastAsia="Arial" w:hAnsi="Arial"/>
                <w:sz w:val="11"/>
                <w:szCs w:val="11"/>
                <w:b w:val="1"/>
                <w:bCs w:val="1"/>
                <w:color w:val="auto"/>
              </w:rPr>
              <w:t xml:space="preserve">IM FRE </w:t>
            </w:r>
            <w:r>
              <w:rPr>
                <w:rFonts w:ascii="Arial" w:cs="Arial" w:eastAsia="Arial" w:hAnsi="Arial"/>
                <w:sz w:val="14"/>
                <w:szCs w:val="14"/>
                <w:b w:val="1"/>
                <w:bCs w:val="1"/>
                <w:color w:val="auto"/>
                <w:vertAlign w:val="superscript"/>
              </w:rPr>
              <w:t>(3)</w:t>
            </w:r>
          </w:p>
        </w:tc>
        <w:tc>
          <w:tcPr>
            <w:tcW w:w="100" w:type="dxa"/>
            <w:vAlign w:val="bottom"/>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39,803</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29,202</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34,398</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34,512</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24,228</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21,498</w:t>
            </w:r>
          </w:p>
        </w:tc>
        <w:tc>
          <w:tcPr>
            <w:tcW w:w="1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25,459</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24,604</w:t>
            </w:r>
          </w:p>
        </w:tc>
        <w:tc>
          <w:tcPr>
            <w:tcW w:w="0" w:type="dxa"/>
            <w:vAlign w:val="bottom"/>
          </w:tcPr>
          <w:p>
            <w:pPr>
              <w:spacing w:after="0"/>
              <w:rPr>
                <w:sz w:val="1"/>
                <w:szCs w:val="1"/>
                <w:color w:val="auto"/>
              </w:rPr>
            </w:pPr>
          </w:p>
        </w:tc>
      </w:tr>
      <w:tr>
        <w:trPr>
          <w:trHeight w:val="99"/>
        </w:trPr>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320" w:type="dxa"/>
            <w:vAlign w:val="bottom"/>
          </w:tcPr>
          <w:p>
            <w:pPr>
              <w:ind w:left="20"/>
              <w:spacing w:after="0"/>
              <w:rPr>
                <w:sz w:val="20"/>
                <w:szCs w:val="20"/>
                <w:color w:val="auto"/>
              </w:rPr>
            </w:pPr>
            <w:r>
              <w:rPr>
                <w:rFonts w:ascii="Arial" w:cs="Arial" w:eastAsia="Arial" w:hAnsi="Arial"/>
                <w:sz w:val="11"/>
                <w:szCs w:val="11"/>
                <w:b w:val="1"/>
                <w:bCs w:val="1"/>
                <w:color w:val="auto"/>
              </w:rPr>
              <w:t xml:space="preserve">DBRG OP share of IM FRE </w:t>
            </w:r>
            <w:r>
              <w:rPr>
                <w:rFonts w:ascii="Arial" w:cs="Arial" w:eastAsia="Arial" w:hAnsi="Arial"/>
                <w:sz w:val="14"/>
                <w:szCs w:val="14"/>
                <w:b w:val="1"/>
                <w:bCs w:val="1"/>
                <w:color w:val="auto"/>
                <w:vertAlign w:val="superscript"/>
              </w:rPr>
              <w:t>(4)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39,803</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29,202</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34,398</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34,512</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24,228</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21,498</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20,759</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560" w:type="dxa"/>
            <w:vAlign w:val="bottom"/>
          </w:tcPr>
          <w:p>
            <w:pPr>
              <w:jc w:val="right"/>
              <w:ind w:right="6"/>
              <w:spacing w:after="0"/>
              <w:rPr>
                <w:sz w:val="20"/>
                <w:szCs w:val="20"/>
                <w:color w:val="auto"/>
              </w:rPr>
            </w:pPr>
            <w:r>
              <w:rPr>
                <w:rFonts w:ascii="Arial" w:cs="Arial" w:eastAsia="Arial" w:hAnsi="Arial"/>
                <w:sz w:val="11"/>
                <w:szCs w:val="11"/>
                <w:b w:val="1"/>
                <w:bCs w:val="1"/>
                <w:color w:val="auto"/>
              </w:rPr>
              <w:t>16,989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25" w:lineRule="exact"/>
        <w:rPr>
          <w:sz w:val="20"/>
          <w:szCs w:val="20"/>
          <w:color w:val="auto"/>
        </w:rPr>
      </w:pPr>
    </w:p>
    <w:p>
      <w:pPr>
        <w:ind w:left="188" w:hanging="188"/>
        <w:spacing w:after="0"/>
        <w:tabs>
          <w:tab w:leader="none" w:pos="188" w:val="left"/>
        </w:tabs>
        <w:numPr>
          <w:ilvl w:val="0"/>
          <w:numId w:val="8"/>
        </w:numPr>
        <w:rPr>
          <w:rFonts w:ascii="Arial" w:cs="Arial" w:eastAsia="Arial" w:hAnsi="Arial"/>
          <w:sz w:val="8"/>
          <w:szCs w:val="8"/>
          <w:color w:val="424242"/>
        </w:rPr>
      </w:pPr>
      <w:r>
        <w:rPr>
          <w:rFonts w:ascii="Arial" w:cs="Arial" w:eastAsia="Arial" w:hAnsi="Arial"/>
          <w:sz w:val="8"/>
          <w:szCs w:val="8"/>
          <w:color w:val="424242"/>
        </w:rPr>
        <w:t>Annual weighted average IM Fee Rate would be 1.21% excluding rate reductions in effect the twelve months following the first closing date.</w:t>
      </w:r>
    </w:p>
    <w:p>
      <w:pPr>
        <w:spacing w:after="0" w:line="6" w:lineRule="exact"/>
        <w:rPr>
          <w:rFonts w:ascii="Arial" w:cs="Arial" w:eastAsia="Arial" w:hAnsi="Arial"/>
          <w:sz w:val="8"/>
          <w:szCs w:val="8"/>
          <w:color w:val="424242"/>
        </w:rPr>
      </w:pPr>
    </w:p>
    <w:p>
      <w:pPr>
        <w:ind w:left="188" w:hanging="188"/>
        <w:spacing w:after="0"/>
        <w:tabs>
          <w:tab w:leader="none" w:pos="188" w:val="left"/>
        </w:tabs>
        <w:numPr>
          <w:ilvl w:val="0"/>
          <w:numId w:val="8"/>
        </w:numPr>
        <w:rPr>
          <w:rFonts w:ascii="Arial" w:cs="Arial" w:eastAsia="Arial" w:hAnsi="Arial"/>
          <w:sz w:val="8"/>
          <w:szCs w:val="8"/>
          <w:color w:val="424242"/>
        </w:rPr>
      </w:pPr>
      <w:r>
        <w:rPr>
          <w:rFonts w:ascii="Arial" w:cs="Arial" w:eastAsia="Arial" w:hAnsi="Arial"/>
          <w:sz w:val="8"/>
          <w:szCs w:val="8"/>
          <w:color w:val="424242"/>
        </w:rPr>
        <w:t>Includes service fee income and one time catch-up fees earned, which are customary fees paid on newly raised 3rd party capital as if it were raised on the first closing date.</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8"/>
        </w:numPr>
        <w:rPr>
          <w:rFonts w:ascii="Arial" w:cs="Arial" w:eastAsia="Arial" w:hAnsi="Arial"/>
          <w:sz w:val="8"/>
          <w:szCs w:val="8"/>
          <w:color w:val="424242"/>
        </w:rPr>
      </w:pPr>
      <w:r>
        <w:rPr>
          <w:rFonts w:ascii="Arial" w:cs="Arial" w:eastAsia="Arial" w:hAnsi="Arial"/>
          <w:sz w:val="8"/>
          <w:szCs w:val="8"/>
          <w:color w:val="424242"/>
        </w:rPr>
        <w:t>For a reconciliation of net income / (loss) to IM FRE, please refer to the Appendices section of this presentation.</w:t>
      </w:r>
    </w:p>
    <w:p>
      <w:pPr>
        <w:spacing w:after="0" w:line="7" w:lineRule="exact"/>
        <w:rPr>
          <w:rFonts w:ascii="Arial" w:cs="Arial" w:eastAsia="Arial" w:hAnsi="Arial"/>
          <w:sz w:val="8"/>
          <w:szCs w:val="8"/>
          <w:color w:val="424242"/>
        </w:rPr>
      </w:pPr>
    </w:p>
    <w:p>
      <w:pPr>
        <w:ind w:left="188" w:hanging="188"/>
        <w:spacing w:after="0"/>
        <w:tabs>
          <w:tab w:leader="none" w:pos="188" w:val="left"/>
        </w:tabs>
        <w:numPr>
          <w:ilvl w:val="0"/>
          <w:numId w:val="8"/>
        </w:numPr>
        <w:rPr>
          <w:rFonts w:ascii="Arial" w:cs="Arial" w:eastAsia="Arial" w:hAnsi="Arial"/>
          <w:sz w:val="8"/>
          <w:szCs w:val="8"/>
          <w:color w:val="424242"/>
        </w:rPr>
      </w:pPr>
      <w:r>
        <w:rPr>
          <w:rFonts w:ascii="Arial" w:cs="Arial" w:eastAsia="Arial" w:hAnsi="Arial"/>
          <w:sz w:val="8"/>
          <w:szCs w:val="8"/>
          <w:color w:val="424242"/>
        </w:rPr>
        <w:t>In May 2022, DigitalBridge acquired Wafra’s 31.5% ownership in the Company's investment management business that Wafra initially acquired in July 2020, which resulted in 100% of the Company's IM FRE becoming entitled to DigitalBridge.</w:t>
      </w: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8</w:t>
            </w:r>
          </w:p>
        </w:tc>
      </w:tr>
    </w:tbl>
    <w:p>
      <w:pPr>
        <w:sectPr>
          <w:pgSz w:w="11900" w:h="16838" w:orient="portrait"/>
          <w:cols w:equalWidth="0" w:num="1">
            <w:col w:w="11308"/>
          </w:cols>
          <w:pgMar w:left="292" w:top="130" w:right="299" w:bottom="1440" w:gutter="0" w:footer="0" w:header="0"/>
        </w:sectPr>
      </w:pPr>
    </w:p>
    <w:bookmarkStart w:id="48" w:name="page49"/>
    <w:bookmarkEnd w:id="48"/>
    <w:p>
      <w:pPr>
        <w:ind w:left="8"/>
        <w:spacing w:after="0"/>
        <w:rPr>
          <w:sz w:val="20"/>
          <w:szCs w:val="20"/>
          <w:color w:val="auto"/>
        </w:rPr>
      </w:pPr>
      <w:r>
        <w:rPr>
          <w:rFonts w:ascii="Arial" w:cs="Arial" w:eastAsia="Arial" w:hAnsi="Arial"/>
          <w:sz w:val="29"/>
          <w:szCs w:val="29"/>
          <w:color w:val="auto"/>
        </w:rPr>
        <w:t>Ib. Fund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092315" cy="228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2315"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720" w:type="dxa"/>
            <w:vAlign w:val="bottom"/>
            <w:gridSpan w:val="4"/>
          </w:tcPr>
          <w:p>
            <w:pPr>
              <w:spacing w:after="0"/>
              <w:rPr>
                <w:sz w:val="20"/>
                <w:szCs w:val="20"/>
                <w:color w:val="auto"/>
              </w:rPr>
            </w:pPr>
            <w:r>
              <w:rPr>
                <w:rFonts w:ascii="Arial" w:cs="Arial" w:eastAsia="Arial" w:hAnsi="Arial"/>
                <w:sz w:val="10"/>
                <w:szCs w:val="10"/>
                <w:i w:val="1"/>
                <w:iCs w:val="1"/>
                <w:color w:val="auto"/>
              </w:rPr>
              <w:t>($ in millions)</w:t>
            </w:r>
          </w:p>
        </w:tc>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8"/>
              </w:rPr>
              <w:t>Invested</w:t>
            </w:r>
          </w:p>
        </w:tc>
        <w:tc>
          <w:tcPr>
            <w:tcW w:w="1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Available</w:t>
            </w: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Investment Value</w:t>
            </w: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Borders>
              <w:bottom w:val="single" w:sz="8" w:color="auto"/>
            </w:tcBorders>
            <w:gridSpan w:val="3"/>
          </w:tcPr>
          <w:p>
            <w:pPr>
              <w:ind w:left="600"/>
              <w:spacing w:after="0"/>
              <w:rPr>
                <w:sz w:val="20"/>
                <w:szCs w:val="20"/>
                <w:color w:val="auto"/>
              </w:rPr>
            </w:pPr>
            <w:r>
              <w:rPr>
                <w:rFonts w:ascii="Arial" w:cs="Arial" w:eastAsia="Arial" w:hAnsi="Arial"/>
                <w:sz w:val="10"/>
                <w:szCs w:val="10"/>
                <w:b w:val="1"/>
                <w:bCs w:val="1"/>
                <w:color w:val="auto"/>
              </w:rPr>
              <w:t>MOIC</w:t>
            </w: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IRR</w:t>
            </w:r>
          </w:p>
        </w:tc>
        <w:tc>
          <w:tcPr>
            <w:tcW w:w="0" w:type="dxa"/>
            <w:vAlign w:val="bottom"/>
          </w:tcPr>
          <w:p>
            <w:pPr>
              <w:spacing w:after="0"/>
              <w:rPr>
                <w:sz w:val="1"/>
                <w:szCs w:val="1"/>
                <w:color w:val="auto"/>
              </w:rPr>
            </w:pPr>
          </w:p>
        </w:tc>
      </w:tr>
      <w:tr>
        <w:trPr>
          <w:trHeight w:val="25"/>
        </w:trPr>
        <w:tc>
          <w:tcPr>
            <w:tcW w:w="172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 xml:space="preserve">Fund </w:t>
            </w:r>
            <w:r>
              <w:rPr>
                <w:rFonts w:ascii="Arial" w:cs="Arial" w:eastAsia="Arial" w:hAnsi="Arial"/>
                <w:sz w:val="12"/>
                <w:szCs w:val="12"/>
                <w:b w:val="1"/>
                <w:bCs w:val="1"/>
                <w:color w:val="auto"/>
                <w:vertAlign w:val="superscript"/>
              </w:rPr>
              <w:t>(1)</w:t>
            </w:r>
          </w:p>
        </w:tc>
        <w:tc>
          <w:tcPr>
            <w:tcW w:w="40" w:type="dxa"/>
            <w:vAlign w:val="bottom"/>
          </w:tcPr>
          <w:p>
            <w:pPr>
              <w:spacing w:after="0"/>
              <w:rPr>
                <w:sz w:val="2"/>
                <w:szCs w:val="2"/>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7"/>
              </w:rPr>
              <w:t xml:space="preserve">Inception date </w:t>
            </w:r>
            <w:r>
              <w:rPr>
                <w:rFonts w:ascii="Arial" w:cs="Arial" w:eastAsia="Arial" w:hAnsi="Arial"/>
                <w:sz w:val="12"/>
                <w:szCs w:val="12"/>
                <w:b w:val="1"/>
                <w:bCs w:val="1"/>
                <w:color w:val="auto"/>
                <w:w w:val="97"/>
                <w:vertAlign w:val="superscript"/>
              </w:rPr>
              <w:t>(2)</w:t>
            </w:r>
          </w:p>
        </w:tc>
        <w:tc>
          <w:tcPr>
            <w:tcW w:w="1000" w:type="dxa"/>
            <w:vAlign w:val="bottom"/>
            <w:gridSpan w:val="2"/>
            <w:vMerge w:val="restart"/>
          </w:tcPr>
          <w:p>
            <w:pPr>
              <w:jc w:val="right"/>
              <w:ind w:right="6"/>
              <w:spacing w:after="0"/>
              <w:rPr>
                <w:sz w:val="20"/>
                <w:szCs w:val="20"/>
                <w:color w:val="auto"/>
              </w:rPr>
            </w:pPr>
            <w:r>
              <w:rPr>
                <w:rFonts w:ascii="Arial" w:cs="Arial" w:eastAsia="Arial" w:hAnsi="Arial"/>
                <w:sz w:val="10"/>
                <w:szCs w:val="10"/>
                <w:b w:val="1"/>
                <w:bCs w:val="1"/>
                <w:color w:val="auto"/>
                <w:w w:val="98"/>
              </w:rPr>
              <w:t>Total Commitments</w:t>
            </w:r>
          </w:p>
        </w:tc>
        <w:tc>
          <w:tcPr>
            <w:tcW w:w="1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Unrealized</w:t>
            </w:r>
          </w:p>
        </w:tc>
        <w:tc>
          <w:tcPr>
            <w:tcW w:w="120" w:type="dxa"/>
            <w:vAlign w:val="bottom"/>
          </w:tcPr>
          <w:p>
            <w:pPr>
              <w:spacing w:after="0"/>
              <w:rPr>
                <w:sz w:val="2"/>
                <w:szCs w:val="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 xml:space="preserve">Realized </w:t>
            </w:r>
            <w:r>
              <w:rPr>
                <w:rFonts w:ascii="Arial" w:cs="Arial" w:eastAsia="Arial" w:hAnsi="Arial"/>
                <w:sz w:val="12"/>
                <w:szCs w:val="12"/>
                <w:b w:val="1"/>
                <w:bCs w:val="1"/>
                <w:color w:val="auto"/>
                <w:vertAlign w:val="superscript"/>
              </w:rPr>
              <w:t>(5)</w:t>
            </w:r>
          </w:p>
        </w:tc>
        <w:tc>
          <w:tcPr>
            <w:tcW w:w="160" w:type="dxa"/>
            <w:vAlign w:val="bottom"/>
          </w:tcPr>
          <w:p>
            <w:pPr>
              <w:spacing w:after="0"/>
              <w:rPr>
                <w:sz w:val="2"/>
                <w:szCs w:val="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 xml:space="preserve">Total </w:t>
            </w:r>
            <w:r>
              <w:rPr>
                <w:rFonts w:ascii="Arial" w:cs="Arial" w:eastAsia="Arial" w:hAnsi="Arial"/>
                <w:sz w:val="12"/>
                <w:szCs w:val="12"/>
                <w:b w:val="1"/>
                <w:bCs w:val="1"/>
                <w:color w:val="auto"/>
                <w:vertAlign w:val="superscript"/>
              </w:rPr>
              <w:t>(6)</w:t>
            </w: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91"/>
              </w:rPr>
              <w:t xml:space="preserve">Gross </w:t>
            </w:r>
            <w:r>
              <w:rPr>
                <w:rFonts w:ascii="Arial" w:cs="Arial" w:eastAsia="Arial" w:hAnsi="Arial"/>
                <w:sz w:val="12"/>
                <w:szCs w:val="12"/>
                <w:b w:val="1"/>
                <w:bCs w:val="1"/>
                <w:color w:val="auto"/>
                <w:w w:val="91"/>
                <w:vertAlign w:val="superscript"/>
              </w:rPr>
              <w:t>(7)</w:t>
            </w: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0"/>
              </w:rPr>
              <w:t xml:space="preserve">Net </w:t>
            </w:r>
            <w:r>
              <w:rPr>
                <w:rFonts w:ascii="Arial" w:cs="Arial" w:eastAsia="Arial" w:hAnsi="Arial"/>
                <w:sz w:val="12"/>
                <w:szCs w:val="12"/>
                <w:b w:val="1"/>
                <w:bCs w:val="1"/>
                <w:color w:val="auto"/>
                <w:w w:val="90"/>
                <w:vertAlign w:val="superscript"/>
              </w:rPr>
              <w:t>(8)</w:t>
            </w:r>
          </w:p>
        </w:tc>
        <w:tc>
          <w:tcPr>
            <w:tcW w:w="58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 xml:space="preserve">Gross </w:t>
            </w:r>
            <w:r>
              <w:rPr>
                <w:rFonts w:ascii="Arial" w:cs="Arial" w:eastAsia="Arial" w:hAnsi="Arial"/>
                <w:sz w:val="12"/>
                <w:szCs w:val="12"/>
                <w:b w:val="1"/>
                <w:bCs w:val="1"/>
                <w:color w:val="auto"/>
                <w:vertAlign w:val="superscript"/>
              </w:rPr>
              <w:t>(9)</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220"/>
              <w:spacing w:after="0" w:line="160" w:lineRule="exact"/>
              <w:rPr>
                <w:sz w:val="20"/>
                <w:szCs w:val="20"/>
                <w:color w:val="auto"/>
              </w:rPr>
            </w:pPr>
            <w:r>
              <w:rPr>
                <w:rFonts w:ascii="Arial" w:cs="Arial" w:eastAsia="Arial" w:hAnsi="Arial"/>
                <w:sz w:val="18"/>
                <w:szCs w:val="18"/>
                <w:b w:val="1"/>
                <w:bCs w:val="1"/>
                <w:color w:val="auto"/>
                <w:vertAlign w:val="subscript"/>
              </w:rPr>
              <w:t>Net</w:t>
            </w:r>
            <w:r>
              <w:rPr>
                <w:rFonts w:ascii="Arial" w:cs="Arial" w:eastAsia="Arial" w:hAnsi="Arial"/>
                <w:sz w:val="6"/>
                <w:szCs w:val="6"/>
                <w:b w:val="1"/>
                <w:bCs w:val="1"/>
                <w:color w:val="auto"/>
              </w:rPr>
              <w:t xml:space="preserve"> (10)</w:t>
            </w:r>
          </w:p>
        </w:tc>
        <w:tc>
          <w:tcPr>
            <w:tcW w:w="0" w:type="dxa"/>
            <w:vAlign w:val="bottom"/>
          </w:tcPr>
          <w:p>
            <w:pPr>
              <w:spacing w:after="0" w:line="20" w:lineRule="exact"/>
              <w:rPr>
                <w:sz w:val="1"/>
                <w:szCs w:val="1"/>
                <w:color w:val="auto"/>
              </w:rPr>
            </w:pPr>
          </w:p>
        </w:tc>
      </w:tr>
      <w:tr>
        <w:trPr>
          <w:trHeight w:val="135"/>
        </w:trPr>
        <w:tc>
          <w:tcPr>
            <w:tcW w:w="17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0"/>
                <w:szCs w:val="10"/>
                <w:b w:val="1"/>
                <w:bCs w:val="1"/>
                <w:color w:val="auto"/>
                <w:w w:val="95"/>
              </w:rPr>
              <w:t xml:space="preserve">Capital </w:t>
            </w:r>
            <w:r>
              <w:rPr>
                <w:rFonts w:ascii="Arial" w:cs="Arial" w:eastAsia="Arial" w:hAnsi="Arial"/>
                <w:sz w:val="12"/>
                <w:szCs w:val="12"/>
                <w:b w:val="1"/>
                <w:bCs w:val="1"/>
                <w:color w:val="auto"/>
                <w:w w:val="95"/>
                <w:vertAlign w:val="superscript"/>
              </w:rPr>
              <w:t>(3)</w:t>
            </w:r>
          </w:p>
        </w:tc>
        <w:tc>
          <w:tcPr>
            <w:tcW w:w="1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0"/>
                <w:szCs w:val="10"/>
                <w:b w:val="1"/>
                <w:bCs w:val="1"/>
                <w:color w:val="auto"/>
              </w:rPr>
              <w:t xml:space="preserve">Capital </w:t>
            </w:r>
            <w:r>
              <w:rPr>
                <w:rFonts w:ascii="Arial" w:cs="Arial" w:eastAsia="Arial" w:hAnsi="Arial"/>
                <w:sz w:val="12"/>
                <w:szCs w:val="12"/>
                <w:b w:val="1"/>
                <w:bCs w:val="1"/>
                <w:color w:val="auto"/>
                <w:vertAlign w:val="superscript"/>
              </w:rPr>
              <w:t>(4)</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720" w:type="dxa"/>
            <w:vAlign w:val="bottom"/>
            <w:tcBorders>
              <w:top w:val="single" w:sz="8" w:color="auto"/>
            </w:tcBorders>
            <w:gridSpan w:val="4"/>
          </w:tcPr>
          <w:p>
            <w:pPr>
              <w:spacing w:after="0" w:line="97" w:lineRule="exact"/>
              <w:rPr>
                <w:sz w:val="20"/>
                <w:szCs w:val="20"/>
                <w:color w:val="auto"/>
              </w:rPr>
            </w:pPr>
            <w:r>
              <w:rPr>
                <w:rFonts w:ascii="Arial" w:cs="Arial" w:eastAsia="Arial" w:hAnsi="Arial"/>
                <w:sz w:val="10"/>
                <w:szCs w:val="10"/>
                <w:b w:val="1"/>
                <w:bCs w:val="1"/>
                <w:color w:val="auto"/>
              </w:rPr>
              <w:t>Value-Add</w:t>
            </w:r>
          </w:p>
        </w:tc>
        <w:tc>
          <w:tcPr>
            <w:tcW w:w="4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00" w:type="dxa"/>
            <w:vAlign w:val="bottom"/>
            <w:tcBorders>
              <w:top w:val="single" w:sz="8" w:color="auto"/>
            </w:tcBorders>
            <w:gridSpan w:val="2"/>
            <w:shd w:val="clear" w:color="auto" w:fill="DBDBDB"/>
          </w:tcPr>
          <w:p>
            <w:pPr>
              <w:spacing w:after="0"/>
              <w:rPr>
                <w:sz w:val="20"/>
                <w:szCs w:val="20"/>
                <w:color w:val="auto"/>
              </w:rPr>
            </w:pPr>
            <w:r>
              <w:rPr>
                <w:rFonts w:ascii="Arial" w:cs="Arial" w:eastAsia="Arial" w:hAnsi="Arial"/>
                <w:sz w:val="11"/>
                <w:szCs w:val="11"/>
                <w:color w:val="auto"/>
              </w:rPr>
              <w:t>DBP I</w:t>
            </w:r>
          </w:p>
        </w:tc>
        <w:tc>
          <w:tcPr>
            <w:tcW w:w="1220" w:type="dxa"/>
            <w:vAlign w:val="bottom"/>
            <w:gridSpan w:val="2"/>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1"/>
                <w:szCs w:val="11"/>
                <w:color w:val="auto"/>
                <w:w w:val="98"/>
              </w:rPr>
              <w:t>March-18</w:t>
            </w:r>
          </w:p>
        </w:tc>
        <w:tc>
          <w:tcPr>
            <w:tcW w:w="360" w:type="dxa"/>
            <w:vAlign w:val="bottom"/>
            <w:shd w:val="clear" w:color="auto" w:fill="DBDBDB"/>
          </w:tcPr>
          <w:p>
            <w:pPr>
              <w:jc w:val="right"/>
              <w:ind w:right="25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4,059</w:t>
            </w:r>
          </w:p>
        </w:tc>
        <w:tc>
          <w:tcPr>
            <w:tcW w:w="1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4,668</w:t>
            </w:r>
          </w:p>
        </w:tc>
        <w:tc>
          <w:tcPr>
            <w:tcW w:w="40" w:type="dxa"/>
            <w:vAlign w:val="bottom"/>
            <w:shd w:val="clear" w:color="auto" w:fill="DBDBDB"/>
          </w:tcPr>
          <w:p>
            <w:pPr>
              <w:spacing w:after="0"/>
              <w:rPr>
                <w:sz w:val="12"/>
                <w:szCs w:val="1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228</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6,126</w:t>
            </w:r>
          </w:p>
        </w:tc>
        <w:tc>
          <w:tcPr>
            <w:tcW w:w="60" w:type="dxa"/>
            <w:vAlign w:val="bottom"/>
            <w:shd w:val="clear" w:color="auto" w:fill="DBDBDB"/>
          </w:tcPr>
          <w:p>
            <w:pPr>
              <w:spacing w:after="0"/>
              <w:rPr>
                <w:sz w:val="12"/>
                <w:szCs w:val="1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1,140</w:t>
            </w:r>
          </w:p>
        </w:tc>
        <w:tc>
          <w:tcPr>
            <w:tcW w:w="60" w:type="dxa"/>
            <w:vAlign w:val="bottom"/>
            <w:shd w:val="clear" w:color="auto" w:fill="DBDBDB"/>
          </w:tcPr>
          <w:p>
            <w:pPr>
              <w:spacing w:after="0"/>
              <w:rPr>
                <w:sz w:val="12"/>
                <w:szCs w:val="12"/>
                <w:color w:val="auto"/>
              </w:rPr>
            </w:pPr>
          </w:p>
        </w:tc>
        <w:tc>
          <w:tcPr>
            <w:tcW w:w="16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7,266</w:t>
            </w:r>
          </w:p>
        </w:tc>
        <w:tc>
          <w:tcPr>
            <w:tcW w:w="60" w:type="dxa"/>
            <w:vAlign w:val="bottom"/>
            <w:shd w:val="clear" w:color="auto" w:fill="DBDBDB"/>
          </w:tcPr>
          <w:p>
            <w:pPr>
              <w:spacing w:after="0"/>
              <w:rPr>
                <w:sz w:val="12"/>
                <w:szCs w:val="12"/>
                <w:color w:val="auto"/>
              </w:rPr>
            </w:pPr>
          </w:p>
        </w:tc>
        <w:tc>
          <w:tcPr>
            <w:tcW w:w="920" w:type="dxa"/>
            <w:vAlign w:val="bottom"/>
            <w:gridSpan w:val="3"/>
            <w:shd w:val="clear" w:color="auto" w:fill="DBDBDB"/>
          </w:tcPr>
          <w:p>
            <w:pPr>
              <w:jc w:val="center"/>
              <w:ind w:right="160"/>
              <w:spacing w:after="0"/>
              <w:rPr>
                <w:sz w:val="20"/>
                <w:szCs w:val="20"/>
                <w:color w:val="auto"/>
              </w:rPr>
            </w:pPr>
            <w:r>
              <w:rPr>
                <w:rFonts w:ascii="Arial" w:cs="Arial" w:eastAsia="Arial" w:hAnsi="Arial"/>
                <w:sz w:val="11"/>
                <w:szCs w:val="11"/>
                <w:color w:val="auto"/>
                <w:w w:val="95"/>
              </w:rPr>
              <w:t>1.6x</w:t>
            </w:r>
          </w:p>
        </w:tc>
        <w:tc>
          <w:tcPr>
            <w:tcW w:w="580" w:type="dxa"/>
            <w:vAlign w:val="bottom"/>
            <w:gridSpan w:val="2"/>
            <w:shd w:val="clear" w:color="auto" w:fill="DBDBDB"/>
          </w:tcPr>
          <w:p>
            <w:pPr>
              <w:jc w:val="center"/>
              <w:ind w:right="140"/>
              <w:spacing w:after="0"/>
              <w:rPr>
                <w:sz w:val="20"/>
                <w:szCs w:val="20"/>
                <w:color w:val="auto"/>
              </w:rPr>
            </w:pPr>
            <w:r>
              <w:rPr>
                <w:rFonts w:ascii="Arial" w:cs="Arial" w:eastAsia="Arial" w:hAnsi="Arial"/>
                <w:sz w:val="11"/>
                <w:szCs w:val="11"/>
                <w:color w:val="auto"/>
                <w:w w:val="95"/>
              </w:rPr>
              <w:t>1.4x</w:t>
            </w:r>
          </w:p>
        </w:tc>
        <w:tc>
          <w:tcPr>
            <w:tcW w:w="580" w:type="dxa"/>
            <w:vAlign w:val="bottom"/>
            <w:shd w:val="clear" w:color="auto" w:fill="DBDBDB"/>
          </w:tcPr>
          <w:p>
            <w:pPr>
              <w:jc w:val="center"/>
              <w:ind w:left="47"/>
              <w:spacing w:after="0"/>
              <w:rPr>
                <w:sz w:val="20"/>
                <w:szCs w:val="20"/>
                <w:color w:val="auto"/>
              </w:rPr>
            </w:pPr>
            <w:r>
              <w:rPr>
                <w:rFonts w:ascii="Arial" w:cs="Arial" w:eastAsia="Arial" w:hAnsi="Arial"/>
                <w:sz w:val="11"/>
                <w:szCs w:val="11"/>
                <w:color w:val="auto"/>
              </w:rPr>
              <w:t>16.8%</w:t>
            </w:r>
          </w:p>
        </w:tc>
        <w:tc>
          <w:tcPr>
            <w:tcW w:w="860" w:type="dxa"/>
            <w:vAlign w:val="bottom"/>
            <w:gridSpan w:val="3"/>
            <w:shd w:val="clear" w:color="auto" w:fill="DBDBDB"/>
          </w:tcPr>
          <w:p>
            <w:pPr>
              <w:jc w:val="center"/>
              <w:ind w:left="87"/>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40"/>
        </w:trPr>
        <w:tc>
          <w:tcPr>
            <w:tcW w:w="1720" w:type="dxa"/>
            <w:vAlign w:val="bottom"/>
            <w:gridSpan w:val="4"/>
          </w:tcPr>
          <w:p>
            <w:pPr>
              <w:spacing w:after="0"/>
              <w:rPr>
                <w:sz w:val="20"/>
                <w:szCs w:val="20"/>
                <w:color w:val="auto"/>
              </w:rPr>
            </w:pPr>
            <w:r>
              <w:rPr>
                <w:rFonts w:ascii="Arial" w:cs="Arial" w:eastAsia="Arial" w:hAnsi="Arial"/>
                <w:sz w:val="11"/>
                <w:szCs w:val="11"/>
                <w:color w:val="auto"/>
              </w:rPr>
              <w:t>DBP II</w:t>
            </w:r>
          </w:p>
        </w:tc>
        <w:tc>
          <w:tcPr>
            <w:tcW w:w="4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1"/>
                <w:szCs w:val="11"/>
                <w:color w:val="auto"/>
                <w:w w:val="98"/>
              </w:rPr>
              <w:t>November-20</w:t>
            </w:r>
          </w:p>
        </w:tc>
        <w:tc>
          <w:tcPr>
            <w:tcW w:w="3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8,286</w:t>
            </w:r>
          </w:p>
        </w:tc>
        <w:tc>
          <w:tcPr>
            <w:tcW w:w="16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7,544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9,191</w:t>
            </w:r>
          </w:p>
        </w:tc>
        <w:tc>
          <w:tcPr>
            <w:tcW w:w="60" w:type="dxa"/>
            <w:vAlign w:val="bottom"/>
          </w:tcPr>
          <w:p>
            <w:pPr>
              <w:spacing w:after="0"/>
              <w:rPr>
                <w:sz w:val="12"/>
                <w:szCs w:val="12"/>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1"/>
                <w:szCs w:val="11"/>
                <w:color w:val="auto"/>
                <w:w w:val="95"/>
              </w:rPr>
              <w:t>1.2x</w:t>
            </w:r>
          </w:p>
        </w:tc>
        <w:tc>
          <w:tcPr>
            <w:tcW w:w="580" w:type="dxa"/>
            <w:vAlign w:val="bottom"/>
            <w:gridSpan w:val="2"/>
          </w:tcPr>
          <w:p>
            <w:pPr>
              <w:jc w:val="center"/>
              <w:ind w:right="140"/>
              <w:spacing w:after="0"/>
              <w:rPr>
                <w:sz w:val="20"/>
                <w:szCs w:val="20"/>
                <w:color w:val="auto"/>
              </w:rPr>
            </w:pPr>
            <w:r>
              <w:rPr>
                <w:rFonts w:ascii="Arial" w:cs="Arial" w:eastAsia="Arial" w:hAnsi="Arial"/>
                <w:sz w:val="11"/>
                <w:szCs w:val="11"/>
                <w:color w:val="auto"/>
                <w:w w:val="95"/>
              </w:rPr>
              <w:t>1.1x</w:t>
            </w:r>
          </w:p>
        </w:tc>
        <w:tc>
          <w:tcPr>
            <w:tcW w:w="580" w:type="dxa"/>
            <w:vAlign w:val="bottom"/>
          </w:tcPr>
          <w:p>
            <w:pPr>
              <w:jc w:val="center"/>
              <w:ind w:left="47"/>
              <w:spacing w:after="0"/>
              <w:rPr>
                <w:sz w:val="20"/>
                <w:szCs w:val="20"/>
                <w:color w:val="auto"/>
              </w:rPr>
            </w:pPr>
            <w:r>
              <w:rPr>
                <w:rFonts w:ascii="Arial" w:cs="Arial" w:eastAsia="Arial" w:hAnsi="Arial"/>
                <w:sz w:val="11"/>
                <w:szCs w:val="11"/>
                <w:color w:val="auto"/>
              </w:rPr>
              <w:t>12.1%</w:t>
            </w:r>
          </w:p>
        </w:tc>
        <w:tc>
          <w:tcPr>
            <w:tcW w:w="860" w:type="dxa"/>
            <w:vAlign w:val="bottom"/>
            <w:gridSpan w:val="3"/>
          </w:tcPr>
          <w:p>
            <w:pPr>
              <w:jc w:val="center"/>
              <w:ind w:left="87"/>
              <w:spacing w:after="0"/>
              <w:rPr>
                <w:sz w:val="20"/>
                <w:szCs w:val="20"/>
                <w:color w:val="auto"/>
              </w:rPr>
            </w:pPr>
            <w:r>
              <w:rPr>
                <w:rFonts w:ascii="Arial" w:cs="Arial" w:eastAsia="Arial" w:hAnsi="Arial"/>
                <w:sz w:val="11"/>
                <w:szCs w:val="11"/>
                <w:color w:val="auto"/>
                <w:w w:val="95"/>
              </w:rPr>
              <w:t>9.1%</w:t>
            </w:r>
          </w:p>
        </w:tc>
        <w:tc>
          <w:tcPr>
            <w:tcW w:w="0" w:type="dxa"/>
            <w:vAlign w:val="bottom"/>
          </w:tcPr>
          <w:p>
            <w:pPr>
              <w:spacing w:after="0"/>
              <w:rPr>
                <w:sz w:val="1"/>
                <w:szCs w:val="1"/>
                <w:color w:val="auto"/>
              </w:rPr>
            </w:pPr>
          </w:p>
        </w:tc>
      </w:tr>
      <w:tr>
        <w:trPr>
          <w:trHeight w:val="119"/>
        </w:trPr>
        <w:tc>
          <w:tcPr>
            <w:tcW w:w="3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b w:val="1"/>
                <w:bCs w:val="1"/>
                <w:color w:val="auto"/>
              </w:rPr>
              <w:t>Core</w:t>
            </w:r>
          </w:p>
        </w:tc>
        <w:tc>
          <w:tcPr>
            <w:tcW w:w="142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gridSpan w:val="4"/>
            <w:shd w:val="clear" w:color="auto" w:fill="DBDBDB"/>
          </w:tcPr>
          <w:p>
            <w:pPr>
              <w:spacing w:after="0"/>
              <w:rPr>
                <w:sz w:val="20"/>
                <w:szCs w:val="20"/>
                <w:color w:val="auto"/>
              </w:rPr>
            </w:pPr>
            <w:r>
              <w:rPr>
                <w:rFonts w:ascii="Arial" w:cs="Arial" w:eastAsia="Arial" w:hAnsi="Arial"/>
                <w:sz w:val="11"/>
                <w:szCs w:val="11"/>
                <w:color w:val="auto"/>
              </w:rPr>
              <w:t>SAF</w:t>
            </w:r>
          </w:p>
        </w:tc>
        <w:tc>
          <w:tcPr>
            <w:tcW w:w="40" w:type="dxa"/>
            <w:vAlign w:val="bottom"/>
            <w:shd w:val="clear" w:color="auto" w:fill="DBDBDB"/>
          </w:tcPr>
          <w:p>
            <w:pPr>
              <w:spacing w:after="0"/>
              <w:rPr>
                <w:sz w:val="12"/>
                <w:szCs w:val="12"/>
                <w:color w:val="auto"/>
              </w:rPr>
            </w:pP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1"/>
                <w:szCs w:val="11"/>
                <w:color w:val="auto"/>
                <w:w w:val="98"/>
              </w:rPr>
              <w:t>November-22</w:t>
            </w:r>
          </w:p>
        </w:tc>
        <w:tc>
          <w:tcPr>
            <w:tcW w:w="3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1,110</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867</w:t>
            </w:r>
          </w:p>
        </w:tc>
        <w:tc>
          <w:tcPr>
            <w:tcW w:w="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476</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878</w:t>
            </w:r>
          </w:p>
        </w:tc>
        <w:tc>
          <w:tcPr>
            <w:tcW w:w="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w:t>
            </w:r>
          </w:p>
        </w:tc>
        <w:tc>
          <w:tcPr>
            <w:tcW w:w="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890</w:t>
            </w:r>
          </w:p>
        </w:tc>
        <w:tc>
          <w:tcPr>
            <w:tcW w:w="60" w:type="dxa"/>
            <w:vAlign w:val="bottom"/>
            <w:shd w:val="clear" w:color="auto" w:fill="DBDBDB"/>
          </w:tcPr>
          <w:p>
            <w:pPr>
              <w:spacing w:after="0"/>
              <w:rPr>
                <w:sz w:val="12"/>
                <w:szCs w:val="12"/>
                <w:color w:val="auto"/>
              </w:rPr>
            </w:pPr>
          </w:p>
        </w:tc>
        <w:tc>
          <w:tcPr>
            <w:tcW w:w="920" w:type="dxa"/>
            <w:vAlign w:val="bottom"/>
            <w:gridSpan w:val="3"/>
            <w:shd w:val="clear" w:color="auto" w:fill="DBDBDB"/>
          </w:tcPr>
          <w:p>
            <w:pPr>
              <w:jc w:val="center"/>
              <w:ind w:right="160"/>
              <w:spacing w:after="0"/>
              <w:rPr>
                <w:sz w:val="20"/>
                <w:szCs w:val="20"/>
                <w:color w:val="auto"/>
              </w:rPr>
            </w:pPr>
            <w:r>
              <w:rPr>
                <w:rFonts w:ascii="Arial" w:cs="Arial" w:eastAsia="Arial" w:hAnsi="Arial"/>
                <w:sz w:val="11"/>
                <w:szCs w:val="11"/>
                <w:color w:val="auto"/>
                <w:w w:val="95"/>
              </w:rPr>
              <w:t>1.0x</w:t>
            </w:r>
          </w:p>
        </w:tc>
        <w:tc>
          <w:tcPr>
            <w:tcW w:w="580" w:type="dxa"/>
            <w:vAlign w:val="bottom"/>
            <w:gridSpan w:val="2"/>
            <w:shd w:val="clear" w:color="auto" w:fill="DBDBDB"/>
          </w:tcPr>
          <w:p>
            <w:pPr>
              <w:jc w:val="center"/>
              <w:ind w:right="140"/>
              <w:spacing w:after="0"/>
              <w:rPr>
                <w:sz w:val="20"/>
                <w:szCs w:val="20"/>
                <w:color w:val="auto"/>
              </w:rPr>
            </w:pPr>
            <w:r>
              <w:rPr>
                <w:rFonts w:ascii="Arial" w:cs="Arial" w:eastAsia="Arial" w:hAnsi="Arial"/>
                <w:sz w:val="11"/>
                <w:szCs w:val="11"/>
                <w:color w:val="auto"/>
                <w:w w:val="95"/>
              </w:rPr>
              <w:t>1.0x</w:t>
            </w:r>
          </w:p>
        </w:tc>
        <w:tc>
          <w:tcPr>
            <w:tcW w:w="580" w:type="dxa"/>
            <w:vAlign w:val="bottom"/>
            <w:shd w:val="clear" w:color="auto" w:fill="DBDBDB"/>
          </w:tcPr>
          <w:p>
            <w:pPr>
              <w:jc w:val="center"/>
              <w:ind w:left="47"/>
              <w:spacing w:after="0"/>
              <w:rPr>
                <w:sz w:val="20"/>
                <w:szCs w:val="20"/>
                <w:color w:val="auto"/>
              </w:rPr>
            </w:pPr>
            <w:r>
              <w:rPr>
                <w:rFonts w:ascii="Arial" w:cs="Arial" w:eastAsia="Arial" w:hAnsi="Arial"/>
                <w:sz w:val="11"/>
                <w:szCs w:val="11"/>
                <w:color w:val="auto"/>
                <w:w w:val="95"/>
              </w:rPr>
              <w:t>3.7%</w:t>
            </w:r>
          </w:p>
        </w:tc>
        <w:tc>
          <w:tcPr>
            <w:tcW w:w="860" w:type="dxa"/>
            <w:vAlign w:val="bottom"/>
            <w:gridSpan w:val="3"/>
            <w:shd w:val="clear" w:color="auto" w:fill="DBDBDB"/>
          </w:tcPr>
          <w:p>
            <w:pPr>
              <w:jc w:val="center"/>
              <w:ind w:left="87"/>
              <w:spacing w:after="0"/>
              <w:rPr>
                <w:sz w:val="20"/>
                <w:szCs w:val="20"/>
                <w:color w:val="auto"/>
              </w:rPr>
            </w:pPr>
            <w:r>
              <w:rPr>
                <w:rFonts w:ascii="Arial" w:cs="Arial" w:eastAsia="Arial" w:hAnsi="Arial"/>
                <w:sz w:val="11"/>
                <w:szCs w:val="11"/>
                <w:color w:val="auto"/>
                <w:w w:val="95"/>
              </w:rPr>
              <w:t>0.7%</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0"/>
                <w:szCs w:val="10"/>
                <w:b w:val="1"/>
                <w:bCs w:val="1"/>
                <w:color w:val="auto"/>
              </w:rPr>
              <w:t>InfraBridge</w:t>
            </w: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gridSpan w:val="4"/>
            <w:shd w:val="clear" w:color="auto" w:fill="DBDBDB"/>
          </w:tcPr>
          <w:p>
            <w:pPr>
              <w:spacing w:after="0"/>
              <w:rPr>
                <w:sz w:val="20"/>
                <w:szCs w:val="20"/>
                <w:color w:val="auto"/>
              </w:rPr>
            </w:pPr>
            <w:r>
              <w:rPr>
                <w:rFonts w:ascii="Arial" w:cs="Arial" w:eastAsia="Arial" w:hAnsi="Arial"/>
                <w:sz w:val="11"/>
                <w:szCs w:val="11"/>
                <w:color w:val="auto"/>
              </w:rPr>
              <w:t>GIF I</w:t>
            </w:r>
          </w:p>
        </w:tc>
        <w:tc>
          <w:tcPr>
            <w:tcW w:w="40" w:type="dxa"/>
            <w:vAlign w:val="bottom"/>
            <w:shd w:val="clear" w:color="auto" w:fill="DBDBDB"/>
          </w:tcPr>
          <w:p>
            <w:pPr>
              <w:spacing w:after="0"/>
              <w:rPr>
                <w:sz w:val="12"/>
                <w:szCs w:val="12"/>
                <w:color w:val="auto"/>
              </w:rPr>
            </w:pP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1"/>
                <w:szCs w:val="11"/>
                <w:color w:val="auto"/>
                <w:w w:val="98"/>
              </w:rPr>
              <w:t>March-15</w:t>
            </w:r>
          </w:p>
        </w:tc>
        <w:tc>
          <w:tcPr>
            <w:tcW w:w="3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1,411</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1,488</w:t>
            </w:r>
          </w:p>
        </w:tc>
        <w:tc>
          <w:tcPr>
            <w:tcW w:w="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406</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1,279</w:t>
            </w:r>
          </w:p>
        </w:tc>
        <w:tc>
          <w:tcPr>
            <w:tcW w:w="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1,070</w:t>
            </w:r>
          </w:p>
        </w:tc>
        <w:tc>
          <w:tcPr>
            <w:tcW w:w="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2,349</w:t>
            </w:r>
          </w:p>
        </w:tc>
        <w:tc>
          <w:tcPr>
            <w:tcW w:w="60" w:type="dxa"/>
            <w:vAlign w:val="bottom"/>
            <w:shd w:val="clear" w:color="auto" w:fill="DBDBDB"/>
          </w:tcPr>
          <w:p>
            <w:pPr>
              <w:spacing w:after="0"/>
              <w:rPr>
                <w:sz w:val="12"/>
                <w:szCs w:val="12"/>
                <w:color w:val="auto"/>
              </w:rPr>
            </w:pPr>
          </w:p>
        </w:tc>
        <w:tc>
          <w:tcPr>
            <w:tcW w:w="920" w:type="dxa"/>
            <w:vAlign w:val="bottom"/>
            <w:gridSpan w:val="3"/>
            <w:shd w:val="clear" w:color="auto" w:fill="DBDBDB"/>
          </w:tcPr>
          <w:p>
            <w:pPr>
              <w:jc w:val="center"/>
              <w:ind w:right="160"/>
              <w:spacing w:after="0"/>
              <w:rPr>
                <w:sz w:val="20"/>
                <w:szCs w:val="20"/>
                <w:color w:val="auto"/>
              </w:rPr>
            </w:pPr>
            <w:r>
              <w:rPr>
                <w:rFonts w:ascii="Arial" w:cs="Arial" w:eastAsia="Arial" w:hAnsi="Arial"/>
                <w:sz w:val="11"/>
                <w:szCs w:val="11"/>
                <w:color w:val="auto"/>
                <w:w w:val="95"/>
              </w:rPr>
              <w:t>1.6x</w:t>
            </w:r>
          </w:p>
        </w:tc>
        <w:tc>
          <w:tcPr>
            <w:tcW w:w="580" w:type="dxa"/>
            <w:vAlign w:val="bottom"/>
            <w:gridSpan w:val="2"/>
            <w:shd w:val="clear" w:color="auto" w:fill="DBDBDB"/>
          </w:tcPr>
          <w:p>
            <w:pPr>
              <w:jc w:val="center"/>
              <w:ind w:right="140"/>
              <w:spacing w:after="0"/>
              <w:rPr>
                <w:sz w:val="20"/>
                <w:szCs w:val="20"/>
                <w:color w:val="auto"/>
              </w:rPr>
            </w:pPr>
            <w:r>
              <w:rPr>
                <w:rFonts w:ascii="Arial" w:cs="Arial" w:eastAsia="Arial" w:hAnsi="Arial"/>
                <w:sz w:val="11"/>
                <w:szCs w:val="11"/>
                <w:color w:val="auto"/>
                <w:w w:val="95"/>
              </w:rPr>
              <w:t>1.4x</w:t>
            </w:r>
          </w:p>
        </w:tc>
        <w:tc>
          <w:tcPr>
            <w:tcW w:w="580" w:type="dxa"/>
            <w:vAlign w:val="bottom"/>
            <w:shd w:val="clear" w:color="auto" w:fill="DBDBDB"/>
          </w:tcPr>
          <w:p>
            <w:pPr>
              <w:jc w:val="center"/>
              <w:ind w:left="47"/>
              <w:spacing w:after="0"/>
              <w:rPr>
                <w:sz w:val="20"/>
                <w:szCs w:val="20"/>
                <w:color w:val="auto"/>
              </w:rPr>
            </w:pPr>
            <w:r>
              <w:rPr>
                <w:rFonts w:ascii="Arial" w:cs="Arial" w:eastAsia="Arial" w:hAnsi="Arial"/>
                <w:sz w:val="11"/>
                <w:szCs w:val="11"/>
                <w:color w:val="auto"/>
              </w:rPr>
              <w:t>10.0%</w:t>
            </w:r>
          </w:p>
        </w:tc>
        <w:tc>
          <w:tcPr>
            <w:tcW w:w="860" w:type="dxa"/>
            <w:vAlign w:val="bottom"/>
            <w:gridSpan w:val="3"/>
            <w:shd w:val="clear" w:color="auto" w:fill="DBDBDB"/>
          </w:tcPr>
          <w:p>
            <w:pPr>
              <w:jc w:val="center"/>
              <w:ind w:left="87"/>
              <w:spacing w:after="0"/>
              <w:rPr>
                <w:sz w:val="20"/>
                <w:szCs w:val="20"/>
                <w:color w:val="auto"/>
              </w:rPr>
            </w:pPr>
            <w:r>
              <w:rPr>
                <w:rFonts w:ascii="Arial" w:cs="Arial" w:eastAsia="Arial" w:hAnsi="Arial"/>
                <w:sz w:val="11"/>
                <w:szCs w:val="11"/>
                <w:color w:val="auto"/>
                <w:w w:val="95"/>
              </w:rPr>
              <w:t>7.4%</w:t>
            </w:r>
          </w:p>
        </w:tc>
        <w:tc>
          <w:tcPr>
            <w:tcW w:w="0" w:type="dxa"/>
            <w:vAlign w:val="bottom"/>
          </w:tcPr>
          <w:p>
            <w:pPr>
              <w:spacing w:after="0"/>
              <w:rPr>
                <w:sz w:val="1"/>
                <w:szCs w:val="1"/>
                <w:color w:val="auto"/>
              </w:rPr>
            </w:pPr>
          </w:p>
        </w:tc>
      </w:tr>
      <w:tr>
        <w:trPr>
          <w:trHeight w:val="140"/>
        </w:trPr>
        <w:tc>
          <w:tcPr>
            <w:tcW w:w="1720" w:type="dxa"/>
            <w:vAlign w:val="bottom"/>
            <w:gridSpan w:val="4"/>
          </w:tcPr>
          <w:p>
            <w:pPr>
              <w:spacing w:after="0"/>
              <w:rPr>
                <w:sz w:val="20"/>
                <w:szCs w:val="20"/>
                <w:color w:val="auto"/>
              </w:rPr>
            </w:pPr>
            <w:r>
              <w:rPr>
                <w:rFonts w:ascii="Arial" w:cs="Arial" w:eastAsia="Arial" w:hAnsi="Arial"/>
                <w:sz w:val="11"/>
                <w:szCs w:val="11"/>
                <w:color w:val="auto"/>
              </w:rPr>
              <w:t>GIF II</w:t>
            </w:r>
          </w:p>
        </w:tc>
        <w:tc>
          <w:tcPr>
            <w:tcW w:w="4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1"/>
                <w:szCs w:val="11"/>
                <w:color w:val="auto"/>
                <w:w w:val="98"/>
              </w:rPr>
              <w:t>January-18</w:t>
            </w:r>
          </w:p>
        </w:tc>
        <w:tc>
          <w:tcPr>
            <w:tcW w:w="360" w:type="dxa"/>
            <w:vAlign w:val="bottom"/>
          </w:tcPr>
          <w:p>
            <w:pPr>
              <w:spacing w:after="0"/>
              <w:rPr>
                <w:sz w:val="12"/>
                <w:szCs w:val="12"/>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3,382</w:t>
            </w:r>
          </w:p>
        </w:tc>
        <w:tc>
          <w:tcPr>
            <w:tcW w:w="160" w:type="dxa"/>
            <w:vAlign w:val="bottom"/>
          </w:tcPr>
          <w:p>
            <w:pPr>
              <w:spacing w:after="0"/>
              <w:rPr>
                <w:sz w:val="12"/>
                <w:szCs w:val="12"/>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3,117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2,866</w:t>
            </w:r>
          </w:p>
        </w:tc>
        <w:tc>
          <w:tcPr>
            <w:tcW w:w="60" w:type="dxa"/>
            <w:vAlign w:val="bottom"/>
          </w:tcPr>
          <w:p>
            <w:pPr>
              <w:spacing w:after="0"/>
              <w:rPr>
                <w:sz w:val="12"/>
                <w:szCs w:val="12"/>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1"/>
                <w:szCs w:val="11"/>
                <w:color w:val="auto"/>
                <w:w w:val="96"/>
              </w:rPr>
              <w:t>0.92x</w:t>
            </w:r>
          </w:p>
        </w:tc>
        <w:tc>
          <w:tcPr>
            <w:tcW w:w="580" w:type="dxa"/>
            <w:vAlign w:val="bottom"/>
            <w:gridSpan w:val="2"/>
          </w:tcPr>
          <w:p>
            <w:pPr>
              <w:jc w:val="center"/>
              <w:ind w:right="160"/>
              <w:spacing w:after="0"/>
              <w:rPr>
                <w:sz w:val="20"/>
                <w:szCs w:val="20"/>
                <w:color w:val="auto"/>
              </w:rPr>
            </w:pPr>
            <w:r>
              <w:rPr>
                <w:rFonts w:ascii="Arial" w:cs="Arial" w:eastAsia="Arial" w:hAnsi="Arial"/>
                <w:sz w:val="11"/>
                <w:szCs w:val="11"/>
                <w:color w:val="auto"/>
                <w:w w:val="96"/>
              </w:rPr>
              <w:t>0.82x</w:t>
            </w:r>
          </w:p>
        </w:tc>
        <w:tc>
          <w:tcPr>
            <w:tcW w:w="580" w:type="dxa"/>
            <w:vAlign w:val="bottom"/>
          </w:tcPr>
          <w:p>
            <w:pPr>
              <w:jc w:val="center"/>
              <w:ind w:left="27"/>
              <w:spacing w:after="0"/>
              <w:rPr>
                <w:sz w:val="20"/>
                <w:szCs w:val="20"/>
                <w:color w:val="auto"/>
              </w:rPr>
            </w:pPr>
            <w:r>
              <w:rPr>
                <w:rFonts w:ascii="Arial" w:cs="Arial" w:eastAsia="Arial" w:hAnsi="Arial"/>
                <w:sz w:val="11"/>
                <w:szCs w:val="11"/>
                <w:color w:val="auto"/>
                <w:w w:val="98"/>
              </w:rPr>
              <w:t>&lt;0%</w:t>
            </w:r>
          </w:p>
        </w:tc>
        <w:tc>
          <w:tcPr>
            <w:tcW w:w="860" w:type="dxa"/>
            <w:vAlign w:val="bottom"/>
            <w:gridSpan w:val="3"/>
          </w:tcPr>
          <w:p>
            <w:pPr>
              <w:jc w:val="center"/>
              <w:ind w:left="107"/>
              <w:spacing w:after="0"/>
              <w:rPr>
                <w:sz w:val="20"/>
                <w:szCs w:val="20"/>
                <w:color w:val="auto"/>
              </w:rPr>
            </w:pPr>
            <w:r>
              <w:rPr>
                <w:rFonts w:ascii="Arial" w:cs="Arial" w:eastAsia="Arial" w:hAnsi="Arial"/>
                <w:sz w:val="11"/>
                <w:szCs w:val="11"/>
                <w:color w:val="auto"/>
                <w:w w:val="98"/>
              </w:rPr>
              <w:t>&lt;0%</w:t>
            </w:r>
          </w:p>
        </w:tc>
        <w:tc>
          <w:tcPr>
            <w:tcW w:w="0" w:type="dxa"/>
            <w:vAlign w:val="bottom"/>
          </w:tcPr>
          <w:p>
            <w:pPr>
              <w:spacing w:after="0"/>
              <w:rPr>
                <w:sz w:val="1"/>
                <w:szCs w:val="1"/>
                <w:color w:val="auto"/>
              </w:rPr>
            </w:pPr>
          </w:p>
        </w:tc>
      </w:tr>
      <w:tr>
        <w:trPr>
          <w:trHeight w:val="112"/>
        </w:trPr>
        <w:tc>
          <w:tcPr>
            <w:tcW w:w="172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Credit</w:t>
            </w:r>
          </w:p>
        </w:tc>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720" w:type="dxa"/>
            <w:vAlign w:val="bottom"/>
            <w:gridSpan w:val="4"/>
            <w:shd w:val="clear" w:color="auto" w:fill="DBDBDB"/>
          </w:tcPr>
          <w:p>
            <w:pPr>
              <w:spacing w:after="0"/>
              <w:rPr>
                <w:sz w:val="20"/>
                <w:szCs w:val="20"/>
                <w:color w:val="auto"/>
              </w:rPr>
            </w:pPr>
            <w:r>
              <w:rPr>
                <w:rFonts w:ascii="Arial" w:cs="Arial" w:eastAsia="Arial" w:hAnsi="Arial"/>
                <w:sz w:val="11"/>
                <w:szCs w:val="11"/>
                <w:color w:val="auto"/>
              </w:rPr>
              <w:t>Credit I</w:t>
            </w:r>
          </w:p>
        </w:tc>
        <w:tc>
          <w:tcPr>
            <w:tcW w:w="40" w:type="dxa"/>
            <w:vAlign w:val="bottom"/>
            <w:shd w:val="clear" w:color="auto" w:fill="DBDBDB"/>
          </w:tcPr>
          <w:p>
            <w:pPr>
              <w:spacing w:after="0"/>
              <w:rPr>
                <w:sz w:val="12"/>
                <w:szCs w:val="12"/>
                <w:color w:val="auto"/>
              </w:rPr>
            </w:pPr>
          </w:p>
        </w:tc>
        <w:tc>
          <w:tcPr>
            <w:tcW w:w="1200" w:type="dxa"/>
            <w:vAlign w:val="bottom"/>
            <w:gridSpan w:val="2"/>
            <w:shd w:val="clear" w:color="auto" w:fill="DBDBDB"/>
          </w:tcPr>
          <w:p>
            <w:pPr>
              <w:jc w:val="center"/>
              <w:ind w:right="60"/>
              <w:spacing w:after="0"/>
              <w:rPr>
                <w:sz w:val="20"/>
                <w:szCs w:val="20"/>
                <w:color w:val="auto"/>
              </w:rPr>
            </w:pPr>
            <w:r>
              <w:rPr>
                <w:rFonts w:ascii="Arial" w:cs="Arial" w:eastAsia="Arial" w:hAnsi="Arial"/>
                <w:sz w:val="11"/>
                <w:szCs w:val="11"/>
                <w:color w:val="auto"/>
                <w:w w:val="98"/>
              </w:rPr>
              <w:t>December-22</w:t>
            </w:r>
          </w:p>
        </w:tc>
        <w:tc>
          <w:tcPr>
            <w:tcW w:w="360" w:type="dxa"/>
            <w:vAlign w:val="bottom"/>
            <w:shd w:val="clear" w:color="auto" w:fill="DBDBDB"/>
          </w:tcPr>
          <w:p>
            <w:pPr>
              <w:spacing w:after="0"/>
              <w:rPr>
                <w:sz w:val="12"/>
                <w:szCs w:val="12"/>
                <w:color w:val="auto"/>
              </w:rPr>
            </w:pPr>
          </w:p>
        </w:tc>
        <w:tc>
          <w:tcPr>
            <w:tcW w:w="640" w:type="dxa"/>
            <w:vAlign w:val="bottom"/>
            <w:shd w:val="clear" w:color="auto" w:fill="DBDBDB"/>
          </w:tcPr>
          <w:p>
            <w:pPr>
              <w:jc w:val="right"/>
              <w:ind w:right="26"/>
              <w:spacing w:after="0"/>
              <w:rPr>
                <w:sz w:val="20"/>
                <w:szCs w:val="20"/>
                <w:color w:val="auto"/>
              </w:rPr>
            </w:pPr>
            <w:r>
              <w:rPr>
                <w:rFonts w:ascii="Arial" w:cs="Arial" w:eastAsia="Arial" w:hAnsi="Arial"/>
                <w:sz w:val="11"/>
                <w:szCs w:val="11"/>
                <w:color w:val="auto"/>
              </w:rPr>
              <w:t>697</w:t>
            </w: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368</w:t>
            </w:r>
          </w:p>
        </w:tc>
        <w:tc>
          <w:tcPr>
            <w:tcW w:w="4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426</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324</w:t>
            </w:r>
          </w:p>
        </w:tc>
        <w:tc>
          <w:tcPr>
            <w:tcW w:w="6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w:t>
            </w:r>
          </w:p>
        </w:tc>
        <w:tc>
          <w:tcPr>
            <w:tcW w:w="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401</w:t>
            </w:r>
          </w:p>
        </w:tc>
        <w:tc>
          <w:tcPr>
            <w:tcW w:w="60" w:type="dxa"/>
            <w:vAlign w:val="bottom"/>
            <w:shd w:val="clear" w:color="auto" w:fill="DBDBDB"/>
          </w:tcPr>
          <w:p>
            <w:pPr>
              <w:spacing w:after="0"/>
              <w:rPr>
                <w:sz w:val="12"/>
                <w:szCs w:val="12"/>
                <w:color w:val="auto"/>
              </w:rPr>
            </w:pPr>
          </w:p>
        </w:tc>
        <w:tc>
          <w:tcPr>
            <w:tcW w:w="920" w:type="dxa"/>
            <w:vAlign w:val="bottom"/>
            <w:gridSpan w:val="3"/>
            <w:shd w:val="clear" w:color="auto" w:fill="DBDBDB"/>
          </w:tcPr>
          <w:p>
            <w:pPr>
              <w:jc w:val="center"/>
              <w:ind w:right="160"/>
              <w:spacing w:after="0"/>
              <w:rPr>
                <w:sz w:val="20"/>
                <w:szCs w:val="20"/>
                <w:color w:val="auto"/>
              </w:rPr>
            </w:pPr>
            <w:r>
              <w:rPr>
                <w:rFonts w:ascii="Arial" w:cs="Arial" w:eastAsia="Arial" w:hAnsi="Arial"/>
                <w:sz w:val="11"/>
                <w:szCs w:val="11"/>
                <w:color w:val="auto"/>
                <w:w w:val="95"/>
              </w:rPr>
              <w:t>1.1x</w:t>
            </w:r>
          </w:p>
        </w:tc>
        <w:tc>
          <w:tcPr>
            <w:tcW w:w="580" w:type="dxa"/>
            <w:vAlign w:val="bottom"/>
            <w:gridSpan w:val="2"/>
            <w:shd w:val="clear" w:color="auto" w:fill="DBDBDB"/>
          </w:tcPr>
          <w:p>
            <w:pPr>
              <w:jc w:val="center"/>
              <w:ind w:right="140"/>
              <w:spacing w:after="0"/>
              <w:rPr>
                <w:sz w:val="20"/>
                <w:szCs w:val="20"/>
                <w:color w:val="auto"/>
              </w:rPr>
            </w:pPr>
            <w:r>
              <w:rPr>
                <w:rFonts w:ascii="Arial" w:cs="Arial" w:eastAsia="Arial" w:hAnsi="Arial"/>
                <w:sz w:val="11"/>
                <w:szCs w:val="11"/>
                <w:color w:val="auto"/>
                <w:w w:val="95"/>
              </w:rPr>
              <w:t>1.1x</w:t>
            </w:r>
          </w:p>
        </w:tc>
        <w:tc>
          <w:tcPr>
            <w:tcW w:w="580" w:type="dxa"/>
            <w:vAlign w:val="bottom"/>
            <w:shd w:val="clear" w:color="auto" w:fill="DBDBDB"/>
          </w:tcPr>
          <w:p>
            <w:pPr>
              <w:jc w:val="center"/>
              <w:ind w:left="47"/>
              <w:spacing w:after="0"/>
              <w:rPr>
                <w:sz w:val="20"/>
                <w:szCs w:val="20"/>
                <w:color w:val="auto"/>
              </w:rPr>
            </w:pPr>
            <w:r>
              <w:rPr>
                <w:rFonts w:ascii="Arial" w:cs="Arial" w:eastAsia="Arial" w:hAnsi="Arial"/>
                <w:sz w:val="11"/>
                <w:szCs w:val="11"/>
                <w:color w:val="auto"/>
              </w:rPr>
              <w:t>16.8%</w:t>
            </w:r>
          </w:p>
        </w:tc>
        <w:tc>
          <w:tcPr>
            <w:tcW w:w="860" w:type="dxa"/>
            <w:vAlign w:val="bottom"/>
            <w:gridSpan w:val="3"/>
            <w:shd w:val="clear" w:color="auto" w:fill="DBDBDB"/>
          </w:tcPr>
          <w:p>
            <w:pPr>
              <w:jc w:val="center"/>
              <w:ind w:left="87"/>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188" w:hanging="188"/>
        <w:spacing w:after="0"/>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Performance metrics are presented in aggregate for main fund vehicle, its parallel vehicles and alternative investment vehicles.</w:t>
      </w:r>
    </w:p>
    <w:p>
      <w:pPr>
        <w:spacing w:after="0" w:line="4" w:lineRule="exact"/>
        <w:rPr>
          <w:rFonts w:ascii="Arial" w:cs="Arial" w:eastAsia="Arial" w:hAnsi="Arial"/>
          <w:sz w:val="8"/>
          <w:szCs w:val="8"/>
          <w:color w:val="424242"/>
        </w:rPr>
      </w:pPr>
    </w:p>
    <w:p>
      <w:pPr>
        <w:ind w:left="188" w:hanging="188"/>
        <w:spacing w:after="0"/>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First close date of the fund, except for Credit I which is the first capital call date. InfraBridge funds were acquired in Feb-2023.</w:t>
      </w:r>
    </w:p>
    <w:p>
      <w:pPr>
        <w:spacing w:after="0" w:line="7" w:lineRule="exact"/>
        <w:rPr>
          <w:rFonts w:ascii="Arial" w:cs="Arial" w:eastAsia="Arial" w:hAnsi="Arial"/>
          <w:sz w:val="8"/>
          <w:szCs w:val="8"/>
          <w:color w:val="424242"/>
        </w:rPr>
      </w:pPr>
    </w:p>
    <w:p>
      <w:pPr>
        <w:ind w:left="208" w:right="40" w:hanging="208"/>
        <w:spacing w:after="0" w:line="246" w:lineRule="auto"/>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w:t>
      </w:r>
    </w:p>
    <w:p>
      <w:pPr>
        <w:ind w:left="188" w:hanging="188"/>
        <w:spacing w:after="0" w:line="234" w:lineRule="auto"/>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Available capital represents unfunded commitments, including recallable capital.</w:t>
      </w:r>
    </w:p>
    <w:p>
      <w:pPr>
        <w:ind w:left="188" w:hanging="188"/>
        <w:spacing w:after="0" w:line="234" w:lineRule="auto"/>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Realized value represents proceeds from dispositions that have closed and all earnings from both realized and unrealized investments, including interest, dividend and ticking fees.</w:t>
      </w:r>
    </w:p>
    <w:p>
      <w:pPr>
        <w:ind w:left="188" w:hanging="188"/>
        <w:spacing w:after="0"/>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Total value is the sum of unrealized fair value and realized value of investments.</w:t>
      </w:r>
    </w:p>
    <w:p>
      <w:pPr>
        <w:spacing w:after="0" w:line="7" w:lineRule="exact"/>
        <w:rPr>
          <w:rFonts w:ascii="Arial" w:cs="Arial" w:eastAsia="Arial" w:hAnsi="Arial"/>
          <w:sz w:val="8"/>
          <w:szCs w:val="8"/>
          <w:color w:val="424242"/>
        </w:rPr>
      </w:pPr>
    </w:p>
    <w:p>
      <w:pPr>
        <w:ind w:left="208" w:right="60" w:hanging="208"/>
        <w:spacing w:after="0" w:line="246" w:lineRule="auto"/>
        <w:tabs>
          <w:tab w:leader="none" w:pos="186" w:val="left"/>
        </w:tabs>
        <w:numPr>
          <w:ilvl w:val="0"/>
          <w:numId w:val="9"/>
        </w:numPr>
        <w:rPr>
          <w:rFonts w:ascii="Arial" w:cs="Arial" w:eastAsia="Arial" w:hAnsi="Arial"/>
          <w:sz w:val="8"/>
          <w:szCs w:val="8"/>
          <w:color w:val="424242"/>
        </w:rPr>
      </w:pPr>
      <w:r>
        <w:rPr>
          <w:rFonts w:ascii="Arial" w:cs="Arial" w:eastAsia="Arial" w:hAnsi="Arial"/>
          <w:sz w:val="8"/>
          <w:szCs w:val="8"/>
          <w:color w:val="424242"/>
        </w:rPr>
        <w:t>Total investment gross multiple of invested capital (MOIC) is calculated as unrealized fair value and realized value of investments divided by invested capital, without giving effect to allocation of management fee expense, other fund expenses and general partner carried interest (both distributed and unrealized). Excludes capital attributable to the general partner, general partner affiliate and any other capital that is not subject to fees and/or carried interest. Gross MOIC is calculated at the fund level and does not reflect gross MOIC at the individual investor level.</w:t>
      </w:r>
    </w:p>
    <w:p>
      <w:pPr>
        <w:ind w:left="208" w:right="460" w:hanging="208"/>
        <w:spacing w:after="0" w:line="246" w:lineRule="auto"/>
        <w:tabs>
          <w:tab w:leader="none" w:pos="186" w:val="left"/>
        </w:tabs>
        <w:numPr>
          <w:ilvl w:val="0"/>
          <w:numId w:val="9"/>
        </w:numPr>
        <w:rPr>
          <w:rFonts w:ascii="Arial" w:cs="Arial" w:eastAsia="Arial" w:hAnsi="Arial"/>
          <w:sz w:val="8"/>
          <w:szCs w:val="8"/>
          <w:color w:val="424242"/>
        </w:rPr>
      </w:pPr>
      <w:r>
        <w:rPr>
          <w:rFonts w:ascii="Arial" w:cs="Arial" w:eastAsia="Arial" w:hAnsi="Arial"/>
          <w:sz w:val="8"/>
          <w:szCs w:val="8"/>
          <w:color w:val="424242"/>
        </w:rPr>
        <w:t>Total investment net MOIC is calculated as total value of investments, that is realized proceeds and unrealized fair value, divided by invested capital, after giving effect to allocation of management fee expense, other fund expenses and general partner carried interest (both distributed and unrealized). Excludes capital not subject to fees and/or carried interest, including general partner and general partner affiliate capital. Net MOIC is calculated at the fund level and does not reflect net MOIC at the individual investor level.</w:t>
      </w:r>
    </w:p>
    <w:p>
      <w:pPr>
        <w:ind w:left="208" w:right="20" w:hanging="208"/>
        <w:spacing w:after="0" w:line="242" w:lineRule="auto"/>
        <w:tabs>
          <w:tab w:leader="none" w:pos="188" w:val="left"/>
        </w:tabs>
        <w:numPr>
          <w:ilvl w:val="0"/>
          <w:numId w:val="9"/>
        </w:numPr>
        <w:rPr>
          <w:rFonts w:ascii="Arial" w:cs="Arial" w:eastAsia="Arial" w:hAnsi="Arial"/>
          <w:sz w:val="8"/>
          <w:szCs w:val="8"/>
          <w:color w:val="424242"/>
        </w:rPr>
      </w:pPr>
      <w:r>
        <w:rPr>
          <w:rFonts w:ascii="Arial" w:cs="Arial" w:eastAsia="Arial" w:hAnsi="Arial"/>
          <w:sz w:val="8"/>
          <w:szCs w:val="8"/>
          <w:color w:val="424242"/>
        </w:rPr>
        <w:t>Gross internal rate of return (IRR) represents annualized time-weighted return on invested capital based upon total value of investments, that is realized proceeds and unrealized fair value, without giving effect to allocation of management fee expense, other fund expenses and general partner carried interest (both distributed and unrealized). Gross IRR is calculated from the date of investment fundings (inclusive of the effect of third-party credit financing) to the date of investment distributions. For unrealized investments, assumes a liquidating distribution equal to the investment fair value, net of third party credit financing. Gross IRR is calculated at the fund level and does not reflect gross IRR at the individual investor level due to timing of investor level inflows and outflows, among other factors.</w:t>
      </w:r>
    </w:p>
    <w:p>
      <w:pPr>
        <w:ind w:left="208" w:right="160" w:hanging="208"/>
        <w:spacing w:after="0" w:line="284" w:lineRule="auto"/>
        <w:tabs>
          <w:tab w:leader="none" w:pos="235" w:val="left"/>
        </w:tabs>
        <w:numPr>
          <w:ilvl w:val="0"/>
          <w:numId w:val="9"/>
        </w:numPr>
        <w:rPr>
          <w:rFonts w:ascii="Arial" w:cs="Arial" w:eastAsia="Arial" w:hAnsi="Arial"/>
          <w:sz w:val="8"/>
          <w:szCs w:val="8"/>
          <w:color w:val="424242"/>
        </w:rPr>
      </w:pPr>
      <w:r>
        <w:rPr>
          <w:rFonts w:ascii="Arial" w:cs="Arial" w:eastAsia="Arial" w:hAnsi="Arial"/>
          <w:sz w:val="8"/>
          <w:szCs w:val="8"/>
          <w:color w:val="424242"/>
        </w:rPr>
        <w:t>Net IRR is gross IRR after giving effect to allocation of management fee expense, other fund expenses and general partner carried interest (both distributed and unrealized). Net IRR is calculated at the individual investor level based upon timing and amount of fee-paying third party investor level inflows and outflows, and excludes syndicated proceeds and capital not subject to fees and/or carried interest, including general partner and general partner affiliate capital.</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8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2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9</w:t>
            </w:r>
          </w:p>
        </w:tc>
      </w:tr>
    </w:tbl>
    <w:p>
      <w:pPr>
        <w:sectPr>
          <w:pgSz w:w="11900" w:h="16838" w:orient="portrait"/>
          <w:cols w:equalWidth="0" w:num="1">
            <w:col w:w="11308"/>
          </w:cols>
          <w:pgMar w:left="292" w:top="130" w:right="299" w:bottom="1440" w:gutter="0" w:footer="0" w:header="0"/>
        </w:sectPr>
      </w:pPr>
    </w:p>
    <w:bookmarkStart w:id="49" w:name="page50"/>
    <w:bookmarkEnd w:id="49"/>
    <w:p>
      <w:pPr>
        <w:spacing w:after="0"/>
        <w:rPr>
          <w:sz w:val="20"/>
          <w:szCs w:val="20"/>
          <w:color w:val="auto"/>
        </w:rPr>
      </w:pPr>
      <w:r>
        <w:rPr>
          <w:rFonts w:ascii="Arial" w:cs="Arial" w:eastAsia="Arial" w:hAnsi="Arial"/>
          <w:sz w:val="29"/>
          <w:szCs w:val="29"/>
          <w:color w:val="auto"/>
        </w:rPr>
        <w:t>IIa. Financial Results -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920" w:type="dxa"/>
            <w:vAlign w:val="bottom"/>
          </w:tcPr>
          <w:p>
            <w:pPr>
              <w:spacing w:after="0"/>
              <w:rPr>
                <w:sz w:val="20"/>
                <w:szCs w:val="20"/>
                <w:color w:val="auto"/>
              </w:rPr>
            </w:pPr>
            <w:r>
              <w:rPr>
                <w:rFonts w:ascii="Arial" w:cs="Arial" w:eastAsia="Arial" w:hAnsi="Arial"/>
                <w:sz w:val="10"/>
                <w:szCs w:val="10"/>
                <w:i w:val="1"/>
                <w:iCs w:val="1"/>
                <w:color w:val="auto"/>
              </w:rPr>
              <w:t>($ in thousands, except per share data) (unaudited)</w:t>
            </w:r>
          </w:p>
        </w:tc>
        <w:tc>
          <w:tcPr>
            <w:tcW w:w="1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0"/>
                <w:szCs w:val="10"/>
                <w:b w:val="1"/>
                <w:bCs w:val="1"/>
                <w:color w:val="auto"/>
              </w:rPr>
              <w:t>As of December 31, 2023</w:t>
            </w:r>
          </w:p>
        </w:tc>
        <w:tc>
          <w:tcPr>
            <w:tcW w:w="480" w:type="dxa"/>
            <w:vAlign w:val="bottom"/>
            <w:tcBorders>
              <w:bottom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Consolidated</w:t>
            </w:r>
          </w:p>
        </w:tc>
        <w:tc>
          <w:tcPr>
            <w:tcW w:w="1280" w:type="dxa"/>
            <w:vAlign w:val="bottom"/>
            <w:gridSpan w:val="2"/>
          </w:tcPr>
          <w:p>
            <w:pPr>
              <w:jc w:val="right"/>
              <w:ind w:right="6"/>
              <w:spacing w:after="0" w:line="88" w:lineRule="exact"/>
              <w:rPr>
                <w:sz w:val="20"/>
                <w:szCs w:val="20"/>
                <w:color w:val="auto"/>
              </w:rPr>
            </w:pPr>
            <w:r>
              <w:rPr>
                <w:rFonts w:ascii="Arial" w:cs="Arial" w:eastAsia="Arial" w:hAnsi="Arial"/>
                <w:sz w:val="10"/>
                <w:szCs w:val="10"/>
                <w:b w:val="1"/>
                <w:bCs w:val="1"/>
                <w:color w:val="auto"/>
              </w:rPr>
              <w:t>Noncontrolling Interests'</w:t>
            </w: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Share</w:t>
            </w:r>
          </w:p>
        </w:tc>
        <w:tc>
          <w:tcPr>
            <w:tcW w:w="4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920" w:type="dxa"/>
            <w:vAlign w:val="bottom"/>
          </w:tcPr>
          <w:p>
            <w:pPr>
              <w:spacing w:after="0" w:line="124" w:lineRule="exact"/>
              <w:rPr>
                <w:sz w:val="20"/>
                <w:szCs w:val="20"/>
                <w:color w:val="auto"/>
              </w:rPr>
            </w:pPr>
            <w:r>
              <w:rPr>
                <w:rFonts w:ascii="Arial" w:cs="Arial" w:eastAsia="Arial" w:hAnsi="Arial"/>
                <w:sz w:val="11"/>
                <w:szCs w:val="11"/>
                <w:b w:val="1"/>
                <w:bCs w:val="1"/>
                <w:i w:val="1"/>
                <w:iCs w:val="1"/>
                <w:color w:val="003366"/>
              </w:rPr>
              <w:t>Assets</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Cash and cash equivalents</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345,335</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9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25,922</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4,915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Investments</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2,476,093</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616,791</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Goodwill</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465,991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Intangible assets</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103,750</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Other assets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78,953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97</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Due from affiliates</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85,815</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Assets of discontinued operations</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1,698</w:t>
            </w:r>
          </w:p>
        </w:tc>
        <w:tc>
          <w:tcPr>
            <w:tcW w:w="100" w:type="dxa"/>
            <w:vAlign w:val="bottom"/>
            <w:tcBorders>
              <w:bottom w:val="single" w:sz="8" w:color="DBDBDB"/>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97</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9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assets</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3,562,550</w:t>
            </w:r>
          </w:p>
        </w:tc>
        <w:tc>
          <w:tcPr>
            <w:tcW w:w="10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ind w:right="69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642,907</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5920" w:type="dxa"/>
            <w:vAlign w:val="bottom"/>
          </w:tcPr>
          <w:p>
            <w:pPr>
              <w:spacing w:after="0" w:line="113" w:lineRule="exact"/>
              <w:rPr>
                <w:sz w:val="20"/>
                <w:szCs w:val="20"/>
                <w:color w:val="auto"/>
              </w:rPr>
            </w:pPr>
            <w:r>
              <w:rPr>
                <w:rFonts w:ascii="Arial" w:cs="Arial" w:eastAsia="Arial" w:hAnsi="Arial"/>
                <w:sz w:val="11"/>
                <w:szCs w:val="11"/>
                <w:b w:val="1"/>
                <w:bCs w:val="1"/>
                <w:i w:val="1"/>
                <w:iCs w:val="1"/>
                <w:color w:val="003366"/>
              </w:rPr>
              <w:t>Liabilities</w:t>
            </w: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Debt</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371,783</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69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Other liabilities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681,451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19,734</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Liabilities of discontinued operations</w:t>
            </w:r>
          </w:p>
        </w:tc>
        <w:tc>
          <w:tcPr>
            <w:tcW w:w="180" w:type="dxa"/>
            <w:vAlign w:val="bottom"/>
            <w:tcBorders>
              <w:bottom w:val="single" w:sz="8" w:color="auto"/>
            </w:tcBorders>
            <w:shd w:val="clear" w:color="auto" w:fill="DBDBDB"/>
          </w:tcPr>
          <w:p>
            <w:pPr>
              <w:spacing w:after="0"/>
              <w:rPr>
                <w:sz w:val="12"/>
                <w:szCs w:val="12"/>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153</w:t>
            </w:r>
          </w:p>
        </w:tc>
        <w:tc>
          <w:tcPr>
            <w:tcW w:w="100" w:type="dxa"/>
            <w:vAlign w:val="bottom"/>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92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Total liabilities</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1,053,387</w:t>
            </w:r>
          </w:p>
        </w:tc>
        <w:tc>
          <w:tcPr>
            <w:tcW w:w="100" w:type="dxa"/>
            <w:vAlign w:val="bottom"/>
            <w:tcBorders>
              <w:bottom w:val="single" w:sz="8" w:color="DBDBDB"/>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19,734</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920" w:type="dxa"/>
            <w:vAlign w:val="bottom"/>
            <w:shd w:val="clear" w:color="auto" w:fill="DBDBDB"/>
          </w:tcPr>
          <w:p>
            <w:pPr>
              <w:spacing w:after="0" w:line="122" w:lineRule="exact"/>
              <w:rPr>
                <w:sz w:val="20"/>
                <w:szCs w:val="20"/>
                <w:color w:val="auto"/>
              </w:rPr>
            </w:pPr>
            <w:r>
              <w:rPr>
                <w:rFonts w:ascii="Arial" w:cs="Arial" w:eastAsia="Arial" w:hAnsi="Arial"/>
                <w:sz w:val="11"/>
                <w:szCs w:val="11"/>
                <w:color w:val="auto"/>
              </w:rPr>
              <w:t>Commitments and contingencies</w:t>
            </w:r>
          </w:p>
        </w:tc>
        <w:tc>
          <w:tcPr>
            <w:tcW w:w="180" w:type="dxa"/>
            <w:vAlign w:val="bottom"/>
            <w:shd w:val="clear" w:color="auto" w:fill="DBDBDB"/>
          </w:tcPr>
          <w:p>
            <w:pPr>
              <w:spacing w:after="0"/>
              <w:rPr>
                <w:sz w:val="10"/>
                <w:szCs w:val="10"/>
                <w:color w:val="auto"/>
              </w:rPr>
            </w:pPr>
          </w:p>
        </w:tc>
        <w:tc>
          <w:tcPr>
            <w:tcW w:w="104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480" w:type="dxa"/>
            <w:vAlign w:val="bottom"/>
            <w:shd w:val="clear" w:color="auto" w:fill="DBDBDB"/>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920" w:type="dxa"/>
            <w:vAlign w:val="bottom"/>
          </w:tcPr>
          <w:p>
            <w:pPr>
              <w:spacing w:after="0"/>
              <w:rPr>
                <w:sz w:val="20"/>
                <w:szCs w:val="20"/>
                <w:color w:val="auto"/>
              </w:rPr>
            </w:pPr>
            <w:r>
              <w:rPr>
                <w:rFonts w:ascii="Arial" w:cs="Arial" w:eastAsia="Arial" w:hAnsi="Arial"/>
                <w:sz w:val="11"/>
                <w:szCs w:val="11"/>
                <w:b w:val="1"/>
                <w:bCs w:val="1"/>
                <w:color w:val="auto"/>
              </w:rPr>
              <w:t>Redeemable noncontrolling interests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17,862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17,862</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tcPr>
          <w:p>
            <w:pPr>
              <w:spacing w:after="0"/>
              <w:rPr>
                <w:sz w:val="20"/>
                <w:szCs w:val="20"/>
                <w:color w:val="auto"/>
              </w:rPr>
            </w:pPr>
            <w:r>
              <w:rPr>
                <w:rFonts w:ascii="Arial" w:cs="Arial" w:eastAsia="Arial" w:hAnsi="Arial"/>
                <w:sz w:val="11"/>
                <w:szCs w:val="11"/>
                <w:b w:val="1"/>
                <w:bCs w:val="1"/>
                <w:i w:val="1"/>
                <w:iCs w:val="1"/>
                <w:color w:val="003366"/>
              </w:rPr>
              <w:t>Equity</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shd w:val="clear" w:color="auto" w:fill="DBDBDB"/>
          </w:tcPr>
          <w:p>
            <w:pPr>
              <w:spacing w:after="0"/>
              <w:rPr>
                <w:sz w:val="20"/>
                <w:szCs w:val="20"/>
                <w:color w:val="auto"/>
              </w:rPr>
            </w:pPr>
            <w:r>
              <w:rPr>
                <w:rFonts w:ascii="Arial" w:cs="Arial" w:eastAsia="Arial" w:hAnsi="Arial"/>
                <w:sz w:val="11"/>
                <w:szCs w:val="11"/>
                <w:color w:val="auto"/>
              </w:rPr>
              <w:t>Stockholders’ equity:</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920" w:type="dxa"/>
            <w:vAlign w:val="bottom"/>
          </w:tcPr>
          <w:p>
            <w:pPr>
              <w:ind w:left="140"/>
              <w:spacing w:after="0" w:line="109" w:lineRule="exact"/>
              <w:rPr>
                <w:sz w:val="20"/>
                <w:szCs w:val="20"/>
                <w:color w:val="auto"/>
              </w:rPr>
            </w:pPr>
            <w:r>
              <w:rPr>
                <w:rFonts w:ascii="Arial" w:cs="Arial" w:eastAsia="Arial" w:hAnsi="Arial"/>
                <w:sz w:val="11"/>
                <w:szCs w:val="11"/>
                <w:color w:val="auto"/>
              </w:rPr>
              <w:t>Preferred stock, $0.01 par value per share; $821,899 liquidation preference; 250,000 shares authorized; 32,876</w:t>
            </w:r>
          </w:p>
        </w:tc>
        <w:tc>
          <w:tcPr>
            <w:tcW w:w="1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1"/>
                <w:szCs w:val="11"/>
                <w:color w:val="auto"/>
              </w:rPr>
              <w:t>794,670</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60" w:type="dxa"/>
            <w:vAlign w:val="bottom"/>
            <w:gridSpan w:val="2"/>
            <w:vMerge w:val="restart"/>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shares issued and outstanding</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Common stock, $0.01 par value per share</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300"/>
              <w:spacing w:after="0"/>
              <w:rPr>
                <w:sz w:val="20"/>
                <w:szCs w:val="20"/>
                <w:color w:val="auto"/>
              </w:rPr>
            </w:pPr>
            <w:r>
              <w:rPr>
                <w:rFonts w:ascii="Arial" w:cs="Arial" w:eastAsia="Arial" w:hAnsi="Arial"/>
                <w:sz w:val="11"/>
                <w:szCs w:val="11"/>
                <w:color w:val="auto"/>
              </w:rPr>
              <w:t>Class A, 237,250 shares authorized; 163,209 shares issued and outstanding</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1,632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Class B, 250 shares authorized; 166 shares issued and outstanding</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Additional paid-in capital</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7,855,842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Accumulated deficit</w:t>
            </w:r>
          </w:p>
        </w:tc>
        <w:tc>
          <w:tcPr>
            <w:tcW w:w="180" w:type="dxa"/>
            <w:vAlign w:val="bottom"/>
            <w:shd w:val="clear" w:color="auto" w:fill="DBDBDB"/>
          </w:tcPr>
          <w:p>
            <w:pPr>
              <w:spacing w:after="0"/>
              <w:rPr>
                <w:sz w:val="12"/>
                <w:szCs w:val="12"/>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(6,842,502)</w:t>
            </w:r>
          </w:p>
        </w:tc>
        <w:tc>
          <w:tcPr>
            <w:tcW w:w="10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4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Accumulated other comprehensive income (loss)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1,411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60" w:type="dxa"/>
            <w:vAlign w:val="bottom"/>
            <w:gridSpan w:val="2"/>
          </w:tcPr>
          <w:p>
            <w:pPr>
              <w:jc w:val="right"/>
              <w:ind w:right="28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4"/>
        </w:trPr>
        <w:tc>
          <w:tcPr>
            <w:tcW w:w="5920" w:type="dxa"/>
            <w:vAlign w:val="bottom"/>
            <w:tcBorders>
              <w:top w:val="single" w:sz="8" w:color="DBDBDB"/>
            </w:tcBorders>
            <w:shd w:val="clear" w:color="auto" w:fill="DBDBDB"/>
          </w:tcPr>
          <w:p>
            <w:pPr>
              <w:ind w:left="300"/>
              <w:spacing w:after="0"/>
              <w:rPr>
                <w:sz w:val="20"/>
                <w:szCs w:val="20"/>
                <w:color w:val="auto"/>
              </w:rPr>
            </w:pPr>
            <w:r>
              <w:rPr>
                <w:rFonts w:ascii="Arial" w:cs="Arial" w:eastAsia="Arial" w:hAnsi="Arial"/>
                <w:sz w:val="11"/>
                <w:szCs w:val="11"/>
                <w:color w:val="auto"/>
              </w:rPr>
              <w:t>Total stockholders’ equity</w:t>
            </w:r>
          </w:p>
        </w:tc>
        <w:tc>
          <w:tcPr>
            <w:tcW w:w="180" w:type="dxa"/>
            <w:vAlign w:val="bottom"/>
            <w:tcBorders>
              <w:top w:val="single" w:sz="8" w:color="auto"/>
            </w:tcBorders>
            <w:shd w:val="clear" w:color="auto" w:fill="DBDBDB"/>
          </w:tcPr>
          <w:p>
            <w:pPr>
              <w:spacing w:after="0"/>
              <w:rPr>
                <w:sz w:val="11"/>
                <w:szCs w:val="11"/>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1,811,055</w:t>
            </w:r>
          </w:p>
        </w:tc>
        <w:tc>
          <w:tcPr>
            <w:tcW w:w="100" w:type="dxa"/>
            <w:vAlign w:val="bottom"/>
            <w:tcBorders>
              <w:top w:val="single" w:sz="8" w:color="DBDBDB"/>
            </w:tcBorders>
            <w:shd w:val="clear" w:color="auto" w:fill="DBDBDB"/>
          </w:tcPr>
          <w:p>
            <w:pPr>
              <w:spacing w:after="0"/>
              <w:rPr>
                <w:sz w:val="11"/>
                <w:szCs w:val="11"/>
                <w:color w:val="auto"/>
              </w:rPr>
            </w:pPr>
          </w:p>
        </w:tc>
        <w:tc>
          <w:tcPr>
            <w:tcW w:w="800" w:type="dxa"/>
            <w:vAlign w:val="bottom"/>
            <w:tcBorders>
              <w:top w:val="single" w:sz="8" w:color="auto"/>
            </w:tcBorders>
            <w:shd w:val="clear" w:color="auto" w:fill="DBDBDB"/>
          </w:tcPr>
          <w:p>
            <w:pPr>
              <w:spacing w:after="0"/>
              <w:rPr>
                <w:sz w:val="11"/>
                <w:szCs w:val="11"/>
                <w:color w:val="auto"/>
              </w:rPr>
            </w:pPr>
          </w:p>
        </w:tc>
        <w:tc>
          <w:tcPr>
            <w:tcW w:w="48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920" w:type="dxa"/>
            <w:vAlign w:val="bottom"/>
          </w:tcPr>
          <w:p>
            <w:pPr>
              <w:ind w:left="140"/>
              <w:spacing w:after="0"/>
              <w:rPr>
                <w:sz w:val="20"/>
                <w:szCs w:val="20"/>
                <w:color w:val="auto"/>
              </w:rPr>
            </w:pPr>
            <w:r>
              <w:rPr>
                <w:rFonts w:ascii="Arial" w:cs="Arial" w:eastAsia="Arial" w:hAnsi="Arial"/>
                <w:sz w:val="11"/>
                <w:szCs w:val="11"/>
                <w:color w:val="auto"/>
              </w:rPr>
              <w:t>Noncontrolling interests in investment entities</w:t>
            </w: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605,311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605,311</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Noncontrolling interests in Operating Company</w:t>
            </w:r>
          </w:p>
        </w:tc>
        <w:tc>
          <w:tcPr>
            <w:tcW w:w="180" w:type="dxa"/>
            <w:vAlign w:val="bottom"/>
            <w:tcBorders>
              <w:bottom w:val="single" w:sz="8" w:color="auto"/>
            </w:tcBorders>
            <w:shd w:val="clear" w:color="auto" w:fill="DBDBDB"/>
          </w:tcPr>
          <w:p>
            <w:pPr>
              <w:spacing w:after="0"/>
              <w:rPr>
                <w:sz w:val="12"/>
                <w:szCs w:val="12"/>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74,935</w:t>
            </w:r>
          </w:p>
        </w:tc>
        <w:tc>
          <w:tcPr>
            <w:tcW w:w="100" w:type="dxa"/>
            <w:vAlign w:val="bottom"/>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9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Total equity</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2,491,301</w:t>
            </w:r>
          </w:p>
        </w:tc>
        <w:tc>
          <w:tcPr>
            <w:tcW w:w="100" w:type="dxa"/>
            <w:vAlign w:val="bottom"/>
            <w:tcBorders>
              <w:bottom w:val="single" w:sz="8" w:color="DBDBDB"/>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605,311</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9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Total liabilities, redeemable noncontrolling interests and equity</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3,562,550</w:t>
            </w:r>
          </w:p>
        </w:tc>
        <w:tc>
          <w:tcPr>
            <w:tcW w:w="100" w:type="dxa"/>
            <w:vAlign w:val="bottom"/>
            <w:tcBorders>
              <w:bottom w:val="single" w:sz="8" w:color="DBDBDB"/>
            </w:tcBorders>
            <w:shd w:val="clear" w:color="auto" w:fill="DBDBDB"/>
          </w:tcPr>
          <w:p>
            <w:pPr>
              <w:spacing w:after="0"/>
              <w:rPr>
                <w:sz w:val="11"/>
                <w:szCs w:val="11"/>
                <w:color w:val="auto"/>
              </w:rPr>
            </w:pPr>
          </w:p>
        </w:tc>
        <w:tc>
          <w:tcPr>
            <w:tcW w:w="800" w:type="dxa"/>
            <w:vAlign w:val="bottom"/>
            <w:tcBorders>
              <w:bottom w:val="single" w:sz="8" w:color="auto"/>
            </w:tcBorders>
            <w:shd w:val="clear" w:color="auto" w:fill="DBDBDB"/>
          </w:tcPr>
          <w:p>
            <w:pPr>
              <w:jc w:val="right"/>
              <w:ind w:right="69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642,907</w:t>
            </w: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0"/>
        </w:trPr>
        <w:tc>
          <w:tcPr>
            <w:tcW w:w="5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92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60" w:type="dxa"/>
            <w:vAlign w:val="bottom"/>
            <w:gridSpan w:val="2"/>
          </w:tcPr>
          <w:p>
            <w:pPr>
              <w:jc w:val="right"/>
              <w:ind w:right="420"/>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0" w:right="299" w:bottom="1440" w:gutter="0" w:footer="0" w:header="0"/>
        </w:sectPr>
      </w:pPr>
    </w:p>
    <w:bookmarkStart w:id="50" w:name="page51"/>
    <w:bookmarkEnd w:id="50"/>
    <w:p>
      <w:pPr>
        <w:spacing w:after="0"/>
        <w:rPr>
          <w:sz w:val="20"/>
          <w:szCs w:val="20"/>
          <w:color w:val="auto"/>
        </w:rPr>
      </w:pPr>
      <w:r>
        <w:rPr>
          <w:rFonts w:ascii="Arial" w:cs="Arial" w:eastAsia="Arial" w:hAnsi="Arial"/>
          <w:sz w:val="29"/>
          <w:szCs w:val="29"/>
          <w:color w:val="auto"/>
        </w:rPr>
        <w:t>IIb. Financial Results - Consolidated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5"/>
          </w:tcPr>
          <w:p>
            <w:pPr>
              <w:ind w:left="160"/>
              <w:spacing w:after="0"/>
              <w:rPr>
                <w:sz w:val="20"/>
                <w:szCs w:val="20"/>
                <w:color w:val="auto"/>
              </w:rPr>
            </w:pPr>
            <w:r>
              <w:rPr>
                <w:rFonts w:ascii="Arial" w:cs="Arial" w:eastAsia="Arial" w:hAnsi="Arial"/>
                <w:sz w:val="10"/>
                <w:szCs w:val="10"/>
                <w:b w:val="1"/>
                <w:bCs w:val="1"/>
                <w:color w:val="auto"/>
              </w:rPr>
              <w:t>Three Months Ended December 31, 2023</w:t>
            </w: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66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(unaudited)</w:t>
            </w:r>
          </w:p>
        </w:tc>
        <w:tc>
          <w:tcPr>
            <w:tcW w:w="180" w:type="dxa"/>
            <w:vAlign w:val="bottom"/>
          </w:tcPr>
          <w:p>
            <w:pPr>
              <w:spacing w:after="0"/>
              <w:rPr>
                <w:sz w:val="7"/>
                <w:szCs w:val="7"/>
                <w:color w:val="auto"/>
              </w:rPr>
            </w:pPr>
          </w:p>
        </w:tc>
        <w:tc>
          <w:tcPr>
            <w:tcW w:w="106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w w:val="98"/>
              </w:rPr>
              <w:t>Investment</w:t>
            </w:r>
          </w:p>
        </w:tc>
        <w:tc>
          <w:tcPr>
            <w:tcW w:w="8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Corporate and Other</w:t>
            </w:r>
          </w:p>
        </w:tc>
        <w:tc>
          <w:tcPr>
            <w:tcW w:w="180" w:type="dxa"/>
            <w:vAlign w:val="bottom"/>
          </w:tcPr>
          <w:p>
            <w:pPr>
              <w:spacing w:after="0"/>
              <w:rPr>
                <w:sz w:val="7"/>
                <w:szCs w:val="7"/>
                <w:color w:val="auto"/>
              </w:rPr>
            </w:pPr>
          </w:p>
        </w:tc>
        <w:tc>
          <w:tcPr>
            <w:tcW w:w="106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rPr>
              <w:t>Discontinued</w:t>
            </w:r>
          </w:p>
        </w:tc>
        <w:tc>
          <w:tcPr>
            <w:tcW w:w="280" w:type="dxa"/>
            <w:vAlign w:val="bottom"/>
          </w:tcPr>
          <w:p>
            <w:pPr>
              <w:spacing w:after="0"/>
              <w:rPr>
                <w:sz w:val="7"/>
                <w:szCs w:val="7"/>
                <w:color w:val="auto"/>
              </w:rPr>
            </w:pPr>
          </w:p>
        </w:tc>
        <w:tc>
          <w:tcPr>
            <w:tcW w:w="3640" w:type="dxa"/>
            <w:vAlign w:val="bottom"/>
            <w:gridSpan w:val="2"/>
            <w:vMerge w:val="restart"/>
          </w:tcPr>
          <w:p>
            <w:pPr>
              <w:jc w:val="right"/>
              <w:ind w:right="3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3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Management</w:t>
            </w: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Operations</w:t>
            </w:r>
          </w:p>
        </w:tc>
        <w:tc>
          <w:tcPr>
            <w:tcW w:w="2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60" w:type="dxa"/>
            <w:vAlign w:val="bottom"/>
          </w:tcPr>
          <w:p>
            <w:pPr>
              <w:spacing w:after="0" w:line="124" w:lineRule="exact"/>
              <w:rPr>
                <w:sz w:val="20"/>
                <w:szCs w:val="20"/>
                <w:color w:val="auto"/>
              </w:rPr>
            </w:pPr>
            <w:r>
              <w:rPr>
                <w:rFonts w:ascii="Arial" w:cs="Arial" w:eastAsia="Arial" w:hAnsi="Arial"/>
                <w:sz w:val="11"/>
                <w:szCs w:val="11"/>
                <w:b w:val="1"/>
                <w:bCs w:val="1"/>
                <w:color w:val="auto"/>
              </w:rPr>
              <w:t>Revenues</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Fee revenue</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74,394</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(385)</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74,009</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ind w:left="140"/>
              <w:spacing w:after="0"/>
              <w:rPr>
                <w:sz w:val="20"/>
                <w:szCs w:val="20"/>
                <w:color w:val="auto"/>
              </w:rPr>
            </w:pPr>
            <w:r>
              <w:rPr>
                <w:rFonts w:ascii="Arial" w:cs="Arial" w:eastAsia="Arial" w:hAnsi="Arial"/>
                <w:sz w:val="11"/>
                <w:szCs w:val="11"/>
                <w:color w:val="auto"/>
              </w:rPr>
              <w:t>Carried interest allocation</w:t>
            </w:r>
          </w:p>
        </w:tc>
        <w:tc>
          <w:tcPr>
            <w:tcW w:w="1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169,686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169,686</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Principal investment income (loss)</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850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92,684</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93,534</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Other income</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7,377</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5,704</w:t>
            </w:r>
          </w:p>
        </w:tc>
        <w:tc>
          <w:tcPr>
            <w:tcW w:w="8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13,081</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shd w:val="clear" w:color="auto" w:fill="DBDBDB"/>
          </w:tcPr>
          <w:p>
            <w:pPr>
              <w:ind w:left="260"/>
              <w:spacing w:after="0"/>
              <w:rPr>
                <w:sz w:val="20"/>
                <w:szCs w:val="20"/>
                <w:color w:val="auto"/>
              </w:rPr>
            </w:pPr>
            <w:r>
              <w:rPr>
                <w:rFonts w:ascii="Arial" w:cs="Arial" w:eastAsia="Arial" w:hAnsi="Arial"/>
                <w:sz w:val="11"/>
                <w:szCs w:val="11"/>
                <w:b w:val="1"/>
                <w:bCs w:val="1"/>
                <w:color w:val="auto"/>
              </w:rPr>
              <w:t>Total revenues</w:t>
            </w:r>
          </w:p>
        </w:tc>
        <w:tc>
          <w:tcPr>
            <w:tcW w:w="180" w:type="dxa"/>
            <w:vAlign w:val="bottom"/>
            <w:shd w:val="clear" w:color="auto" w:fill="DBDBDB"/>
          </w:tcPr>
          <w:p>
            <w:pPr>
              <w:spacing w:after="0"/>
              <w:rPr>
                <w:sz w:val="11"/>
                <w:szCs w:val="11"/>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252,307</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98,003</w:t>
            </w: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1"/>
                <w:szCs w:val="11"/>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350,310</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60" w:type="dxa"/>
            <w:vAlign w:val="bottom"/>
          </w:tcPr>
          <w:p>
            <w:pPr>
              <w:spacing w:after="0" w:line="124" w:lineRule="exact"/>
              <w:rPr>
                <w:sz w:val="20"/>
                <w:szCs w:val="20"/>
                <w:color w:val="auto"/>
              </w:rPr>
            </w:pPr>
            <w:r>
              <w:rPr>
                <w:rFonts w:ascii="Arial" w:cs="Arial" w:eastAsia="Arial" w:hAnsi="Arial"/>
                <w:sz w:val="11"/>
                <w:szCs w:val="11"/>
                <w:b w:val="1"/>
                <w:bCs w:val="1"/>
                <w:color w:val="auto"/>
              </w:rPr>
              <w:t>Expenses</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Interest expense</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2,631</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2,595</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5,226</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ind w:left="140"/>
              <w:spacing w:after="0"/>
              <w:rPr>
                <w:sz w:val="20"/>
                <w:szCs w:val="20"/>
                <w:color w:val="auto"/>
              </w:rPr>
            </w:pPr>
            <w:r>
              <w:rPr>
                <w:rFonts w:ascii="Arial" w:cs="Arial" w:eastAsia="Arial" w:hAnsi="Arial"/>
                <w:sz w:val="11"/>
                <w:szCs w:val="11"/>
                <w:color w:val="auto"/>
              </w:rPr>
              <w:t>Investment-related expense</w:t>
            </w:r>
          </w:p>
        </w:tc>
        <w:tc>
          <w:tcPr>
            <w:tcW w:w="1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1,403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1,308</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Transaction-related costs</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287</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1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8,808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296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9,104</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expense</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ind w:left="300"/>
              <w:spacing w:after="0"/>
              <w:rPr>
                <w:sz w:val="20"/>
                <w:szCs w:val="20"/>
                <w:color w:val="auto"/>
              </w:rPr>
            </w:pPr>
            <w:r>
              <w:rPr>
                <w:rFonts w:ascii="Arial" w:cs="Arial" w:eastAsia="Arial" w:hAnsi="Arial"/>
                <w:sz w:val="11"/>
                <w:szCs w:val="11"/>
                <w:color w:val="auto"/>
              </w:rPr>
              <w:t>Compensation expense - cash and equity-based</w:t>
            </w:r>
          </w:p>
        </w:tc>
        <w:tc>
          <w:tcPr>
            <w:tcW w:w="180" w:type="dxa"/>
            <w:vAlign w:val="bottom"/>
          </w:tcPr>
          <w:p>
            <w:pPr>
              <w:spacing w:after="0"/>
              <w:rPr>
                <w:sz w:val="12"/>
                <w:szCs w:val="12"/>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40,702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9,046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49,748</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6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Compensation expense - incentive fee and carried interest allocation</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113,920</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113,920</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Administrative expenses</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13,106</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12,830</w:t>
            </w:r>
          </w:p>
        </w:tc>
        <w:tc>
          <w:tcPr>
            <w:tcW w:w="8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25,936</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shd w:val="clear" w:color="auto" w:fill="DBDBDB"/>
          </w:tcPr>
          <w:p>
            <w:pPr>
              <w:ind w:left="260"/>
              <w:spacing w:after="0"/>
              <w:rPr>
                <w:sz w:val="20"/>
                <w:szCs w:val="20"/>
                <w:color w:val="auto"/>
              </w:rPr>
            </w:pPr>
            <w:r>
              <w:rPr>
                <w:rFonts w:ascii="Arial" w:cs="Arial" w:eastAsia="Arial" w:hAnsi="Arial"/>
                <w:sz w:val="11"/>
                <w:szCs w:val="11"/>
                <w:b w:val="1"/>
                <w:bCs w:val="1"/>
                <w:color w:val="auto"/>
              </w:rPr>
              <w:t>Total expenses</w:t>
            </w:r>
          </w:p>
        </w:tc>
        <w:tc>
          <w:tcPr>
            <w:tcW w:w="180" w:type="dxa"/>
            <w:vAlign w:val="bottom"/>
            <w:shd w:val="clear" w:color="auto" w:fill="DBDBDB"/>
          </w:tcPr>
          <w:p>
            <w:pPr>
              <w:spacing w:after="0"/>
              <w:rPr>
                <w:sz w:val="11"/>
                <w:szCs w:val="11"/>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180,857</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24,672</w:t>
            </w: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1"/>
                <w:szCs w:val="11"/>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205,529</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20"/>
                <w:szCs w:val="20"/>
                <w:color w:val="auto"/>
              </w:rPr>
            </w:pPr>
            <w:r>
              <w:rPr>
                <w:rFonts w:ascii="Arial" w:cs="Arial" w:eastAsia="Arial" w:hAnsi="Arial"/>
                <w:sz w:val="11"/>
                <w:szCs w:val="11"/>
                <w:b w:val="1"/>
                <w:bCs w:val="1"/>
                <w:color w:val="auto"/>
              </w:rPr>
              <w:t>Other income (loss)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Other gain (loss), net</w:t>
            </w:r>
          </w:p>
        </w:tc>
        <w:tc>
          <w:tcPr>
            <w:tcW w:w="1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661</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(4,586)</w:t>
            </w:r>
          </w:p>
        </w:tc>
        <w:tc>
          <w:tcPr>
            <w:tcW w:w="80" w:type="dxa"/>
            <w:vAlign w:val="bottom"/>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(3,925)</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20"/>
                <w:szCs w:val="20"/>
                <w:color w:val="auto"/>
              </w:rPr>
            </w:pPr>
            <w:r>
              <w:rPr>
                <w:rFonts w:ascii="Arial" w:cs="Arial" w:eastAsia="Arial" w:hAnsi="Arial"/>
                <w:sz w:val="11"/>
                <w:szCs w:val="11"/>
                <w:b w:val="1"/>
                <w:bCs w:val="1"/>
                <w:color w:val="auto"/>
              </w:rPr>
              <w:t>Income (loss) from continuing operations before income taxes</w:t>
            </w:r>
          </w:p>
        </w:tc>
        <w:tc>
          <w:tcPr>
            <w:tcW w:w="18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72,111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68,745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140,856</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Income tax benefit (expense)</w:t>
            </w:r>
          </w:p>
        </w:tc>
        <w:tc>
          <w:tcPr>
            <w:tcW w:w="1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864</w:t>
            </w:r>
          </w:p>
        </w:tc>
        <w:tc>
          <w:tcPr>
            <w:tcW w:w="80" w:type="dxa"/>
            <w:vAlign w:val="bottom"/>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10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3,057</w:t>
            </w:r>
          </w:p>
        </w:tc>
        <w:tc>
          <w:tcPr>
            <w:tcW w:w="80" w:type="dxa"/>
            <w:vAlign w:val="bottom"/>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3,921</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20"/>
                <w:szCs w:val="20"/>
                <w:color w:val="auto"/>
              </w:rPr>
            </w:pPr>
            <w:r>
              <w:rPr>
                <w:rFonts w:ascii="Arial" w:cs="Arial" w:eastAsia="Arial" w:hAnsi="Arial"/>
                <w:sz w:val="11"/>
                <w:szCs w:val="11"/>
                <w:b w:val="1"/>
                <w:bCs w:val="1"/>
                <w:color w:val="auto"/>
              </w:rPr>
              <w:t>Income (loss) from continuing operations</w:t>
            </w:r>
          </w:p>
        </w:tc>
        <w:tc>
          <w:tcPr>
            <w:tcW w:w="180" w:type="dxa"/>
            <w:vAlign w:val="bottom"/>
          </w:tcPr>
          <w:p>
            <w:pPr>
              <w:spacing w:after="0"/>
              <w:rPr>
                <w:sz w:val="11"/>
                <w:szCs w:val="11"/>
                <w:color w:val="auto"/>
              </w:rPr>
            </w:pPr>
          </w:p>
        </w:tc>
        <w:tc>
          <w:tcPr>
            <w:tcW w:w="980" w:type="dxa"/>
            <w:vAlign w:val="bottom"/>
          </w:tcPr>
          <w:p>
            <w:pPr>
              <w:jc w:val="right"/>
              <w:ind w:right="6"/>
              <w:spacing w:after="0"/>
              <w:rPr>
                <w:sz w:val="20"/>
                <w:szCs w:val="20"/>
                <w:color w:val="auto"/>
              </w:rPr>
            </w:pPr>
            <w:r>
              <w:rPr>
                <w:rFonts w:ascii="Arial" w:cs="Arial" w:eastAsia="Arial" w:hAnsi="Arial"/>
                <w:sz w:val="11"/>
                <w:szCs w:val="11"/>
                <w:color w:val="auto"/>
              </w:rPr>
              <w:t>72,975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71,802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144,777</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DBDBDB"/>
          </w:tcPr>
          <w:p>
            <w:pPr>
              <w:spacing w:after="0"/>
              <w:rPr>
                <w:sz w:val="20"/>
                <w:szCs w:val="20"/>
                <w:color w:val="auto"/>
              </w:rPr>
            </w:pPr>
            <w:r>
              <w:rPr>
                <w:rFonts w:ascii="Arial" w:cs="Arial" w:eastAsia="Arial" w:hAnsi="Arial"/>
                <w:sz w:val="11"/>
                <w:szCs w:val="11"/>
                <w:color w:val="auto"/>
              </w:rPr>
              <w:t>Income (loss) from discontinued operations</w:t>
            </w:r>
          </w:p>
        </w:tc>
        <w:tc>
          <w:tcPr>
            <w:tcW w:w="180" w:type="dxa"/>
            <w:vAlign w:val="bottom"/>
            <w:shd w:val="clear" w:color="auto" w:fill="DBDBDB"/>
          </w:tcPr>
          <w:p>
            <w:pPr>
              <w:spacing w:after="0"/>
              <w:rPr>
                <w:sz w:val="12"/>
                <w:szCs w:val="12"/>
                <w:color w:val="auto"/>
              </w:rPr>
            </w:pPr>
          </w:p>
        </w:tc>
        <w:tc>
          <w:tcPr>
            <w:tcW w:w="10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(33,529)</w:t>
            </w: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(33,529)</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20"/>
                <w:szCs w:val="20"/>
                <w:color w:val="auto"/>
              </w:rPr>
            </w:pPr>
            <w:r>
              <w:rPr>
                <w:rFonts w:ascii="Arial" w:cs="Arial" w:eastAsia="Arial" w:hAnsi="Arial"/>
                <w:sz w:val="11"/>
                <w:szCs w:val="11"/>
                <w:b w:val="1"/>
                <w:bCs w:val="1"/>
                <w:color w:val="auto"/>
              </w:rPr>
              <w:t>Net income (loss)</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72,975</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71,802</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(33,529)</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111,248</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noncontrolling interests:</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Pr>
          <w:p>
            <w:pPr>
              <w:ind w:left="140"/>
              <w:spacing w:after="0"/>
              <w:rPr>
                <w:sz w:val="20"/>
                <w:szCs w:val="20"/>
                <w:color w:val="auto"/>
              </w:rPr>
            </w:pPr>
            <w:r>
              <w:rPr>
                <w:rFonts w:ascii="Arial" w:cs="Arial" w:eastAsia="Arial" w:hAnsi="Arial"/>
                <w:sz w:val="11"/>
                <w:szCs w:val="11"/>
                <w:color w:val="auto"/>
              </w:rPr>
              <w:t>Redeemable noncontrolling interests</w:t>
            </w:r>
          </w:p>
        </w:tc>
        <w:tc>
          <w:tcPr>
            <w:tcW w:w="1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1,883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1,869</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Investment entities</w:t>
            </w: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8,448</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1,870</w:t>
            </w: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(23,833)</w:t>
            </w: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(13,515)</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66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Operating Company</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4,560</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3,752</w:t>
            </w:r>
          </w:p>
        </w:tc>
        <w:tc>
          <w:tcPr>
            <w:tcW w:w="80" w:type="dxa"/>
            <w:vAlign w:val="bottom"/>
            <w:tcBorders>
              <w:bottom w:val="single" w:sz="8" w:color="DBDBD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(685)</w:t>
            </w:r>
          </w:p>
        </w:tc>
        <w:tc>
          <w:tcPr>
            <w:tcW w:w="8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7,627</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Net income (loss) attributable to DigitalBridge Group, Inc.</w:t>
            </w:r>
          </w:p>
        </w:tc>
        <w:tc>
          <w:tcPr>
            <w:tcW w:w="180" w:type="dxa"/>
            <w:vAlign w:val="bottom"/>
            <w:tcBorders>
              <w:bottom w:val="single" w:sz="8" w:color="auto"/>
            </w:tcBorders>
            <w:shd w:val="clear" w:color="auto" w:fill="DBDBDB"/>
          </w:tcPr>
          <w:p>
            <w:pPr>
              <w:spacing w:after="0"/>
              <w:rPr>
                <w:sz w:val="11"/>
                <w:szCs w:val="11"/>
                <w:color w:val="auto"/>
              </w:rPr>
            </w:pPr>
          </w:p>
        </w:tc>
        <w:tc>
          <w:tcPr>
            <w:tcW w:w="9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59,981</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spacing w:after="0"/>
              <w:rPr>
                <w:sz w:val="11"/>
                <w:szCs w:val="11"/>
                <w:color w:val="auto"/>
              </w:rPr>
            </w:pPr>
          </w:p>
        </w:tc>
        <w:tc>
          <w:tcPr>
            <w:tcW w:w="10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64,297</w:t>
            </w:r>
          </w:p>
        </w:tc>
        <w:tc>
          <w:tcPr>
            <w:tcW w:w="80" w:type="dxa"/>
            <w:vAlign w:val="bottom"/>
            <w:shd w:val="clear" w:color="auto" w:fill="DBDBDB"/>
          </w:tcPr>
          <w:p>
            <w:pPr>
              <w:spacing w:after="0"/>
              <w:rPr>
                <w:sz w:val="11"/>
                <w:szCs w:val="11"/>
                <w:color w:val="auto"/>
              </w:rPr>
            </w:pPr>
          </w:p>
        </w:tc>
        <w:tc>
          <w:tcPr>
            <w:tcW w:w="180" w:type="dxa"/>
            <w:vAlign w:val="bottom"/>
            <w:tcBorders>
              <w:bottom w:val="single" w:sz="8" w:color="auto"/>
            </w:tcBorders>
            <w:shd w:val="clear" w:color="auto" w:fill="DBDBDB"/>
          </w:tcPr>
          <w:p>
            <w:pPr>
              <w:spacing w:after="0"/>
              <w:rPr>
                <w:sz w:val="11"/>
                <w:szCs w:val="11"/>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(9,011)</w:t>
            </w:r>
          </w:p>
        </w:tc>
        <w:tc>
          <w:tcPr>
            <w:tcW w:w="80" w:type="dxa"/>
            <w:vAlign w:val="bottom"/>
            <w:shd w:val="clear" w:color="auto" w:fill="DBDBDB"/>
          </w:tcPr>
          <w:p>
            <w:pPr>
              <w:spacing w:after="0"/>
              <w:rPr>
                <w:sz w:val="11"/>
                <w:szCs w:val="11"/>
                <w:color w:val="auto"/>
              </w:rPr>
            </w:pPr>
          </w:p>
        </w:tc>
        <w:tc>
          <w:tcPr>
            <w:tcW w:w="280" w:type="dxa"/>
            <w:vAlign w:val="bottom"/>
            <w:tcBorders>
              <w:bottom w:val="single" w:sz="8" w:color="auto"/>
            </w:tcBorders>
            <w:shd w:val="clear" w:color="auto" w:fill="DBDBDB"/>
          </w:tcPr>
          <w:p>
            <w:pPr>
              <w:spacing w:after="0"/>
              <w:rPr>
                <w:sz w:val="11"/>
                <w:szCs w:val="11"/>
                <w:color w:val="auto"/>
              </w:rPr>
            </w:pPr>
          </w:p>
        </w:tc>
        <w:tc>
          <w:tcPr>
            <w:tcW w:w="9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115,267</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660" w:type="dxa"/>
            <w:vAlign w:val="bottom"/>
          </w:tcPr>
          <w:p>
            <w:pPr>
              <w:ind w:left="140"/>
              <w:spacing w:after="0"/>
              <w:rPr>
                <w:sz w:val="20"/>
                <w:szCs w:val="20"/>
                <w:color w:val="auto"/>
              </w:rPr>
            </w:pPr>
            <w:r>
              <w:rPr>
                <w:rFonts w:ascii="Arial" w:cs="Arial" w:eastAsia="Arial" w:hAnsi="Arial"/>
                <w:sz w:val="11"/>
                <w:szCs w:val="11"/>
                <w:color w:val="auto"/>
              </w:rPr>
              <w:t>Preferred stock dividends</w:t>
            </w:r>
          </w:p>
        </w:tc>
        <w:tc>
          <w:tcPr>
            <w:tcW w:w="180" w:type="dxa"/>
            <w:vAlign w:val="bottom"/>
          </w:tcPr>
          <w:p>
            <w:pPr>
              <w:spacing w:after="0"/>
              <w:rPr>
                <w:sz w:val="11"/>
                <w:szCs w:val="1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14,660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14,660</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66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Net income (loss) attributable to common stockholders</w:t>
            </w:r>
          </w:p>
        </w:tc>
        <w:tc>
          <w:tcPr>
            <w:tcW w:w="180" w:type="dxa"/>
            <w:vAlign w:val="bottom"/>
            <w:tcBorders>
              <w:top w:val="single" w:sz="8" w:color="auto"/>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59,981</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49,637</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180" w:type="dxa"/>
            <w:vAlign w:val="bottom"/>
            <w:tcBorders>
              <w:top w:val="single" w:sz="8" w:color="auto"/>
              <w:bottom w:val="single" w:sz="8" w:color="auto"/>
            </w:tcBorders>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(9,011)</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280" w:type="dxa"/>
            <w:vAlign w:val="bottom"/>
            <w:tcBorders>
              <w:top w:val="single" w:sz="8" w:color="auto"/>
              <w:bottom w:val="single" w:sz="8" w:color="auto"/>
            </w:tcBorders>
            <w:shd w:val="clear" w:color="auto" w:fill="DBDBDB"/>
          </w:tcPr>
          <w:p>
            <w:pPr>
              <w:jc w:val="right"/>
              <w:ind w:right="14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100,607</w:t>
            </w:r>
          </w:p>
        </w:tc>
        <w:tc>
          <w:tcPr>
            <w:tcW w:w="2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12"/>
        </w:trPr>
        <w:tc>
          <w:tcPr>
            <w:tcW w:w="3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66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40" w:type="dxa"/>
            <w:vAlign w:val="bottom"/>
            <w:gridSpan w:val="2"/>
          </w:tcPr>
          <w:p>
            <w:pPr>
              <w:jc w:val="right"/>
              <w:ind w:right="420"/>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0" w:right="299" w:bottom="1440" w:gutter="0" w:footer="0" w:header="0"/>
        </w:sectPr>
      </w:pPr>
    </w:p>
    <w:bookmarkStart w:id="51" w:name="page52"/>
    <w:bookmarkEnd w:id="51"/>
    <w:p>
      <w:pPr>
        <w:spacing w:after="0"/>
        <w:rPr>
          <w:sz w:val="20"/>
          <w:szCs w:val="20"/>
          <w:color w:val="auto"/>
        </w:rPr>
      </w:pPr>
      <w:r>
        <w:rPr>
          <w:rFonts w:ascii="Arial" w:cs="Arial" w:eastAsia="Arial" w:hAnsi="Arial"/>
          <w:sz w:val="26"/>
          <w:szCs w:val="26"/>
          <w:color w:val="auto"/>
        </w:rPr>
        <w:t>IIc. Financial Results - Noncontrolling Interests’ Share 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0"/>
                <w:szCs w:val="10"/>
                <w:b w:val="1"/>
                <w:bCs w:val="1"/>
                <w:color w:val="auto"/>
              </w:rPr>
              <w:t>Three Months Ended December 31, 2023</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52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(unaudited)</w:t>
            </w:r>
          </w:p>
        </w:tc>
        <w:tc>
          <w:tcPr>
            <w:tcW w:w="180" w:type="dxa"/>
            <w:vAlign w:val="bottom"/>
          </w:tcPr>
          <w:p>
            <w:pPr>
              <w:spacing w:after="0"/>
              <w:rPr>
                <w:sz w:val="7"/>
                <w:szCs w:val="7"/>
                <w:color w:val="auto"/>
              </w:rPr>
            </w:pPr>
          </w:p>
        </w:tc>
        <w:tc>
          <w:tcPr>
            <w:tcW w:w="108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w w:val="98"/>
              </w:rPr>
              <w:t>Investment</w:t>
            </w:r>
          </w:p>
        </w:tc>
        <w:tc>
          <w:tcPr>
            <w:tcW w:w="10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Corporate and Other</w:t>
            </w:r>
          </w:p>
        </w:tc>
        <w:tc>
          <w:tcPr>
            <w:tcW w:w="160" w:type="dxa"/>
            <w:vAlign w:val="bottom"/>
          </w:tcPr>
          <w:p>
            <w:pPr>
              <w:spacing w:after="0"/>
              <w:rPr>
                <w:sz w:val="7"/>
                <w:szCs w:val="7"/>
                <w:color w:val="auto"/>
              </w:rPr>
            </w:pPr>
          </w:p>
        </w:tc>
        <w:tc>
          <w:tcPr>
            <w:tcW w:w="1100" w:type="dxa"/>
            <w:vAlign w:val="bottom"/>
            <w:gridSpan w:val="2"/>
          </w:tcPr>
          <w:p>
            <w:pPr>
              <w:jc w:val="center"/>
              <w:ind w:right="260"/>
              <w:spacing w:after="0" w:line="88" w:lineRule="exact"/>
              <w:rPr>
                <w:sz w:val="20"/>
                <w:szCs w:val="20"/>
                <w:color w:val="auto"/>
              </w:rPr>
            </w:pPr>
            <w:r>
              <w:rPr>
                <w:rFonts w:ascii="Arial" w:cs="Arial" w:eastAsia="Arial" w:hAnsi="Arial"/>
                <w:sz w:val="10"/>
                <w:szCs w:val="10"/>
                <w:b w:val="1"/>
                <w:bCs w:val="1"/>
                <w:color w:val="auto"/>
              </w:rPr>
              <w:t>Discontinued</w:t>
            </w:r>
          </w:p>
        </w:tc>
        <w:tc>
          <w:tcPr>
            <w:tcW w:w="260" w:type="dxa"/>
            <w:vAlign w:val="bottom"/>
          </w:tcPr>
          <w:p>
            <w:pPr>
              <w:spacing w:after="0"/>
              <w:rPr>
                <w:sz w:val="7"/>
                <w:szCs w:val="7"/>
                <w:color w:val="auto"/>
              </w:rPr>
            </w:pPr>
          </w:p>
        </w:tc>
        <w:tc>
          <w:tcPr>
            <w:tcW w:w="3740" w:type="dxa"/>
            <w:vAlign w:val="bottom"/>
            <w:gridSpan w:val="2"/>
            <w:vMerge w:val="restart"/>
          </w:tcPr>
          <w:p>
            <w:pPr>
              <w:jc w:val="right"/>
              <w:ind w:right="3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5"/>
        </w:trPr>
        <w:tc>
          <w:tcPr>
            <w:tcW w:w="3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Management</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Operations</w:t>
            </w:r>
          </w:p>
        </w:tc>
        <w:tc>
          <w:tcPr>
            <w:tcW w:w="26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520" w:type="dxa"/>
            <w:vAlign w:val="bottom"/>
            <w:tcBorders>
              <w:top w:val="single" w:sz="8" w:color="DBDBDB"/>
            </w:tcBorders>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Revenues</w:t>
            </w:r>
          </w:p>
        </w:tc>
        <w:tc>
          <w:tcPr>
            <w:tcW w:w="18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auto"/>
            </w:tcBorders>
            <w:shd w:val="clear" w:color="auto" w:fill="DBDBDB"/>
          </w:tcPr>
          <w:p>
            <w:pPr>
              <w:spacing w:after="0"/>
              <w:rPr>
                <w:sz w:val="10"/>
                <w:szCs w:val="10"/>
                <w:color w:val="auto"/>
              </w:rPr>
            </w:pPr>
          </w:p>
        </w:tc>
        <w:tc>
          <w:tcPr>
            <w:tcW w:w="106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6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60" w:type="dxa"/>
            <w:vAlign w:val="bottom"/>
            <w:tcBorders>
              <w:top w:val="single" w:sz="8" w:color="auto"/>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80"/>
              <w:spacing w:after="0"/>
              <w:rPr>
                <w:sz w:val="20"/>
                <w:szCs w:val="20"/>
                <w:color w:val="auto"/>
              </w:rPr>
            </w:pPr>
            <w:r>
              <w:rPr>
                <w:rFonts w:ascii="Arial" w:cs="Arial" w:eastAsia="Arial" w:hAnsi="Arial"/>
                <w:sz w:val="11"/>
                <w:szCs w:val="11"/>
                <w:color w:val="auto"/>
              </w:rPr>
              <w:t>Fee revenue</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3740" w:type="dxa"/>
            <w:vAlign w:val="bottom"/>
            <w:gridSpan w:val="2"/>
          </w:tcPr>
          <w:p>
            <w:pPr>
              <w:jc w:val="right"/>
              <w:ind w:right="29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520" w:type="dxa"/>
            <w:vAlign w:val="bottom"/>
            <w:shd w:val="clear" w:color="auto" w:fill="DBDBDB"/>
          </w:tcPr>
          <w:p>
            <w:pPr>
              <w:ind w:left="80"/>
              <w:spacing w:after="0"/>
              <w:rPr>
                <w:sz w:val="20"/>
                <w:szCs w:val="20"/>
                <w:color w:val="auto"/>
              </w:rPr>
            </w:pPr>
            <w:r>
              <w:rPr>
                <w:rFonts w:ascii="Arial" w:cs="Arial" w:eastAsia="Arial" w:hAnsi="Arial"/>
                <w:sz w:val="11"/>
                <w:szCs w:val="11"/>
                <w:color w:val="auto"/>
              </w:rPr>
              <w:t>Carried interest allocation</w:t>
            </w:r>
          </w:p>
        </w:tc>
        <w:tc>
          <w:tcPr>
            <w:tcW w:w="18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7,665</w:t>
            </w: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7,665</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80"/>
              <w:spacing w:after="0"/>
              <w:rPr>
                <w:sz w:val="20"/>
                <w:szCs w:val="20"/>
                <w:color w:val="auto"/>
              </w:rPr>
            </w:pPr>
            <w:r>
              <w:rPr>
                <w:rFonts w:ascii="Arial" w:cs="Arial" w:eastAsia="Arial" w:hAnsi="Arial"/>
                <w:sz w:val="11"/>
                <w:szCs w:val="11"/>
                <w:color w:val="auto"/>
              </w:rPr>
              <w:t>Principal investment income (loss)</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1,450</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income</w:t>
            </w:r>
          </w:p>
        </w:tc>
        <w:tc>
          <w:tcPr>
            <w:tcW w:w="18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612</w:t>
            </w:r>
          </w:p>
        </w:tc>
        <w:tc>
          <w:tcPr>
            <w:tcW w:w="100" w:type="dxa"/>
            <w:vAlign w:val="bottom"/>
            <w:shd w:val="clear" w:color="auto" w:fill="DBDBDB"/>
          </w:tcPr>
          <w:p>
            <w:pPr>
              <w:spacing w:after="0"/>
              <w:rPr>
                <w:sz w:val="12"/>
                <w:szCs w:val="12"/>
                <w:color w:val="auto"/>
              </w:rPr>
            </w:pPr>
          </w:p>
        </w:tc>
        <w:tc>
          <w:tcPr>
            <w:tcW w:w="16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26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616</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20" w:type="dxa"/>
            <w:vAlign w:val="bottom"/>
          </w:tcPr>
          <w:p>
            <w:pPr>
              <w:ind w:left="140"/>
              <w:spacing w:after="0"/>
              <w:rPr>
                <w:sz w:val="20"/>
                <w:szCs w:val="20"/>
                <w:color w:val="auto"/>
              </w:rPr>
            </w:pPr>
            <w:r>
              <w:rPr>
                <w:rFonts w:ascii="Arial" w:cs="Arial" w:eastAsia="Arial" w:hAnsi="Arial"/>
                <w:sz w:val="11"/>
                <w:szCs w:val="11"/>
                <w:b w:val="1"/>
                <w:bCs w:val="1"/>
                <w:color w:val="auto"/>
              </w:rPr>
              <w:t>Total revenues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8,451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9,731</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520" w:type="dxa"/>
            <w:vAlign w:val="bottom"/>
            <w:tcBorders>
              <w:top w:val="single" w:sz="8" w:color="DBDBDB"/>
            </w:tcBorders>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Expenses</w:t>
            </w:r>
          </w:p>
        </w:tc>
        <w:tc>
          <w:tcPr>
            <w:tcW w:w="18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auto"/>
            </w:tcBorders>
            <w:shd w:val="clear" w:color="auto" w:fill="DBDBDB"/>
          </w:tcPr>
          <w:p>
            <w:pPr>
              <w:spacing w:after="0"/>
              <w:rPr>
                <w:sz w:val="10"/>
                <w:szCs w:val="10"/>
                <w:color w:val="auto"/>
              </w:rPr>
            </w:pPr>
          </w:p>
        </w:tc>
        <w:tc>
          <w:tcPr>
            <w:tcW w:w="106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6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60" w:type="dxa"/>
            <w:vAlign w:val="bottom"/>
            <w:tcBorders>
              <w:top w:val="single" w:sz="8" w:color="auto"/>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80"/>
              <w:spacing w:after="0"/>
              <w:rPr>
                <w:sz w:val="20"/>
                <w:szCs w:val="20"/>
                <w:color w:val="auto"/>
              </w:rPr>
            </w:pPr>
            <w:r>
              <w:rPr>
                <w:rFonts w:ascii="Arial" w:cs="Arial" w:eastAsia="Arial" w:hAnsi="Arial"/>
                <w:sz w:val="11"/>
                <w:szCs w:val="11"/>
                <w:color w:val="auto"/>
              </w:rPr>
              <w:t>Interest expense</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shd w:val="clear" w:color="auto" w:fill="DBDBDB"/>
          </w:tcPr>
          <w:p>
            <w:pPr>
              <w:ind w:left="80"/>
              <w:spacing w:after="0"/>
              <w:rPr>
                <w:sz w:val="20"/>
                <w:szCs w:val="20"/>
                <w:color w:val="auto"/>
              </w:rPr>
            </w:pPr>
            <w:r>
              <w:rPr>
                <w:rFonts w:ascii="Arial" w:cs="Arial" w:eastAsia="Arial" w:hAnsi="Arial"/>
                <w:sz w:val="11"/>
                <w:szCs w:val="11"/>
                <w:color w:val="auto"/>
              </w:rPr>
              <w:t>Investment-related expense</w:t>
            </w:r>
          </w:p>
        </w:tc>
        <w:tc>
          <w:tcPr>
            <w:tcW w:w="180" w:type="dxa"/>
            <w:vAlign w:val="bottom"/>
            <w:shd w:val="clear" w:color="auto" w:fill="DBDBDB"/>
          </w:tcPr>
          <w:p>
            <w:pPr>
              <w:spacing w:after="0"/>
              <w:rPr>
                <w:sz w:val="12"/>
                <w:szCs w:val="12"/>
                <w:color w:val="auto"/>
              </w:rPr>
            </w:pPr>
          </w:p>
        </w:tc>
        <w:tc>
          <w:tcPr>
            <w:tcW w:w="10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80"/>
              <w:spacing w:after="0"/>
              <w:rPr>
                <w:sz w:val="20"/>
                <w:szCs w:val="20"/>
                <w:color w:val="auto"/>
              </w:rPr>
            </w:pPr>
            <w:r>
              <w:rPr>
                <w:rFonts w:ascii="Arial" w:cs="Arial" w:eastAsia="Arial" w:hAnsi="Arial"/>
                <w:sz w:val="11"/>
                <w:szCs w:val="11"/>
                <w:color w:val="auto"/>
              </w:rPr>
              <w:t>Compensation expense</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shd w:val="clear" w:color="auto" w:fill="DBDBDB"/>
          </w:tcPr>
          <w:p>
            <w:pPr>
              <w:ind w:left="60"/>
              <w:spacing w:after="0"/>
              <w:rPr>
                <w:sz w:val="20"/>
                <w:szCs w:val="20"/>
                <w:color w:val="auto"/>
              </w:rPr>
            </w:pPr>
            <w:r>
              <w:rPr>
                <w:rFonts w:ascii="Arial" w:cs="Arial" w:eastAsia="Arial" w:hAnsi="Arial"/>
                <w:sz w:val="11"/>
                <w:szCs w:val="11"/>
                <w:color w:val="auto"/>
              </w:rPr>
              <w:t>Compensation expense - cash and equity-based</w:t>
            </w:r>
          </w:p>
        </w:tc>
        <w:tc>
          <w:tcPr>
            <w:tcW w:w="180" w:type="dxa"/>
            <w:vAlign w:val="bottom"/>
            <w:shd w:val="clear" w:color="auto" w:fill="DBDBDB"/>
          </w:tcPr>
          <w:p>
            <w:pPr>
              <w:spacing w:after="0"/>
              <w:rPr>
                <w:sz w:val="12"/>
                <w:szCs w:val="12"/>
                <w:color w:val="auto"/>
              </w:rPr>
            </w:pPr>
          </w:p>
        </w:tc>
        <w:tc>
          <w:tcPr>
            <w:tcW w:w="10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spacing w:after="0"/>
              <w:rPr>
                <w:sz w:val="12"/>
                <w:szCs w:val="12"/>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60"/>
              <w:spacing w:after="0"/>
              <w:rPr>
                <w:sz w:val="20"/>
                <w:szCs w:val="20"/>
                <w:color w:val="auto"/>
              </w:rPr>
            </w:pPr>
            <w:r>
              <w:rPr>
                <w:rFonts w:ascii="Arial" w:cs="Arial" w:eastAsia="Arial" w:hAnsi="Arial"/>
                <w:sz w:val="11"/>
                <w:szCs w:val="11"/>
                <w:color w:val="auto"/>
              </w:rPr>
              <w:t>Compensation expense - incentive fee and carried interest allocation</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3740" w:type="dxa"/>
            <w:vAlign w:val="bottom"/>
            <w:gridSpan w:val="2"/>
          </w:tcPr>
          <w:p>
            <w:pPr>
              <w:jc w:val="right"/>
              <w:ind w:right="29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520" w:type="dxa"/>
            <w:vAlign w:val="bottom"/>
            <w:shd w:val="clear" w:color="auto" w:fill="DBDBDB"/>
          </w:tcPr>
          <w:p>
            <w:pPr>
              <w:ind w:left="80"/>
              <w:spacing w:after="0"/>
              <w:rPr>
                <w:sz w:val="20"/>
                <w:szCs w:val="20"/>
                <w:color w:val="auto"/>
              </w:rPr>
            </w:pPr>
            <w:r>
              <w:rPr>
                <w:rFonts w:ascii="Arial" w:cs="Arial" w:eastAsia="Arial" w:hAnsi="Arial"/>
                <w:sz w:val="11"/>
                <w:szCs w:val="11"/>
                <w:color w:val="auto"/>
              </w:rPr>
              <w:t>Administrative expenses</w:t>
            </w:r>
          </w:p>
        </w:tc>
        <w:tc>
          <w:tcPr>
            <w:tcW w:w="18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DBDBDB"/>
          </w:tcPr>
          <w:p>
            <w:pPr>
              <w:spacing w:after="0"/>
              <w:rPr>
                <w:sz w:val="12"/>
                <w:szCs w:val="12"/>
                <w:color w:val="auto"/>
              </w:rPr>
            </w:pPr>
          </w:p>
        </w:tc>
        <w:tc>
          <w:tcPr>
            <w:tcW w:w="16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DBDBDB"/>
          </w:tcPr>
          <w:p>
            <w:pPr>
              <w:spacing w:after="0"/>
              <w:rPr>
                <w:sz w:val="12"/>
                <w:szCs w:val="12"/>
                <w:color w:val="auto"/>
              </w:rPr>
            </w:pPr>
          </w:p>
        </w:tc>
        <w:tc>
          <w:tcPr>
            <w:tcW w:w="26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258</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520" w:type="dxa"/>
            <w:vAlign w:val="bottom"/>
          </w:tcPr>
          <w:p>
            <w:pPr>
              <w:ind w:left="160"/>
              <w:spacing w:after="0"/>
              <w:rPr>
                <w:sz w:val="20"/>
                <w:szCs w:val="20"/>
                <w:color w:val="auto"/>
              </w:rPr>
            </w:pPr>
            <w:r>
              <w:rPr>
                <w:rFonts w:ascii="Arial" w:cs="Arial" w:eastAsia="Arial" w:hAnsi="Arial"/>
                <w:sz w:val="11"/>
                <w:szCs w:val="11"/>
                <w:b w:val="1"/>
                <w:bCs w:val="1"/>
                <w:color w:val="auto"/>
              </w:rPr>
              <w:t>Total expenses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303</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520" w:type="dxa"/>
            <w:vAlign w:val="bottom"/>
            <w:tcBorders>
              <w:top w:val="single" w:sz="8" w:color="DBDBDB"/>
            </w:tcBorders>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Other income (loss)</w:t>
            </w:r>
          </w:p>
        </w:tc>
        <w:tc>
          <w:tcPr>
            <w:tcW w:w="18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80" w:type="dxa"/>
            <w:vAlign w:val="bottom"/>
            <w:tcBorders>
              <w:top w:val="single" w:sz="8" w:color="DBDBDB"/>
            </w:tcBorders>
            <w:shd w:val="clear" w:color="auto" w:fill="DBDBDB"/>
          </w:tcPr>
          <w:p>
            <w:pPr>
              <w:spacing w:after="0"/>
              <w:rPr>
                <w:sz w:val="10"/>
                <w:szCs w:val="10"/>
                <w:color w:val="auto"/>
              </w:rPr>
            </w:pPr>
          </w:p>
        </w:tc>
        <w:tc>
          <w:tcPr>
            <w:tcW w:w="100" w:type="dxa"/>
            <w:vAlign w:val="bottom"/>
            <w:tcBorders>
              <w:top w:val="single" w:sz="8" w:color="auto"/>
            </w:tcBorders>
            <w:shd w:val="clear" w:color="auto" w:fill="DBDBDB"/>
          </w:tcPr>
          <w:p>
            <w:pPr>
              <w:spacing w:after="0"/>
              <w:rPr>
                <w:sz w:val="10"/>
                <w:szCs w:val="10"/>
                <w:color w:val="auto"/>
              </w:rPr>
            </w:pPr>
          </w:p>
        </w:tc>
        <w:tc>
          <w:tcPr>
            <w:tcW w:w="106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160" w:type="dxa"/>
            <w:vAlign w:val="bottom"/>
            <w:tcBorders>
              <w:top w:val="single" w:sz="8" w:color="auto"/>
            </w:tcBorders>
            <w:shd w:val="clear" w:color="auto" w:fill="DBDBDB"/>
          </w:tcPr>
          <w:p>
            <w:pPr>
              <w:spacing w:after="0"/>
              <w:rPr>
                <w:sz w:val="10"/>
                <w:szCs w:val="10"/>
                <w:color w:val="auto"/>
              </w:rPr>
            </w:pPr>
          </w:p>
        </w:tc>
        <w:tc>
          <w:tcPr>
            <w:tcW w:w="10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260" w:type="dxa"/>
            <w:vAlign w:val="bottom"/>
            <w:tcBorders>
              <w:top w:val="single" w:sz="8" w:color="auto"/>
            </w:tcBorders>
            <w:shd w:val="clear" w:color="auto" w:fill="DBDBDB"/>
          </w:tcPr>
          <w:p>
            <w:pPr>
              <w:spacing w:after="0"/>
              <w:rPr>
                <w:sz w:val="10"/>
                <w:szCs w:val="10"/>
                <w:color w:val="auto"/>
              </w:rPr>
            </w:pPr>
          </w:p>
        </w:tc>
        <w:tc>
          <w:tcPr>
            <w:tcW w:w="900" w:type="dxa"/>
            <w:vAlign w:val="bottom"/>
            <w:tcBorders>
              <w:top w:val="single" w:sz="8" w:color="auto"/>
            </w:tcBorders>
            <w:shd w:val="clear" w:color="auto" w:fill="DBDBDB"/>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5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Other gain (loss), net</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2,765</w:t>
            </w: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2,759</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Income (loss) from continuing operations before income taxes</w:t>
            </w:r>
          </w:p>
        </w:tc>
        <w:tc>
          <w:tcPr>
            <w:tcW w:w="180" w:type="dxa"/>
            <w:vAlign w:val="bottom"/>
            <w:shd w:val="clear" w:color="auto" w:fill="DBDBDB"/>
          </w:tcPr>
          <w:p>
            <w:pPr>
              <w:spacing w:after="0"/>
              <w:rPr>
                <w:sz w:val="11"/>
                <w:szCs w:val="1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8,434</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3,753</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spacing w:after="0"/>
              <w:rPr>
                <w:sz w:val="11"/>
                <w:szCs w:val="11"/>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12,187</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2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Income tax benefit (expense)</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DBDBDB"/>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2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Income (loss) from continuing operations</w:t>
            </w:r>
          </w:p>
        </w:tc>
        <w:tc>
          <w:tcPr>
            <w:tcW w:w="180" w:type="dxa"/>
            <w:vAlign w:val="bottom"/>
            <w:shd w:val="clear" w:color="auto" w:fill="DBDBDB"/>
          </w:tcPr>
          <w:p>
            <w:pPr>
              <w:spacing w:after="0"/>
              <w:rPr>
                <w:sz w:val="11"/>
                <w:szCs w:val="1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8,434</w:t>
            </w: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3,753</w:t>
            </w: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1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DBDBDB"/>
          </w:tcPr>
          <w:p>
            <w:pPr>
              <w:spacing w:after="0"/>
              <w:rPr>
                <w:sz w:val="11"/>
                <w:szCs w:val="11"/>
                <w:color w:val="auto"/>
              </w:rPr>
            </w:pPr>
          </w:p>
        </w:tc>
        <w:tc>
          <w:tcPr>
            <w:tcW w:w="9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12,187</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20" w:type="dxa"/>
            <w:vAlign w:val="bottom"/>
          </w:tcPr>
          <w:p>
            <w:pPr>
              <w:ind w:left="80"/>
              <w:spacing w:after="0"/>
              <w:rPr>
                <w:sz w:val="20"/>
                <w:szCs w:val="20"/>
                <w:color w:val="auto"/>
              </w:rPr>
            </w:pPr>
            <w:r>
              <w:rPr>
                <w:rFonts w:ascii="Arial" w:cs="Arial" w:eastAsia="Arial" w:hAnsi="Arial"/>
                <w:sz w:val="11"/>
                <w:szCs w:val="11"/>
                <w:color w:val="auto"/>
              </w:rPr>
              <w:t>Income (loss) from discontinued operations</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(23,833)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(23,833)</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52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Net income (loss)</w:t>
            </w:r>
          </w:p>
        </w:tc>
        <w:tc>
          <w:tcPr>
            <w:tcW w:w="180" w:type="dxa"/>
            <w:vAlign w:val="bottom"/>
            <w:tcBorders>
              <w:top w:val="single" w:sz="8" w:color="auto"/>
              <w:bottom w:val="single" w:sz="8" w:color="auto"/>
            </w:tcBorders>
            <w:shd w:val="clear" w:color="auto" w:fill="DBDBDB"/>
          </w:tcPr>
          <w:p>
            <w:pPr>
              <w:spacing w:after="0"/>
              <w:rPr>
                <w:sz w:val="11"/>
                <w:szCs w:val="11"/>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8,434</w:t>
            </w:r>
          </w:p>
        </w:tc>
        <w:tc>
          <w:tcPr>
            <w:tcW w:w="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auto"/>
              <w:bottom w:val="single" w:sz="8" w:color="auto"/>
            </w:tcBorders>
            <w:shd w:val="clear" w:color="auto" w:fill="DBDBDB"/>
          </w:tcPr>
          <w:p>
            <w:pPr>
              <w:spacing w:after="0"/>
              <w:rPr>
                <w:sz w:val="11"/>
                <w:szCs w:val="11"/>
                <w:color w:val="auto"/>
              </w:rPr>
            </w:pP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3,753</w:t>
            </w:r>
          </w:p>
        </w:tc>
        <w:tc>
          <w:tcPr>
            <w:tcW w:w="100" w:type="dxa"/>
            <w:vAlign w:val="bottom"/>
            <w:tcBorders>
              <w:top w:val="single" w:sz="8" w:color="DBDBDB"/>
            </w:tcBorders>
            <w:shd w:val="clear" w:color="auto" w:fill="DBDBDB"/>
          </w:tcPr>
          <w:p>
            <w:pPr>
              <w:spacing w:after="0"/>
              <w:rPr>
                <w:sz w:val="11"/>
                <w:szCs w:val="11"/>
                <w:color w:val="auto"/>
              </w:rPr>
            </w:pPr>
          </w:p>
        </w:tc>
        <w:tc>
          <w:tcPr>
            <w:tcW w:w="160" w:type="dxa"/>
            <w:vAlign w:val="bottom"/>
            <w:tcBorders>
              <w:top w:val="single" w:sz="8" w:color="auto"/>
              <w:bottom w:val="single" w:sz="8" w:color="auto"/>
            </w:tcBorders>
            <w:shd w:val="clear" w:color="auto" w:fill="DBDBDB"/>
          </w:tcPr>
          <w:p>
            <w:pPr>
              <w:spacing w:after="0"/>
              <w:rPr>
                <w:sz w:val="11"/>
                <w:szCs w:val="11"/>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(23,833)</w:t>
            </w:r>
          </w:p>
        </w:tc>
        <w:tc>
          <w:tcPr>
            <w:tcW w:w="100" w:type="dxa"/>
            <w:vAlign w:val="bottom"/>
            <w:tcBorders>
              <w:top w:val="single" w:sz="8" w:color="DBDBDB"/>
            </w:tcBorders>
            <w:shd w:val="clear" w:color="auto" w:fill="DBDBDB"/>
          </w:tcPr>
          <w:p>
            <w:pPr>
              <w:spacing w:after="0"/>
              <w:rPr>
                <w:sz w:val="11"/>
                <w:szCs w:val="11"/>
                <w:color w:val="auto"/>
              </w:rPr>
            </w:pPr>
          </w:p>
        </w:tc>
        <w:tc>
          <w:tcPr>
            <w:tcW w:w="260" w:type="dxa"/>
            <w:vAlign w:val="bottom"/>
            <w:tcBorders>
              <w:top w:val="single" w:sz="8" w:color="auto"/>
              <w:bottom w:val="single" w:sz="8" w:color="auto"/>
            </w:tcBorders>
            <w:shd w:val="clear" w:color="auto" w:fill="DBDBDB"/>
          </w:tcPr>
          <w:p>
            <w:pPr>
              <w:spacing w:after="0"/>
              <w:rPr>
                <w:sz w:val="11"/>
                <w:szCs w:val="11"/>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(11,646)</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20"/>
                <w:szCs w:val="20"/>
                <w:color w:val="auto"/>
              </w:rPr>
            </w:pPr>
            <w:r>
              <w:rPr>
                <w:rFonts w:ascii="Arial" w:cs="Arial" w:eastAsia="Arial" w:hAnsi="Arial"/>
                <w:sz w:val="11"/>
                <w:szCs w:val="11"/>
                <w:b w:val="1"/>
                <w:bCs w:val="1"/>
                <w:color w:val="auto"/>
              </w:rPr>
              <w:t>Net income (loss) attributable to noncontrolling interests</w:t>
            </w: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8,434</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3,753</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(23,833)</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(11,646)</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52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740" w:type="dxa"/>
            <w:vAlign w:val="bottom"/>
            <w:gridSpan w:val="2"/>
          </w:tcPr>
          <w:p>
            <w:pPr>
              <w:jc w:val="right"/>
              <w:ind w:right="420"/>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6" w:right="299" w:bottom="1440" w:gutter="0" w:footer="0" w:header="0"/>
        </w:sectPr>
      </w:pPr>
    </w:p>
    <w:bookmarkStart w:id="52" w:name="page53"/>
    <w:bookmarkEnd w:id="52"/>
    <w:p>
      <w:pPr>
        <w:ind w:left="8" w:right="900"/>
        <w:spacing w:after="0" w:line="241" w:lineRule="auto"/>
        <w:rPr>
          <w:sz w:val="20"/>
          <w:szCs w:val="20"/>
          <w:color w:val="auto"/>
        </w:rPr>
      </w:pPr>
      <w:r>
        <w:rPr>
          <w:rFonts w:ascii="Arial" w:cs="Arial" w:eastAsia="Arial" w:hAnsi="Arial"/>
          <w:sz w:val="29"/>
          <w:szCs w:val="29"/>
          <w:color w:val="auto"/>
        </w:rPr>
        <w:t>IId. Financial Results - Segment Reconciliation of Net Income to DE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78040"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34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7"/>
          </w:tcPr>
          <w:p>
            <w:pPr>
              <w:jc w:val="center"/>
              <w:ind w:right="47"/>
              <w:spacing w:after="0"/>
              <w:rPr>
                <w:sz w:val="20"/>
                <w:szCs w:val="20"/>
                <w:color w:val="auto"/>
              </w:rPr>
            </w:pPr>
            <w:r>
              <w:rPr>
                <w:rFonts w:ascii="Arial" w:cs="Arial" w:eastAsia="Arial" w:hAnsi="Arial"/>
                <w:sz w:val="10"/>
                <w:szCs w:val="10"/>
                <w:b w:val="1"/>
                <w:bCs w:val="1"/>
                <w:color w:val="auto"/>
                <w:w w:val="98"/>
              </w:rPr>
              <w:t>OP pro rata share by segment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Amounts</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Investment</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8"/>
              </w:rPr>
              <w:t>Non-IM Segment</w:t>
            </w:r>
          </w:p>
        </w:tc>
        <w:tc>
          <w:tcPr>
            <w:tcW w:w="8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Total OP pro</w:t>
            </w: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7" w:lineRule="exact"/>
              <w:rPr>
                <w:sz w:val="20"/>
                <w:szCs w:val="20"/>
                <w:color w:val="auto"/>
              </w:rPr>
            </w:pPr>
            <w:r>
              <w:rPr>
                <w:rFonts w:ascii="Arial" w:cs="Arial" w:eastAsia="Arial" w:hAnsi="Arial"/>
                <w:sz w:val="10"/>
                <w:szCs w:val="10"/>
                <w:b w:val="1"/>
                <w:bCs w:val="1"/>
                <w:color w:val="auto"/>
              </w:rPr>
              <w:t>attributable to</w:t>
            </w:r>
          </w:p>
        </w:tc>
        <w:tc>
          <w:tcPr>
            <w:tcW w:w="160" w:type="dxa"/>
            <w:vAlign w:val="bottom"/>
          </w:tcPr>
          <w:p>
            <w:pPr>
              <w:spacing w:after="0"/>
              <w:rPr>
                <w:sz w:val="8"/>
                <w:szCs w:val="8"/>
                <w:color w:val="auto"/>
              </w:rPr>
            </w:pPr>
          </w:p>
        </w:tc>
        <w:tc>
          <w:tcPr>
            <w:tcW w:w="740" w:type="dxa"/>
            <w:vAlign w:val="bottom"/>
          </w:tcPr>
          <w:p>
            <w:pPr>
              <w:jc w:val="center"/>
              <w:ind w:right="107"/>
              <w:spacing w:after="0" w:line="97" w:lineRule="exact"/>
              <w:rPr>
                <w:sz w:val="20"/>
                <w:szCs w:val="20"/>
                <w:color w:val="auto"/>
              </w:rPr>
            </w:pPr>
            <w:r>
              <w:rPr>
                <w:rFonts w:ascii="Arial" w:cs="Arial" w:eastAsia="Arial" w:hAnsi="Arial"/>
                <w:sz w:val="10"/>
                <w:szCs w:val="10"/>
                <w:b w:val="1"/>
                <w:bCs w:val="1"/>
                <w:color w:val="auto"/>
              </w:rPr>
              <w:t>DBRG</w:t>
            </w:r>
          </w:p>
        </w:tc>
        <w:tc>
          <w:tcPr>
            <w:tcW w:w="0" w:type="dxa"/>
            <w:vAlign w:val="bottom"/>
          </w:tcPr>
          <w:p>
            <w:pPr>
              <w:spacing w:after="0"/>
              <w:rPr>
                <w:sz w:val="1"/>
                <w:szCs w:val="1"/>
                <w:color w:val="auto"/>
              </w:rPr>
            </w:pPr>
          </w:p>
        </w:tc>
      </w:tr>
      <w:tr>
        <w:trPr>
          <w:trHeight w:val="99"/>
        </w:trPr>
        <w:tc>
          <w:tcPr>
            <w:tcW w:w="3780" w:type="dxa"/>
            <w:vAlign w:val="bottom"/>
            <w:vMerge w:val="restart"/>
          </w:tcPr>
          <w:p>
            <w:pPr>
              <w:spacing w:after="0"/>
              <w:rPr>
                <w:sz w:val="20"/>
                <w:szCs w:val="20"/>
                <w:color w:val="auto"/>
              </w:rPr>
            </w:pPr>
            <w:r>
              <w:rPr>
                <w:rFonts w:ascii="Arial" w:cs="Arial" w:eastAsia="Arial" w:hAnsi="Arial"/>
                <w:sz w:val="10"/>
                <w:szCs w:val="10"/>
                <w:i w:val="1"/>
                <w:iCs w:val="1"/>
                <w:color w:val="auto"/>
              </w:rPr>
              <w:t>($ in thousands; for the three months ended December 31, 2023; and unaudited)</w:t>
            </w: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97"/>
              </w:rPr>
              <w:t>noncontrolling</w:t>
            </w:r>
          </w:p>
        </w:tc>
        <w:tc>
          <w:tcPr>
            <w:tcW w:w="9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97"/>
              </w:rPr>
              <w:t>consolidated as</w:t>
            </w:r>
          </w:p>
        </w:tc>
        <w:tc>
          <w:tcPr>
            <w:tcW w:w="0" w:type="dxa"/>
            <w:vAlign w:val="bottom"/>
          </w:tcPr>
          <w:p>
            <w:pPr>
              <w:spacing w:after="0"/>
              <w:rPr>
                <w:sz w:val="1"/>
                <w:szCs w:val="1"/>
                <w:color w:val="auto"/>
              </w:rPr>
            </w:pPr>
          </w:p>
        </w:tc>
      </w:tr>
      <w:tr>
        <w:trPr>
          <w:trHeight w:val="135"/>
        </w:trPr>
        <w:tc>
          <w:tcPr>
            <w:tcW w:w="3780" w:type="dxa"/>
            <w:vAlign w:val="bottom"/>
            <w:tcBorders>
              <w:bottom w:val="single" w:sz="8" w:color="DBDBDB"/>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b w:val="1"/>
                <w:bCs w:val="1"/>
                <w:color w:val="auto"/>
              </w:rPr>
              <w:t>Management</w:t>
            </w:r>
          </w:p>
        </w:tc>
        <w:tc>
          <w:tcPr>
            <w:tcW w:w="80" w:type="dxa"/>
            <w:vAlign w:val="bottom"/>
            <w:tcBorders>
              <w:bottom w:val="single" w:sz="8" w:color="DBDBDB"/>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46"/>
              <w:spacing w:after="0"/>
              <w:rPr>
                <w:sz w:val="20"/>
                <w:szCs w:val="20"/>
                <w:color w:val="auto"/>
              </w:rPr>
            </w:pPr>
            <w:r>
              <w:rPr>
                <w:rFonts w:ascii="Arial" w:cs="Arial" w:eastAsia="Arial" w:hAnsi="Arial"/>
                <w:sz w:val="10"/>
                <w:szCs w:val="10"/>
                <w:b w:val="1"/>
                <w:bCs w:val="1"/>
                <w:color w:val="auto"/>
                <w:w w:val="98"/>
              </w:rPr>
              <w:t>Adjustments</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rPr>
              <w:t>rata share</w:t>
            </w:r>
          </w:p>
        </w:tc>
        <w:tc>
          <w:tcPr>
            <w:tcW w:w="80" w:type="dxa"/>
            <w:vAlign w:val="bottom"/>
            <w:tcBorders>
              <w:bottom w:val="single" w:sz="8" w:color="DBDBDB"/>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7"/>
              <w:spacing w:after="0"/>
              <w:rPr>
                <w:sz w:val="20"/>
                <w:szCs w:val="20"/>
                <w:color w:val="auto"/>
              </w:rPr>
            </w:pPr>
            <w:r>
              <w:rPr>
                <w:rFonts w:ascii="Arial" w:cs="Arial" w:eastAsia="Arial" w:hAnsi="Arial"/>
                <w:sz w:val="10"/>
                <w:szCs w:val="10"/>
                <w:b w:val="1"/>
                <w:bCs w:val="1"/>
                <w:color w:val="auto"/>
                <w:w w:val="95"/>
              </w:rPr>
              <w:t>interests</w:t>
            </w:r>
          </w:p>
        </w:tc>
        <w:tc>
          <w:tcPr>
            <w:tcW w:w="80" w:type="dxa"/>
            <w:vAlign w:val="bottom"/>
            <w:tcBorders>
              <w:bottom w:val="single" w:sz="8" w:color="DBDBDB"/>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07"/>
              <w:spacing w:after="0"/>
              <w:rPr>
                <w:sz w:val="20"/>
                <w:szCs w:val="20"/>
                <w:color w:val="auto"/>
              </w:rPr>
            </w:pPr>
            <w:r>
              <w:rPr>
                <w:rFonts w:ascii="Arial" w:cs="Arial" w:eastAsia="Arial" w:hAnsi="Arial"/>
                <w:sz w:val="10"/>
                <w:szCs w:val="10"/>
                <w:b w:val="1"/>
                <w:bCs w:val="1"/>
                <w:color w:val="auto"/>
              </w:rPr>
              <w:t>reported</w:t>
            </w:r>
          </w:p>
        </w:tc>
        <w:tc>
          <w:tcPr>
            <w:tcW w:w="0" w:type="dxa"/>
            <w:vAlign w:val="bottom"/>
          </w:tcPr>
          <w:p>
            <w:pPr>
              <w:spacing w:after="0"/>
              <w:rPr>
                <w:sz w:val="1"/>
                <w:szCs w:val="1"/>
                <w:color w:val="auto"/>
              </w:rPr>
            </w:pPr>
          </w:p>
        </w:tc>
      </w:tr>
      <w:tr>
        <w:trPr>
          <w:trHeight w:val="133"/>
        </w:trPr>
        <w:tc>
          <w:tcPr>
            <w:tcW w:w="378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common stockholders</w:t>
            </w: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59,981</w:t>
            </w: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40,626</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100,607</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jc w:val="right"/>
              <w:ind w:right="27"/>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100,607</w:t>
            </w:r>
          </w:p>
        </w:tc>
        <w:tc>
          <w:tcPr>
            <w:tcW w:w="0" w:type="dxa"/>
            <w:vAlign w:val="bottom"/>
          </w:tcPr>
          <w:p>
            <w:pPr>
              <w:spacing w:after="0"/>
              <w:rPr>
                <w:sz w:val="1"/>
                <w:szCs w:val="1"/>
                <w:color w:val="auto"/>
              </w:rPr>
            </w:pPr>
          </w:p>
        </w:tc>
      </w:tr>
      <w:tr>
        <w:trPr>
          <w:trHeight w:val="108"/>
        </w:trPr>
        <w:tc>
          <w:tcPr>
            <w:tcW w:w="3780" w:type="dxa"/>
            <w:vAlign w:val="bottom"/>
          </w:tcPr>
          <w:p>
            <w:pPr>
              <w:spacing w:after="0" w:line="109" w:lineRule="exact"/>
              <w:rPr>
                <w:sz w:val="20"/>
                <w:szCs w:val="20"/>
                <w:color w:val="auto"/>
              </w:rPr>
            </w:pPr>
            <w:r>
              <w:rPr>
                <w:rFonts w:ascii="Arial" w:cs="Arial" w:eastAsia="Arial" w:hAnsi="Arial"/>
                <w:sz w:val="11"/>
                <w:szCs w:val="11"/>
                <w:color w:val="auto"/>
                <w:w w:val="99"/>
              </w:rPr>
              <w:t>Net income (loss) attributable to noncontrolling common interests in Operating</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4,560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1"/>
                <w:szCs w:val="11"/>
                <w:color w:val="auto"/>
              </w:rPr>
              <w:t>3,067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ind w:right="7"/>
              <w:spacing w:after="0"/>
              <w:rPr>
                <w:sz w:val="20"/>
                <w:szCs w:val="20"/>
                <w:color w:val="auto"/>
              </w:rPr>
            </w:pPr>
            <w:r>
              <w:rPr>
                <w:rFonts w:ascii="Arial" w:cs="Arial" w:eastAsia="Arial" w:hAnsi="Arial"/>
                <w:sz w:val="11"/>
                <w:szCs w:val="11"/>
                <w:color w:val="auto"/>
              </w:rPr>
              <w:t>7,627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ind w:right="7"/>
              <w:spacing w:after="0"/>
              <w:rPr>
                <w:sz w:val="20"/>
                <w:szCs w:val="20"/>
                <w:color w:val="auto"/>
              </w:rPr>
            </w:pPr>
            <w:r>
              <w:rPr>
                <w:rFonts w:ascii="Arial" w:cs="Arial" w:eastAsia="Arial" w:hAnsi="Arial"/>
                <w:sz w:val="11"/>
                <w:szCs w:val="11"/>
                <w:color w:val="auto"/>
              </w:rPr>
              <w:t>7,627</w:t>
            </w:r>
          </w:p>
        </w:tc>
        <w:tc>
          <w:tcPr>
            <w:tcW w:w="0" w:type="dxa"/>
            <w:vAlign w:val="bottom"/>
          </w:tcPr>
          <w:p>
            <w:pPr>
              <w:spacing w:after="0"/>
              <w:rPr>
                <w:sz w:val="1"/>
                <w:szCs w:val="1"/>
                <w:color w:val="auto"/>
              </w:rPr>
            </w:pPr>
          </w:p>
        </w:tc>
      </w:tr>
      <w:tr>
        <w:trPr>
          <w:trHeight w:val="143"/>
        </w:trPr>
        <w:tc>
          <w:tcPr>
            <w:tcW w:w="37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Company</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DBDBDB"/>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78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 common interests in Operating</w:t>
            </w:r>
          </w:p>
        </w:tc>
        <w:tc>
          <w:tcPr>
            <w:tcW w:w="8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64,541</w:t>
            </w:r>
          </w:p>
        </w:tc>
        <w:tc>
          <w:tcPr>
            <w:tcW w:w="80" w:type="dxa"/>
            <w:vAlign w:val="bottom"/>
            <w:shd w:val="clear" w:color="auto" w:fill="DBDBDB"/>
          </w:tcPr>
          <w:p>
            <w:pPr>
              <w:spacing w:after="0"/>
              <w:rPr>
                <w:sz w:val="7"/>
                <w:szCs w:val="7"/>
                <w:color w:val="auto"/>
              </w:rPr>
            </w:pPr>
          </w:p>
        </w:tc>
        <w:tc>
          <w:tcPr>
            <w:tcW w:w="120" w:type="dxa"/>
            <w:vAlign w:val="bottom"/>
            <w:shd w:val="clear" w:color="auto" w:fill="DBDBDB"/>
          </w:tcPr>
          <w:p>
            <w:pPr>
              <w:spacing w:after="0"/>
              <w:rPr>
                <w:sz w:val="7"/>
                <w:szCs w:val="7"/>
                <w:color w:val="auto"/>
              </w:rPr>
            </w:pPr>
          </w:p>
        </w:tc>
        <w:tc>
          <w:tcPr>
            <w:tcW w:w="78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43,693</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108,234</w:t>
            </w:r>
          </w:p>
        </w:tc>
        <w:tc>
          <w:tcPr>
            <w:tcW w:w="80" w:type="dxa"/>
            <w:vAlign w:val="bottom"/>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8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1"/>
                <w:szCs w:val="11"/>
                <w:b w:val="1"/>
                <w:bCs w:val="1"/>
                <w:color w:val="auto"/>
              </w:rPr>
              <w:t>—</w:t>
            </w:r>
          </w:p>
        </w:tc>
        <w:tc>
          <w:tcPr>
            <w:tcW w:w="160" w:type="dxa"/>
            <w:vAlign w:val="bottom"/>
            <w:shd w:val="clear" w:color="auto" w:fill="DBDBDB"/>
          </w:tcPr>
          <w:p>
            <w:pPr>
              <w:spacing w:after="0"/>
              <w:rPr>
                <w:sz w:val="7"/>
                <w:szCs w:val="7"/>
                <w:color w:val="auto"/>
              </w:rPr>
            </w:pPr>
          </w:p>
        </w:tc>
        <w:tc>
          <w:tcPr>
            <w:tcW w:w="740" w:type="dxa"/>
            <w:vAlign w:val="bottom"/>
            <w:vMerge w:val="restart"/>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108,234</w:t>
            </w:r>
          </w:p>
        </w:tc>
        <w:tc>
          <w:tcPr>
            <w:tcW w:w="0" w:type="dxa"/>
            <w:vAlign w:val="bottom"/>
          </w:tcPr>
          <w:p>
            <w:pPr>
              <w:spacing w:after="0"/>
              <w:rPr>
                <w:sz w:val="1"/>
                <w:szCs w:val="1"/>
                <w:color w:val="auto"/>
              </w:rPr>
            </w:pPr>
          </w:p>
        </w:tc>
      </w:tr>
      <w:tr>
        <w:trPr>
          <w:trHeight w:val="144"/>
        </w:trPr>
        <w:tc>
          <w:tcPr>
            <w:tcW w:w="3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Company and common stockholders</w:t>
            </w:r>
          </w:p>
        </w:tc>
        <w:tc>
          <w:tcPr>
            <w:tcW w:w="80" w:type="dxa"/>
            <w:vAlign w:val="bottom"/>
            <w:shd w:val="clear" w:color="auto" w:fill="DBDBDB"/>
          </w:tcPr>
          <w:p>
            <w:pPr>
              <w:spacing w:after="0"/>
              <w:rPr>
                <w:sz w:val="12"/>
                <w:szCs w:val="12"/>
                <w:color w:val="auto"/>
              </w:rPr>
            </w:pPr>
          </w:p>
        </w:tc>
        <w:tc>
          <w:tcPr>
            <w:tcW w:w="74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8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vMerge w:val="continue"/>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gridSpan w:val="2"/>
            <w:vMerge w:val="continue"/>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1"/>
                <w:szCs w:val="11"/>
                <w:b w:val="1"/>
                <w:bCs w:val="1"/>
                <w:color w:val="auto"/>
              </w:rPr>
              <w:t>Adjustments for Distributable Earnings (DE):</w:t>
            </w: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80" w:type="dxa"/>
            <w:vAlign w:val="bottom"/>
            <w:shd w:val="clear" w:color="auto" w:fill="DBDBDB"/>
          </w:tcPr>
          <w:p>
            <w:pPr>
              <w:ind w:left="120"/>
              <w:spacing w:after="0" w:line="144" w:lineRule="exact"/>
              <w:rPr>
                <w:sz w:val="20"/>
                <w:szCs w:val="20"/>
                <w:color w:val="auto"/>
              </w:rPr>
            </w:pPr>
            <w:r>
              <w:rPr>
                <w:rFonts w:ascii="Arial" w:cs="Arial" w:eastAsia="Arial" w:hAnsi="Arial"/>
                <w:sz w:val="11"/>
                <w:szCs w:val="11"/>
                <w:color w:val="auto"/>
              </w:rPr>
              <w:t>Transaction-related and restructuring charges</w:t>
            </w:r>
            <w:r>
              <w:rPr>
                <w:rFonts w:ascii="Arial" w:cs="Arial" w:eastAsia="Arial" w:hAnsi="Arial"/>
                <w:sz w:val="14"/>
                <w:szCs w:val="14"/>
                <w:color w:val="auto"/>
                <w:vertAlign w:val="superscript"/>
              </w:rPr>
              <w:t>(1)</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9,661</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3,882</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13,543</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13,543</w:t>
            </w:r>
          </w:p>
        </w:tc>
        <w:tc>
          <w:tcPr>
            <w:tcW w:w="0" w:type="dxa"/>
            <w:vAlign w:val="bottom"/>
          </w:tcPr>
          <w:p>
            <w:pPr>
              <w:spacing w:after="0"/>
              <w:rPr>
                <w:sz w:val="1"/>
                <w:szCs w:val="1"/>
                <w:color w:val="auto"/>
              </w:rPr>
            </w:pPr>
          </w:p>
        </w:tc>
      </w:tr>
      <w:tr>
        <w:trPr>
          <w:trHeight w:val="143"/>
        </w:trPr>
        <w:tc>
          <w:tcPr>
            <w:tcW w:w="3780" w:type="dxa"/>
            <w:vAlign w:val="bottom"/>
          </w:tcPr>
          <w:p>
            <w:pPr>
              <w:ind w:left="120"/>
              <w:spacing w:after="0"/>
              <w:rPr>
                <w:sz w:val="20"/>
                <w:szCs w:val="20"/>
                <w:color w:val="auto"/>
              </w:rPr>
            </w:pPr>
            <w:r>
              <w:rPr>
                <w:rFonts w:ascii="Arial" w:cs="Arial" w:eastAsia="Arial" w:hAnsi="Arial"/>
                <w:sz w:val="11"/>
                <w:szCs w:val="11"/>
                <w:color w:val="auto"/>
              </w:rPr>
              <w:t>Unrealized other (gain) loss, net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7,352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6,690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(2,753)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3,937</w:t>
            </w:r>
          </w:p>
        </w:tc>
        <w:tc>
          <w:tcPr>
            <w:tcW w:w="0" w:type="dxa"/>
            <w:vAlign w:val="bottom"/>
          </w:tcPr>
          <w:p>
            <w:pPr>
              <w:spacing w:after="0"/>
              <w:rPr>
                <w:sz w:val="1"/>
                <w:szCs w:val="1"/>
                <w:color w:val="auto"/>
              </w:rPr>
            </w:pPr>
          </w:p>
        </w:tc>
      </w:tr>
      <w:tr>
        <w:trPr>
          <w:trHeight w:val="145"/>
        </w:trPr>
        <w:tc>
          <w:tcPr>
            <w:tcW w:w="37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Unrealized principal investment income</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(92,017)</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(92,079)</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(1,455)</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(93,534)</w:t>
            </w:r>
          </w:p>
        </w:tc>
        <w:tc>
          <w:tcPr>
            <w:tcW w:w="0" w:type="dxa"/>
            <w:vAlign w:val="bottom"/>
          </w:tcPr>
          <w:p>
            <w:pPr>
              <w:spacing w:after="0"/>
              <w:rPr>
                <w:sz w:val="1"/>
                <w:szCs w:val="1"/>
                <w:color w:val="auto"/>
              </w:rPr>
            </w:pPr>
          </w:p>
        </w:tc>
      </w:tr>
      <w:tr>
        <w:trPr>
          <w:trHeight w:val="108"/>
        </w:trPr>
        <w:tc>
          <w:tcPr>
            <w:tcW w:w="3780" w:type="dxa"/>
            <w:vAlign w:val="bottom"/>
          </w:tcPr>
          <w:p>
            <w:pPr>
              <w:ind w:left="120"/>
              <w:spacing w:after="0" w:line="109" w:lineRule="exact"/>
              <w:rPr>
                <w:sz w:val="20"/>
                <w:szCs w:val="20"/>
                <w:color w:val="auto"/>
              </w:rPr>
            </w:pPr>
            <w:r>
              <w:rPr>
                <w:rFonts w:ascii="Arial" w:cs="Arial" w:eastAsia="Arial" w:hAnsi="Arial"/>
                <w:sz w:val="11"/>
                <w:szCs w:val="11"/>
                <w:color w:val="auto"/>
              </w:rPr>
              <w:t>Unrealized carried interest allocation, net of associated compensation</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(49,683)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(49,683)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(7,665)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(57,348)</w:t>
            </w:r>
          </w:p>
        </w:tc>
        <w:tc>
          <w:tcPr>
            <w:tcW w:w="0" w:type="dxa"/>
            <w:vAlign w:val="bottom"/>
          </w:tcPr>
          <w:p>
            <w:pPr>
              <w:spacing w:after="0"/>
              <w:rPr>
                <w:sz w:val="1"/>
                <w:szCs w:val="1"/>
                <w:color w:val="auto"/>
              </w:rPr>
            </w:pPr>
          </w:p>
        </w:tc>
      </w:tr>
      <w:tr>
        <w:trPr>
          <w:trHeight w:val="143"/>
        </w:trPr>
        <w:tc>
          <w:tcPr>
            <w:tcW w:w="3780" w:type="dxa"/>
            <w:vAlign w:val="bottom"/>
          </w:tcPr>
          <w:p>
            <w:pPr>
              <w:ind w:left="120"/>
              <w:spacing w:after="0"/>
              <w:rPr>
                <w:sz w:val="20"/>
                <w:szCs w:val="20"/>
                <w:color w:val="auto"/>
              </w:rPr>
            </w:pPr>
            <w:r>
              <w:rPr>
                <w:rFonts w:ascii="Arial" w:cs="Arial" w:eastAsia="Arial" w:hAnsi="Arial"/>
                <w:sz w:val="11"/>
                <w:szCs w:val="11"/>
                <w:color w:val="auto"/>
              </w:rPr>
              <w:t>expense allocation</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Compensation expense - equity-based</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5,647</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4,148</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9,795</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7"/>
              <w:spacing w:after="0"/>
              <w:rPr>
                <w:sz w:val="20"/>
                <w:szCs w:val="20"/>
                <w:color w:val="auto"/>
              </w:rPr>
            </w:pPr>
            <w:r>
              <w:rPr>
                <w:rFonts w:ascii="Arial" w:cs="Arial" w:eastAsia="Arial" w:hAnsi="Arial"/>
                <w:sz w:val="11"/>
                <w:szCs w:val="11"/>
                <w:color w:val="auto"/>
              </w:rPr>
              <w:t>9,795</w:t>
            </w:r>
          </w:p>
        </w:tc>
        <w:tc>
          <w:tcPr>
            <w:tcW w:w="0" w:type="dxa"/>
            <w:vAlign w:val="bottom"/>
          </w:tcPr>
          <w:p>
            <w:pPr>
              <w:spacing w:after="0"/>
              <w:rPr>
                <w:sz w:val="1"/>
                <w:szCs w:val="1"/>
                <w:color w:val="auto"/>
              </w:rPr>
            </w:pPr>
          </w:p>
        </w:tc>
      </w:tr>
      <w:tr>
        <w:trPr>
          <w:trHeight w:val="143"/>
        </w:trPr>
        <w:tc>
          <w:tcPr>
            <w:tcW w:w="3780" w:type="dxa"/>
            <w:vAlign w:val="bottom"/>
          </w:tcPr>
          <w:p>
            <w:pPr>
              <w:ind w:left="120"/>
              <w:spacing w:after="0"/>
              <w:rPr>
                <w:sz w:val="20"/>
                <w:szCs w:val="20"/>
                <w:color w:val="auto"/>
              </w:rPr>
            </w:pPr>
            <w:r>
              <w:rPr>
                <w:rFonts w:ascii="Arial" w:cs="Arial" w:eastAsia="Arial" w:hAnsi="Arial"/>
                <w:sz w:val="11"/>
                <w:szCs w:val="11"/>
                <w:color w:val="auto"/>
              </w:rPr>
              <w:t>Depreciation and amortization</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8,809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9,104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9,104</w:t>
            </w:r>
          </w:p>
        </w:tc>
        <w:tc>
          <w:tcPr>
            <w:tcW w:w="0" w:type="dxa"/>
            <w:vAlign w:val="bottom"/>
          </w:tcPr>
          <w:p>
            <w:pPr>
              <w:spacing w:after="0"/>
              <w:rPr>
                <w:sz w:val="1"/>
                <w:szCs w:val="1"/>
                <w:color w:val="auto"/>
              </w:rPr>
            </w:pPr>
          </w:p>
        </w:tc>
      </w:tr>
      <w:tr>
        <w:trPr>
          <w:trHeight w:val="145"/>
        </w:trPr>
        <w:tc>
          <w:tcPr>
            <w:tcW w:w="37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Straight-line rent revenue and expense</w:t>
            </w: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500</w:t>
            </w: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(594)</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w:t>
            </w: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43"/>
        </w:trPr>
        <w:tc>
          <w:tcPr>
            <w:tcW w:w="3780" w:type="dxa"/>
            <w:vAlign w:val="bottom"/>
          </w:tcPr>
          <w:p>
            <w:pPr>
              <w:ind w:left="120"/>
              <w:spacing w:after="0"/>
              <w:rPr>
                <w:sz w:val="20"/>
                <w:szCs w:val="20"/>
                <w:color w:val="auto"/>
              </w:rPr>
            </w:pPr>
            <w:r>
              <w:rPr>
                <w:rFonts w:ascii="Arial" w:cs="Arial" w:eastAsia="Arial" w:hAnsi="Arial"/>
                <w:sz w:val="11"/>
                <w:szCs w:val="11"/>
                <w:color w:val="auto"/>
              </w:rPr>
              <w:t>Amortization of deferred financing costs, debt premiums and discounts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640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1"/>
                <w:szCs w:val="11"/>
                <w:color w:val="auto"/>
              </w:rPr>
              <w:t>640</w:t>
            </w:r>
          </w:p>
        </w:tc>
        <w:tc>
          <w:tcPr>
            <w:tcW w:w="0" w:type="dxa"/>
            <w:vAlign w:val="bottom"/>
          </w:tcPr>
          <w:p>
            <w:pPr>
              <w:spacing w:after="0"/>
              <w:rPr>
                <w:sz w:val="1"/>
                <w:szCs w:val="1"/>
                <w:color w:val="auto"/>
              </w:rPr>
            </w:pPr>
          </w:p>
        </w:tc>
      </w:tr>
      <w:tr>
        <w:trPr>
          <w:trHeight w:val="145"/>
        </w:trPr>
        <w:tc>
          <w:tcPr>
            <w:tcW w:w="37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Adjustments attributable to noncontrolling interests in investment entities</w:t>
            </w: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spacing w:after="0"/>
              <w:rPr>
                <w:sz w:val="12"/>
                <w:szCs w:val="12"/>
                <w:color w:val="auto"/>
              </w:rPr>
            </w:pPr>
          </w:p>
        </w:tc>
        <w:tc>
          <w:tcPr>
            <w:tcW w:w="86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2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(11,959)</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(11,959)</w:t>
            </w:r>
          </w:p>
        </w:tc>
        <w:tc>
          <w:tcPr>
            <w:tcW w:w="0" w:type="dxa"/>
            <w:vAlign w:val="bottom"/>
          </w:tcPr>
          <w:p>
            <w:pPr>
              <w:spacing w:after="0"/>
              <w:rPr>
                <w:sz w:val="1"/>
                <w:szCs w:val="1"/>
                <w:color w:val="auto"/>
              </w:rPr>
            </w:pPr>
          </w:p>
        </w:tc>
      </w:tr>
      <w:tr>
        <w:trPr>
          <w:trHeight w:val="144"/>
        </w:trPr>
        <w:tc>
          <w:tcPr>
            <w:tcW w:w="3780" w:type="dxa"/>
            <w:vAlign w:val="bottom"/>
            <w:tcBorders>
              <w:bottom w:val="single" w:sz="8" w:color="DBDBDB"/>
            </w:tcBorders>
          </w:tcPr>
          <w:p>
            <w:pPr>
              <w:ind w:left="120"/>
              <w:spacing w:after="0" w:line="144" w:lineRule="exact"/>
              <w:rPr>
                <w:sz w:val="20"/>
                <w:szCs w:val="20"/>
                <w:color w:val="auto"/>
              </w:rPr>
            </w:pPr>
            <w:r>
              <w:rPr>
                <w:rFonts w:ascii="Arial" w:cs="Arial" w:eastAsia="Arial" w:hAnsi="Arial"/>
                <w:sz w:val="11"/>
                <w:szCs w:val="11"/>
                <w:color w:val="auto"/>
              </w:rPr>
              <w:t>DE from discontinued operations</w:t>
            </w:r>
            <w:r>
              <w:rPr>
                <w:rFonts w:ascii="Arial" w:cs="Arial" w:eastAsia="Arial" w:hAnsi="Arial"/>
                <w:sz w:val="14"/>
                <w:szCs w:val="14"/>
                <w:color w:val="auto"/>
                <w:vertAlign w:val="superscript"/>
              </w:rPr>
              <w:t>(2)</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DBDBDB"/>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11,781</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11,781</w:t>
            </w:r>
          </w:p>
        </w:tc>
        <w:tc>
          <w:tcPr>
            <w:tcW w:w="80" w:type="dxa"/>
            <w:vAlign w:val="bottom"/>
            <w:tcBorders>
              <w:bottom w:val="single" w:sz="8" w:color="DBDBD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23,832</w:t>
            </w:r>
          </w:p>
        </w:tc>
        <w:tc>
          <w:tcPr>
            <w:tcW w:w="80" w:type="dxa"/>
            <w:vAlign w:val="bottom"/>
            <w:tcBorders>
              <w:bottom w:val="single" w:sz="8" w:color="DBDBDB"/>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35,613</w:t>
            </w:r>
          </w:p>
        </w:tc>
        <w:tc>
          <w:tcPr>
            <w:tcW w:w="0" w:type="dxa"/>
            <w:vAlign w:val="bottom"/>
          </w:tcPr>
          <w:p>
            <w:pPr>
              <w:spacing w:after="0"/>
              <w:rPr>
                <w:sz w:val="1"/>
                <w:szCs w:val="1"/>
                <w:color w:val="auto"/>
              </w:rPr>
            </w:pPr>
          </w:p>
        </w:tc>
      </w:tr>
      <w:tr>
        <w:trPr>
          <w:trHeight w:val="133"/>
        </w:trPr>
        <w:tc>
          <w:tcPr>
            <w:tcW w:w="37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39,085</w:t>
            </w:r>
          </w:p>
        </w:tc>
        <w:tc>
          <w:tcPr>
            <w:tcW w:w="80" w:type="dxa"/>
            <w:vAlign w:val="bottom"/>
            <w:shd w:val="clear" w:color="auto" w:fill="DBDBDB"/>
          </w:tcPr>
          <w:p>
            <w:pPr>
              <w:spacing w:after="0"/>
              <w:rPr>
                <w:sz w:val="11"/>
                <w:szCs w:val="1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(21,154)</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17,931</w:t>
            </w:r>
          </w:p>
        </w:tc>
        <w:tc>
          <w:tcPr>
            <w:tcW w:w="80" w:type="dxa"/>
            <w:vAlign w:val="bottom"/>
            <w:shd w:val="clear" w:color="auto" w:fill="DBDBDB"/>
          </w:tcPr>
          <w:p>
            <w:pPr>
              <w:spacing w:after="0"/>
              <w:rPr>
                <w:sz w:val="11"/>
                <w:szCs w:val="11"/>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DBDBDB"/>
          </w:tcPr>
          <w:p>
            <w:pPr>
              <w:spacing w:after="0"/>
              <w:rPr>
                <w:sz w:val="11"/>
                <w:szCs w:val="11"/>
                <w:color w:val="auto"/>
              </w:rPr>
            </w:pPr>
          </w:p>
        </w:tc>
        <w:tc>
          <w:tcPr>
            <w:tcW w:w="160" w:type="dxa"/>
            <w:vAlign w:val="bottom"/>
            <w:tcBorders>
              <w:bottom w:val="single" w:sz="8" w:color="auto"/>
            </w:tcBorders>
            <w:shd w:val="clear" w:color="auto" w:fill="DBDBDB"/>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b w:val="1"/>
                <w:bCs w:val="1"/>
                <w:color w:val="auto"/>
              </w:rPr>
              <w:t>17,931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5" w:lineRule="exact"/>
        <w:rPr>
          <w:sz w:val="20"/>
          <w:szCs w:val="20"/>
          <w:color w:val="auto"/>
        </w:rPr>
      </w:pPr>
    </w:p>
    <w:p>
      <w:pPr>
        <w:ind w:left="208" w:right="20" w:hanging="208"/>
        <w:spacing w:after="0" w:line="262" w:lineRule="auto"/>
        <w:tabs>
          <w:tab w:leader="none" w:pos="192" w:val="left"/>
        </w:tabs>
        <w:numPr>
          <w:ilvl w:val="0"/>
          <w:numId w:val="10"/>
        </w:numPr>
        <w:rPr>
          <w:rFonts w:ascii="Arial" w:cs="Arial" w:eastAsia="Arial" w:hAnsi="Arial"/>
          <w:sz w:val="8"/>
          <w:szCs w:val="8"/>
          <w:color w:val="424242"/>
        </w:rPr>
      </w:pPr>
      <w:r>
        <w:rPr>
          <w:rFonts w:ascii="Arial" w:cs="Arial" w:eastAsia="Arial" w:hAnsi="Arial"/>
          <w:sz w:val="8"/>
          <w:szCs w:val="8"/>
          <w:color w:val="424242"/>
        </w:rPr>
        <w:t>Restructuring charges primarily represent costs and charges incurred as a result of corporate restructuring and reorganization to implement the digital evolution. These costs and charges include severance, retention, relocation, transition, shareholder settlement and other related restructuring costs, which are not reflective of the Company’s core operating performance.</w:t>
      </w:r>
    </w:p>
    <w:p>
      <w:pPr>
        <w:ind w:left="188" w:hanging="188"/>
        <w:spacing w:after="0"/>
        <w:tabs>
          <w:tab w:leader="none" w:pos="188" w:val="left"/>
        </w:tabs>
        <w:numPr>
          <w:ilvl w:val="0"/>
          <w:numId w:val="10"/>
        </w:numPr>
        <w:rPr>
          <w:rFonts w:ascii="Arial" w:cs="Arial" w:eastAsia="Arial" w:hAnsi="Arial"/>
          <w:sz w:val="8"/>
          <w:szCs w:val="8"/>
          <w:color w:val="424242"/>
        </w:rPr>
      </w:pPr>
      <w:r>
        <w:rPr>
          <w:rFonts w:ascii="Arial" w:cs="Arial" w:eastAsia="Arial" w:hAnsi="Arial"/>
          <w:sz w:val="8"/>
          <w:szCs w:val="8"/>
          <w:color w:val="424242"/>
        </w:rPr>
        <w:t>Equity method earnings (loss) from BRSP and the operating results of the portfolio companies previously consolidated in the Operating segment, which qualified as discontinued operations in March 2023 and December 2023, respectively, are included in DE of discontinued operations.</w:t>
      </w:r>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13</w:t>
            </w:r>
          </w:p>
        </w:tc>
      </w:tr>
    </w:tbl>
    <w:p>
      <w:pPr>
        <w:sectPr>
          <w:pgSz w:w="11900" w:h="16838" w:orient="portrait"/>
          <w:cols w:equalWidth="0" w:num="1">
            <w:col w:w="11308"/>
          </w:cols>
          <w:pgMar w:left="292" w:top="130" w:right="299" w:bottom="1440" w:gutter="0" w:footer="0" w:header="0"/>
        </w:sectPr>
      </w:pPr>
    </w:p>
    <w:bookmarkStart w:id="53" w:name="page54"/>
    <w:bookmarkEnd w:id="53"/>
    <w:p>
      <w:pPr>
        <w:ind w:right="900"/>
        <w:spacing w:after="0" w:line="241" w:lineRule="auto"/>
        <w:rPr>
          <w:sz w:val="20"/>
          <w:szCs w:val="20"/>
          <w:color w:val="auto"/>
        </w:rPr>
      </w:pPr>
      <w:r>
        <w:rPr>
          <w:rFonts w:ascii="Arial" w:cs="Arial" w:eastAsia="Arial" w:hAnsi="Arial"/>
          <w:sz w:val="29"/>
          <w:szCs w:val="29"/>
          <w:color w:val="auto"/>
        </w:rPr>
        <w:t>IId. Financial Results - Segment Reconciliation of Net Income to DE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78040"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OP pro rata share by segment</w:t>
            </w:r>
          </w:p>
        </w:tc>
        <w:tc>
          <w:tcPr>
            <w:tcW w:w="1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24"/>
        </w:trPr>
        <w:tc>
          <w:tcPr>
            <w:tcW w:w="6080" w:type="dxa"/>
            <w:vAlign w:val="bottom"/>
          </w:tcPr>
          <w:p>
            <w:pPr>
              <w:spacing w:after="0"/>
              <w:rPr>
                <w:sz w:val="20"/>
                <w:szCs w:val="20"/>
                <w:color w:val="auto"/>
              </w:rPr>
            </w:pPr>
            <w:r>
              <w:rPr>
                <w:rFonts w:ascii="Arial" w:cs="Arial" w:eastAsia="Arial" w:hAnsi="Arial"/>
                <w:sz w:val="10"/>
                <w:szCs w:val="10"/>
                <w:i w:val="1"/>
                <w:iCs w:val="1"/>
                <w:color w:val="auto"/>
              </w:rPr>
              <w:t>($ in thousands; for the three months ended December 31, 2023; and unaudited)</w:t>
            </w:r>
          </w:p>
        </w:tc>
        <w:tc>
          <w:tcPr>
            <w:tcW w:w="160" w:type="dxa"/>
            <w:vAlign w:val="bottom"/>
          </w:tcPr>
          <w:p>
            <w:pPr>
              <w:spacing w:after="0"/>
              <w:rPr>
                <w:sz w:val="10"/>
                <w:szCs w:val="10"/>
                <w:color w:val="auto"/>
              </w:rPr>
            </w:pPr>
          </w:p>
        </w:tc>
        <w:tc>
          <w:tcPr>
            <w:tcW w:w="1580" w:type="dxa"/>
            <w:vAlign w:val="bottom"/>
            <w:gridSpan w:val="2"/>
          </w:tcPr>
          <w:p>
            <w:pPr>
              <w:ind w:left="100"/>
              <w:spacing w:after="0"/>
              <w:rPr>
                <w:sz w:val="20"/>
                <w:szCs w:val="20"/>
                <w:color w:val="auto"/>
              </w:rPr>
            </w:pPr>
            <w:r>
              <w:rPr>
                <w:rFonts w:ascii="Arial" w:cs="Arial" w:eastAsia="Arial" w:hAnsi="Arial"/>
                <w:sz w:val="10"/>
                <w:szCs w:val="10"/>
                <w:b w:val="1"/>
                <w:bCs w:val="1"/>
                <w:color w:val="auto"/>
              </w:rPr>
              <w:t>Investment Management</w:t>
            </w:r>
          </w:p>
        </w:tc>
        <w:tc>
          <w:tcPr>
            <w:tcW w:w="100" w:type="dxa"/>
            <w:vAlign w:val="bottom"/>
          </w:tcPr>
          <w:p>
            <w:pPr>
              <w:spacing w:after="0"/>
              <w:rPr>
                <w:sz w:val="10"/>
                <w:szCs w:val="10"/>
                <w:color w:val="auto"/>
              </w:rPr>
            </w:pPr>
          </w:p>
        </w:tc>
        <w:tc>
          <w:tcPr>
            <w:tcW w:w="1620" w:type="dxa"/>
            <w:vAlign w:val="bottom"/>
            <w:gridSpan w:val="2"/>
          </w:tcPr>
          <w:p>
            <w:pPr>
              <w:ind w:left="20"/>
              <w:spacing w:after="0"/>
              <w:rPr>
                <w:sz w:val="20"/>
                <w:szCs w:val="20"/>
                <w:color w:val="auto"/>
              </w:rPr>
            </w:pPr>
            <w:r>
              <w:rPr>
                <w:rFonts w:ascii="Arial" w:cs="Arial" w:eastAsia="Arial" w:hAnsi="Arial"/>
                <w:sz w:val="10"/>
                <w:szCs w:val="10"/>
                <w:b w:val="1"/>
                <w:bCs w:val="1"/>
                <w:color w:val="auto"/>
              </w:rPr>
              <w:t>Non-IM Segment Adjustments</w:t>
            </w:r>
          </w:p>
        </w:tc>
        <w:tc>
          <w:tcPr>
            <w:tcW w:w="180" w:type="dxa"/>
            <w:vAlign w:val="bottom"/>
          </w:tcPr>
          <w:p>
            <w:pPr>
              <w:spacing w:after="0"/>
              <w:rPr>
                <w:sz w:val="10"/>
                <w:szCs w:val="10"/>
                <w:color w:val="auto"/>
              </w:rPr>
            </w:pPr>
          </w:p>
        </w:tc>
        <w:tc>
          <w:tcPr>
            <w:tcW w:w="1500" w:type="dxa"/>
            <w:vAlign w:val="bottom"/>
          </w:tcPr>
          <w:p>
            <w:pPr>
              <w:jc w:val="right"/>
              <w:ind w:right="246"/>
              <w:spacing w:after="0"/>
              <w:rPr>
                <w:sz w:val="20"/>
                <w:szCs w:val="20"/>
                <w:color w:val="auto"/>
              </w:rPr>
            </w:pPr>
            <w:r>
              <w:rPr>
                <w:rFonts w:ascii="Arial" w:cs="Arial" w:eastAsia="Arial" w:hAnsi="Arial"/>
                <w:sz w:val="10"/>
                <w:szCs w:val="10"/>
                <w:b w:val="1"/>
                <w:bCs w:val="1"/>
                <w:color w:val="auto"/>
              </w:rPr>
              <w:t>Total OP pro rata share</w:t>
            </w:r>
          </w:p>
        </w:tc>
        <w:tc>
          <w:tcPr>
            <w:tcW w:w="40" w:type="dxa"/>
            <w:vAlign w:val="bottom"/>
          </w:tcPr>
          <w:p>
            <w:pPr>
              <w:spacing w:after="0"/>
              <w:rPr>
                <w:sz w:val="10"/>
                <w:szCs w:val="10"/>
                <w:color w:val="auto"/>
              </w:rPr>
            </w:pPr>
          </w:p>
        </w:tc>
      </w:tr>
      <w:tr>
        <w:trPr>
          <w:trHeight w:val="133"/>
        </w:trPr>
        <w:tc>
          <w:tcPr>
            <w:tcW w:w="608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160" w:type="dxa"/>
            <w:vAlign w:val="bottom"/>
            <w:tcBorders>
              <w:top w:val="single" w:sz="8" w:color="auto"/>
            </w:tcBorders>
            <w:shd w:val="clear" w:color="auto" w:fill="DBDBDB"/>
          </w:tcPr>
          <w:p>
            <w:pPr>
              <w:jc w:val="right"/>
              <w:ind w:right="26"/>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39,085</w:t>
            </w:r>
          </w:p>
        </w:tc>
        <w:tc>
          <w:tcPr>
            <w:tcW w:w="6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(21,154)</w:t>
            </w:r>
          </w:p>
        </w:tc>
        <w:tc>
          <w:tcPr>
            <w:tcW w:w="60" w:type="dxa"/>
            <w:vAlign w:val="bottom"/>
            <w:tcBorders>
              <w:top w:val="single" w:sz="8" w:color="DBDBDB"/>
            </w:tcBorders>
            <w:shd w:val="clear" w:color="auto" w:fill="DBDBDB"/>
          </w:tcPr>
          <w:p>
            <w:pPr>
              <w:spacing w:after="0"/>
              <w:rPr>
                <w:sz w:val="11"/>
                <w:szCs w:val="11"/>
                <w:color w:val="auto"/>
              </w:rPr>
            </w:pPr>
          </w:p>
        </w:tc>
        <w:tc>
          <w:tcPr>
            <w:tcW w:w="180" w:type="dxa"/>
            <w:vAlign w:val="bottom"/>
            <w:tcBorders>
              <w:top w:val="single" w:sz="8" w:color="auto"/>
            </w:tcBorders>
            <w:shd w:val="clear" w:color="auto" w:fill="DBDBDB"/>
          </w:tcPr>
          <w:p>
            <w:pPr>
              <w:jc w:val="right"/>
              <w:ind w:right="46"/>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17,931</w:t>
            </w:r>
          </w:p>
        </w:tc>
        <w:tc>
          <w:tcPr>
            <w:tcW w:w="40" w:type="dxa"/>
            <w:vAlign w:val="bottom"/>
            <w:tcBorders>
              <w:top w:val="single" w:sz="8" w:color="DBDBDB"/>
            </w:tcBorders>
            <w:shd w:val="clear" w:color="auto" w:fill="DBDBDB"/>
          </w:tcPr>
          <w:p>
            <w:pPr>
              <w:spacing w:after="0"/>
              <w:rPr>
                <w:sz w:val="11"/>
                <w:szCs w:val="11"/>
                <w:color w:val="auto"/>
              </w:rPr>
            </w:pPr>
          </w:p>
        </w:tc>
      </w:tr>
      <w:tr>
        <w:trPr>
          <w:trHeight w:val="143"/>
        </w:trPr>
        <w:tc>
          <w:tcPr>
            <w:tcW w:w="6080" w:type="dxa"/>
            <w:vAlign w:val="bottom"/>
          </w:tcPr>
          <w:p>
            <w:pPr>
              <w:ind w:left="120"/>
              <w:spacing w:after="0"/>
              <w:rPr>
                <w:sz w:val="20"/>
                <w:szCs w:val="20"/>
                <w:color w:val="auto"/>
              </w:rPr>
            </w:pPr>
            <w:r>
              <w:rPr>
                <w:rFonts w:ascii="Arial" w:cs="Arial" w:eastAsia="Arial" w:hAnsi="Arial"/>
                <w:sz w:val="11"/>
                <w:szCs w:val="11"/>
                <w:color w:val="auto"/>
              </w:rPr>
              <w:t>Interest expense included in DE</w:t>
            </w:r>
          </w:p>
        </w:tc>
        <w:tc>
          <w:tcPr>
            <w:tcW w:w="1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2,275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2,249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Arial" w:cs="Arial" w:eastAsia="Arial" w:hAnsi="Arial"/>
                <w:sz w:val="11"/>
                <w:szCs w:val="11"/>
                <w:color w:val="auto"/>
              </w:rPr>
              <w:t>4,524</w:t>
            </w:r>
          </w:p>
        </w:tc>
        <w:tc>
          <w:tcPr>
            <w:tcW w:w="40" w:type="dxa"/>
            <w:vAlign w:val="bottom"/>
          </w:tcPr>
          <w:p>
            <w:pPr>
              <w:spacing w:after="0"/>
              <w:rPr>
                <w:sz w:val="12"/>
                <w:szCs w:val="12"/>
                <w:color w:val="auto"/>
              </w:rPr>
            </w:pPr>
          </w:p>
        </w:tc>
      </w:tr>
      <w:tr>
        <w:trPr>
          <w:trHeight w:val="145"/>
        </w:trPr>
        <w:tc>
          <w:tcPr>
            <w:tcW w:w="60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Income tax expense (benefit) included in DE</w:t>
            </w:r>
          </w:p>
        </w:tc>
        <w:tc>
          <w:tcPr>
            <w:tcW w:w="160" w:type="dxa"/>
            <w:vAlign w:val="bottom"/>
            <w:shd w:val="clear" w:color="auto" w:fill="DBDBDB"/>
          </w:tcPr>
          <w:p>
            <w:pPr>
              <w:spacing w:after="0"/>
              <w:rPr>
                <w:sz w:val="12"/>
                <w:szCs w:val="1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(864)</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(3,057)</w:t>
            </w:r>
          </w:p>
        </w:tc>
        <w:tc>
          <w:tcPr>
            <w:tcW w:w="6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(3,921)</w:t>
            </w:r>
          </w:p>
        </w:tc>
        <w:tc>
          <w:tcPr>
            <w:tcW w:w="40" w:type="dxa"/>
            <w:vAlign w:val="bottom"/>
            <w:shd w:val="clear" w:color="auto" w:fill="DBDBDB"/>
          </w:tcPr>
          <w:p>
            <w:pPr>
              <w:spacing w:after="0"/>
              <w:rPr>
                <w:sz w:val="12"/>
                <w:szCs w:val="12"/>
                <w:color w:val="auto"/>
              </w:rPr>
            </w:pPr>
          </w:p>
        </w:tc>
      </w:tr>
      <w:tr>
        <w:trPr>
          <w:trHeight w:val="143"/>
        </w:trPr>
        <w:tc>
          <w:tcPr>
            <w:tcW w:w="6080" w:type="dxa"/>
            <w:vAlign w:val="bottom"/>
          </w:tcPr>
          <w:p>
            <w:pPr>
              <w:ind w:left="120"/>
              <w:spacing w:after="0"/>
              <w:rPr>
                <w:sz w:val="20"/>
                <w:szCs w:val="20"/>
                <w:color w:val="auto"/>
              </w:rPr>
            </w:pPr>
            <w:r>
              <w:rPr>
                <w:rFonts w:ascii="Arial" w:cs="Arial" w:eastAsia="Arial" w:hAnsi="Arial"/>
                <w:sz w:val="11"/>
                <w:szCs w:val="11"/>
                <w:color w:val="auto"/>
              </w:rPr>
              <w:t>Preferred dividends</w:t>
            </w:r>
          </w:p>
        </w:tc>
        <w:tc>
          <w:tcPr>
            <w:tcW w:w="160" w:type="dxa"/>
            <w:vAlign w:val="bottom"/>
          </w:tcPr>
          <w:p>
            <w:pPr>
              <w:spacing w:after="0"/>
              <w:rPr>
                <w:sz w:val="12"/>
                <w:szCs w:val="12"/>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14,660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Arial" w:cs="Arial" w:eastAsia="Arial" w:hAnsi="Arial"/>
                <w:sz w:val="11"/>
                <w:szCs w:val="11"/>
                <w:color w:val="auto"/>
              </w:rPr>
              <w:t>14,660</w:t>
            </w:r>
          </w:p>
        </w:tc>
        <w:tc>
          <w:tcPr>
            <w:tcW w:w="40" w:type="dxa"/>
            <w:vAlign w:val="bottom"/>
          </w:tcPr>
          <w:p>
            <w:pPr>
              <w:spacing w:after="0"/>
              <w:rPr>
                <w:sz w:val="12"/>
                <w:szCs w:val="12"/>
                <w:color w:val="auto"/>
              </w:rPr>
            </w:pPr>
          </w:p>
        </w:tc>
      </w:tr>
      <w:tr>
        <w:trPr>
          <w:trHeight w:val="145"/>
        </w:trPr>
        <w:tc>
          <w:tcPr>
            <w:tcW w:w="60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Placement fee expense</w:t>
            </w:r>
          </w:p>
        </w:tc>
        <w:tc>
          <w:tcPr>
            <w:tcW w:w="160" w:type="dxa"/>
            <w:vAlign w:val="bottom"/>
            <w:shd w:val="clear" w:color="auto" w:fill="DBDBDB"/>
          </w:tcPr>
          <w:p>
            <w:pPr>
              <w:spacing w:after="0"/>
              <w:rPr>
                <w:sz w:val="12"/>
                <w:szCs w:val="1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62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15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w:t>
            </w:r>
          </w:p>
        </w:tc>
        <w:tc>
          <w:tcPr>
            <w:tcW w:w="40" w:type="dxa"/>
            <w:vAlign w:val="bottom"/>
            <w:shd w:val="clear" w:color="auto" w:fill="DBDBDB"/>
          </w:tcPr>
          <w:p>
            <w:pPr>
              <w:spacing w:after="0"/>
              <w:rPr>
                <w:sz w:val="12"/>
                <w:szCs w:val="12"/>
                <w:color w:val="auto"/>
              </w:rPr>
            </w:pPr>
          </w:p>
        </w:tc>
      </w:tr>
      <w:tr>
        <w:trPr>
          <w:trHeight w:val="143"/>
        </w:trPr>
        <w:tc>
          <w:tcPr>
            <w:tcW w:w="6080" w:type="dxa"/>
            <w:vAlign w:val="bottom"/>
          </w:tcPr>
          <w:p>
            <w:pPr>
              <w:ind w:left="120"/>
              <w:spacing w:after="0"/>
              <w:rPr>
                <w:sz w:val="20"/>
                <w:szCs w:val="20"/>
                <w:color w:val="auto"/>
              </w:rPr>
            </w:pPr>
            <w:r>
              <w:rPr>
                <w:rFonts w:ascii="Arial" w:cs="Arial" w:eastAsia="Arial" w:hAnsi="Arial"/>
                <w:sz w:val="11"/>
                <w:szCs w:val="11"/>
                <w:color w:val="auto"/>
              </w:rPr>
              <w:t>Realized carried interest allocation, net of associated compensation expense allocation</w:t>
            </w:r>
          </w:p>
        </w:tc>
        <w:tc>
          <w:tcPr>
            <w:tcW w:w="1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(606)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(606)</w:t>
            </w:r>
          </w:p>
        </w:tc>
        <w:tc>
          <w:tcPr>
            <w:tcW w:w="40" w:type="dxa"/>
            <w:vAlign w:val="bottom"/>
          </w:tcPr>
          <w:p>
            <w:pPr>
              <w:spacing w:after="0"/>
              <w:rPr>
                <w:sz w:val="12"/>
                <w:szCs w:val="12"/>
                <w:color w:val="auto"/>
              </w:rPr>
            </w:pPr>
          </w:p>
        </w:tc>
      </w:tr>
      <w:tr>
        <w:trPr>
          <w:trHeight w:val="145"/>
        </w:trPr>
        <w:tc>
          <w:tcPr>
            <w:tcW w:w="6080" w:type="dxa"/>
            <w:vAlign w:val="bottom"/>
            <w:shd w:val="clear" w:color="auto" w:fill="DBDBDB"/>
          </w:tcPr>
          <w:p>
            <w:pPr>
              <w:ind w:left="120"/>
              <w:spacing w:after="0"/>
              <w:rPr>
                <w:sz w:val="20"/>
                <w:szCs w:val="20"/>
                <w:color w:val="auto"/>
              </w:rPr>
            </w:pPr>
            <w:r>
              <w:rPr>
                <w:rFonts w:ascii="Arial" w:cs="Arial" w:eastAsia="Arial" w:hAnsi="Arial"/>
                <w:sz w:val="11"/>
                <w:szCs w:val="11"/>
                <w:color w:val="auto"/>
              </w:rPr>
              <w:t>IM segment other income and investment-related expense, net, included in DE</w:t>
            </w:r>
          </w:p>
        </w:tc>
        <w:tc>
          <w:tcPr>
            <w:tcW w:w="160" w:type="dxa"/>
            <w:vAlign w:val="bottom"/>
            <w:shd w:val="clear" w:color="auto" w:fill="DBDBDB"/>
          </w:tcPr>
          <w:p>
            <w:pPr>
              <w:spacing w:after="0"/>
              <w:rPr>
                <w:sz w:val="12"/>
                <w:szCs w:val="12"/>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(633)</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62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(633)</w:t>
            </w:r>
          </w:p>
        </w:tc>
        <w:tc>
          <w:tcPr>
            <w:tcW w:w="40" w:type="dxa"/>
            <w:vAlign w:val="bottom"/>
            <w:shd w:val="clear" w:color="auto" w:fill="DBDBDB"/>
          </w:tcPr>
          <w:p>
            <w:pPr>
              <w:spacing w:after="0"/>
              <w:rPr>
                <w:sz w:val="12"/>
                <w:szCs w:val="12"/>
                <w:color w:val="auto"/>
              </w:rPr>
            </w:pPr>
          </w:p>
        </w:tc>
      </w:tr>
      <w:tr>
        <w:trPr>
          <w:trHeight w:val="137"/>
        </w:trPr>
        <w:tc>
          <w:tcPr>
            <w:tcW w:w="6080" w:type="dxa"/>
            <w:vAlign w:val="bottom"/>
          </w:tcPr>
          <w:p>
            <w:pPr>
              <w:spacing w:after="0"/>
              <w:rPr>
                <w:sz w:val="20"/>
                <w:szCs w:val="20"/>
                <w:color w:val="auto"/>
              </w:rPr>
            </w:pPr>
            <w:r>
              <w:rPr>
                <w:rFonts w:ascii="Arial" w:cs="Arial" w:eastAsia="Arial" w:hAnsi="Arial"/>
                <w:sz w:val="11"/>
                <w:szCs w:val="11"/>
                <w:b w:val="1"/>
                <w:bCs w:val="1"/>
                <w:color w:val="auto"/>
              </w:rPr>
              <w:t>Adjusted EBITDA</w:t>
            </w: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39,287</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(7,302)</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1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31,985</w:t>
            </w:r>
          </w:p>
        </w:tc>
        <w:tc>
          <w:tcPr>
            <w:tcW w:w="4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14</w:t>
            </w:r>
          </w:p>
        </w:tc>
      </w:tr>
    </w:tbl>
    <w:p>
      <w:pPr>
        <w:sectPr>
          <w:pgSz w:w="11900" w:h="16838" w:orient="portrait"/>
          <w:cols w:equalWidth="0" w:num="1">
            <w:col w:w="11300"/>
          </w:cols>
          <w:pgMar w:left="300" w:top="130" w:right="299" w:bottom="1440" w:gutter="0" w:footer="0" w:header="0"/>
        </w:sectPr>
      </w:pPr>
    </w:p>
    <w:bookmarkStart w:id="54" w:name="page55"/>
    <w:bookmarkEnd w:id="5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368"/>
        </w:trPr>
        <w:tc>
          <w:tcPr>
            <w:tcW w:w="7520" w:type="dxa"/>
            <w:vAlign w:val="bottom"/>
            <w:tcBorders>
              <w:bottom w:val="single" w:sz="8" w:color="406CAA"/>
            </w:tcBorders>
            <w:gridSpan w:val="24"/>
          </w:tcPr>
          <w:p>
            <w:pPr>
              <w:spacing w:after="0"/>
              <w:rPr>
                <w:sz w:val="20"/>
                <w:szCs w:val="20"/>
                <w:color w:val="auto"/>
              </w:rPr>
            </w:pPr>
            <w:r>
              <w:rPr>
                <w:rFonts w:ascii="Arial" w:cs="Arial" w:eastAsia="Arial" w:hAnsi="Arial"/>
                <w:sz w:val="29"/>
                <w:szCs w:val="29"/>
                <w:color w:val="auto"/>
              </w:rPr>
              <w:t>IIIa. Capitalization - Debt and Preferred Stock Summary</w:t>
            </w:r>
          </w:p>
        </w:tc>
        <w:tc>
          <w:tcPr>
            <w:tcW w:w="180" w:type="dxa"/>
            <w:vAlign w:val="bottom"/>
            <w:tcBorders>
              <w:bottom w:val="single" w:sz="8" w:color="406CAA"/>
            </w:tcBorders>
          </w:tcPr>
          <w:p>
            <w:pPr>
              <w:spacing w:after="0"/>
              <w:rPr>
                <w:sz w:val="24"/>
                <w:szCs w:val="24"/>
                <w:color w:val="auto"/>
              </w:rPr>
            </w:pPr>
          </w:p>
        </w:tc>
        <w:tc>
          <w:tcPr>
            <w:tcW w:w="80" w:type="dxa"/>
            <w:vAlign w:val="bottom"/>
            <w:tcBorders>
              <w:bottom w:val="single" w:sz="8" w:color="406CAA"/>
            </w:tcBorders>
          </w:tcPr>
          <w:p>
            <w:pPr>
              <w:spacing w:after="0"/>
              <w:rPr>
                <w:sz w:val="24"/>
                <w:szCs w:val="24"/>
                <w:color w:val="auto"/>
              </w:rPr>
            </w:pPr>
          </w:p>
        </w:tc>
        <w:tc>
          <w:tcPr>
            <w:tcW w:w="120" w:type="dxa"/>
            <w:vAlign w:val="bottom"/>
            <w:tcBorders>
              <w:bottom w:val="single" w:sz="8" w:color="406CAA"/>
            </w:tcBorders>
          </w:tcPr>
          <w:p>
            <w:pPr>
              <w:spacing w:after="0"/>
              <w:rPr>
                <w:sz w:val="24"/>
                <w:szCs w:val="24"/>
                <w:color w:val="auto"/>
              </w:rPr>
            </w:pPr>
          </w:p>
        </w:tc>
        <w:tc>
          <w:tcPr>
            <w:tcW w:w="600" w:type="dxa"/>
            <w:vAlign w:val="bottom"/>
            <w:tcBorders>
              <w:bottom w:val="single" w:sz="8" w:color="406CAA"/>
            </w:tcBorders>
          </w:tcPr>
          <w:p>
            <w:pPr>
              <w:spacing w:after="0"/>
              <w:rPr>
                <w:sz w:val="24"/>
                <w:szCs w:val="24"/>
                <w:color w:val="auto"/>
              </w:rPr>
            </w:pPr>
          </w:p>
        </w:tc>
        <w:tc>
          <w:tcPr>
            <w:tcW w:w="520" w:type="dxa"/>
            <w:vAlign w:val="bottom"/>
            <w:tcBorders>
              <w:bottom w:val="single" w:sz="8" w:color="406CAA"/>
            </w:tcBorders>
          </w:tcPr>
          <w:p>
            <w:pPr>
              <w:spacing w:after="0"/>
              <w:rPr>
                <w:sz w:val="24"/>
                <w:szCs w:val="24"/>
                <w:color w:val="auto"/>
              </w:rPr>
            </w:pPr>
          </w:p>
        </w:tc>
        <w:tc>
          <w:tcPr>
            <w:tcW w:w="80" w:type="dxa"/>
            <w:vAlign w:val="bottom"/>
            <w:tcBorders>
              <w:bottom w:val="single" w:sz="8" w:color="406CAA"/>
            </w:tcBorders>
          </w:tcPr>
          <w:p>
            <w:pPr>
              <w:spacing w:after="0"/>
              <w:rPr>
                <w:sz w:val="24"/>
                <w:szCs w:val="24"/>
                <w:color w:val="auto"/>
              </w:rPr>
            </w:pPr>
          </w:p>
        </w:tc>
        <w:tc>
          <w:tcPr>
            <w:tcW w:w="920" w:type="dxa"/>
            <w:vAlign w:val="bottom"/>
            <w:tcBorders>
              <w:bottom w:val="single" w:sz="8" w:color="406CAA"/>
            </w:tcBorders>
          </w:tcPr>
          <w:p>
            <w:pPr>
              <w:spacing w:after="0"/>
              <w:rPr>
                <w:sz w:val="24"/>
                <w:szCs w:val="24"/>
                <w:color w:val="auto"/>
              </w:rPr>
            </w:pPr>
          </w:p>
        </w:tc>
        <w:tc>
          <w:tcPr>
            <w:tcW w:w="80" w:type="dxa"/>
            <w:vAlign w:val="bottom"/>
            <w:tcBorders>
              <w:bottom w:val="single" w:sz="8" w:color="406CAA"/>
            </w:tcBorders>
          </w:tcPr>
          <w:p>
            <w:pPr>
              <w:spacing w:after="0"/>
              <w:rPr>
                <w:sz w:val="24"/>
                <w:szCs w:val="24"/>
                <w:color w:val="auto"/>
              </w:rPr>
            </w:pPr>
          </w:p>
        </w:tc>
        <w:tc>
          <w:tcPr>
            <w:tcW w:w="940" w:type="dxa"/>
            <w:vAlign w:val="bottom"/>
            <w:tcBorders>
              <w:bottom w:val="single" w:sz="8" w:color="406CAA"/>
            </w:tcBorders>
          </w:tcPr>
          <w:p>
            <w:pPr>
              <w:spacing w:after="0"/>
              <w:rPr>
                <w:sz w:val="24"/>
                <w:szCs w:val="24"/>
                <w:color w:val="auto"/>
              </w:rPr>
            </w:pPr>
          </w:p>
        </w:tc>
        <w:tc>
          <w:tcPr>
            <w:tcW w:w="260" w:type="dxa"/>
            <w:vAlign w:val="bottom"/>
            <w:tcBorders>
              <w:bottom w:val="single" w:sz="8" w:color="406CAA"/>
            </w:tcBorders>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3100" w:type="dxa"/>
            <w:vAlign w:val="bottom"/>
            <w:gridSpan w:val="5"/>
          </w:tcPr>
          <w:p>
            <w:pPr>
              <w:spacing w:after="0"/>
              <w:rPr>
                <w:sz w:val="20"/>
                <w:szCs w:val="20"/>
                <w:color w:val="auto"/>
              </w:rPr>
            </w:pPr>
            <w:r>
              <w:rPr>
                <w:rFonts w:ascii="Arial" w:cs="Arial" w:eastAsia="Arial" w:hAnsi="Arial"/>
                <w:sz w:val="10"/>
                <w:szCs w:val="10"/>
                <w:i w:val="1"/>
                <w:iCs w:val="1"/>
                <w:color w:val="auto"/>
              </w:rPr>
              <w:t>($ in thousands, except per share data; as of December 31, 2023)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line="121" w:lineRule="exact"/>
              <w:rPr>
                <w:sz w:val="20"/>
                <w:szCs w:val="20"/>
                <w:color w:val="auto"/>
              </w:rPr>
            </w:pPr>
            <w:r>
              <w:rPr>
                <w:rFonts w:ascii="Arial" w:cs="Arial" w:eastAsia="Arial" w:hAnsi="Arial"/>
                <w:sz w:val="12"/>
                <w:szCs w:val="12"/>
                <w:b w:val="1"/>
                <w:bCs w:val="1"/>
                <w:i w:val="1"/>
                <w:iCs w:val="1"/>
                <w:color w:val="003366"/>
              </w:rPr>
              <w:t>Consolidated &amp; DBRG OP share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gridSpan w:val="3"/>
            <w:vMerge w:val="restart"/>
          </w:tcPr>
          <w:p>
            <w:pPr>
              <w:jc w:val="center"/>
              <w:ind w:right="49"/>
              <w:spacing w:after="0"/>
              <w:rPr>
                <w:sz w:val="20"/>
                <w:szCs w:val="20"/>
                <w:color w:val="auto"/>
              </w:rPr>
            </w:pPr>
            <w:r>
              <w:rPr>
                <w:rFonts w:ascii="Arial" w:cs="Arial" w:eastAsia="Arial" w:hAnsi="Arial"/>
                <w:sz w:val="10"/>
                <w:szCs w:val="10"/>
                <w:b w:val="1"/>
                <w:bCs w:val="1"/>
                <w:color w:val="auto"/>
                <w:w w:val="95"/>
              </w:rPr>
              <w:t>WA</w:t>
            </w: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0"/>
                <w:szCs w:val="10"/>
                <w:b w:val="1"/>
                <w:bCs w:val="1"/>
                <w:color w:val="auto"/>
                <w:w w:val="95"/>
              </w:rPr>
              <w:t>WA</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4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debt</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6"/>
                <w:szCs w:val="6"/>
                <w:b w:val="1"/>
                <w:bCs w:val="1"/>
                <w:color w:val="auto"/>
              </w:rPr>
              <w:t>(1)</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240" w:type="dxa"/>
            <w:vAlign w:val="bottom"/>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gridSpan w:val="6"/>
          </w:tcPr>
          <w:p>
            <w:pPr>
              <w:jc w:val="right"/>
              <w:ind w:right="120"/>
              <w:spacing w:after="0" w:line="52" w:lineRule="exact"/>
              <w:rPr>
                <w:sz w:val="20"/>
                <w:szCs w:val="20"/>
                <w:color w:val="auto"/>
              </w:rPr>
            </w:pPr>
            <w:r>
              <w:rPr>
                <w:rFonts w:ascii="Arial" w:cs="Arial" w:eastAsia="Arial" w:hAnsi="Arial"/>
                <w:sz w:val="6"/>
                <w:szCs w:val="6"/>
                <w:b w:val="1"/>
                <w:bCs w:val="1"/>
                <w:color w:val="auto"/>
              </w:rPr>
              <w:t>Payments due by period</w:t>
            </w: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4"/>
          </w:tcPr>
          <w:p>
            <w:pPr>
              <w:jc w:val="center"/>
              <w:ind w:left="568"/>
              <w:spacing w:after="0" w:line="61" w:lineRule="exact"/>
              <w:rPr>
                <w:sz w:val="20"/>
                <w:szCs w:val="20"/>
                <w:color w:val="auto"/>
              </w:rPr>
            </w:pPr>
            <w:r>
              <w:rPr>
                <w:rFonts w:ascii="Arial" w:cs="Arial" w:eastAsia="Arial" w:hAnsi="Arial"/>
                <w:sz w:val="7"/>
                <w:szCs w:val="7"/>
                <w:b w:val="1"/>
                <w:bCs w:val="1"/>
                <w:color w:val="auto"/>
              </w:rPr>
              <w:t>Interest</w:t>
            </w:r>
          </w:p>
        </w:tc>
        <w:tc>
          <w:tcPr>
            <w:tcW w:w="1120" w:type="dxa"/>
            <w:vAlign w:val="bottom"/>
            <w:gridSpan w:val="2"/>
          </w:tcPr>
          <w:p>
            <w:pPr>
              <w:jc w:val="center"/>
              <w:ind w:right="420"/>
              <w:spacing w:after="0" w:line="61" w:lineRule="exact"/>
              <w:rPr>
                <w:sz w:val="20"/>
                <w:szCs w:val="20"/>
                <w:color w:val="auto"/>
              </w:rPr>
            </w:pPr>
            <w:r>
              <w:rPr>
                <w:rFonts w:ascii="Arial" w:cs="Arial" w:eastAsia="Arial" w:hAnsi="Arial"/>
                <w:sz w:val="7"/>
                <w:szCs w:val="7"/>
                <w:b w:val="1"/>
                <w:bCs w:val="1"/>
                <w:color w:val="auto"/>
              </w:rPr>
              <w:t>Remaining</w:t>
            </w: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240" w:type="dxa"/>
            <w:vAlign w:val="bottom"/>
            <w:tcBorders>
              <w:bottom w:val="single" w:sz="8" w:color="DBDBDB"/>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DBDBDB"/>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w w:val="98"/>
              </w:rPr>
              <w:t>2025</w:t>
            </w:r>
          </w:p>
        </w:tc>
        <w:tc>
          <w:tcPr>
            <w:tcW w:w="100" w:type="dxa"/>
            <w:vAlign w:val="bottom"/>
            <w:tcBorders>
              <w:bottom w:val="single" w:sz="8" w:color="DBDBDB"/>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DBDBDB"/>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2027</w:t>
            </w:r>
          </w:p>
        </w:tc>
        <w:tc>
          <w:tcPr>
            <w:tcW w:w="80" w:type="dxa"/>
            <w:vAlign w:val="bottom"/>
            <w:tcBorders>
              <w:bottom w:val="single" w:sz="8" w:color="DBDBDB"/>
            </w:tcBorders>
          </w:tcPr>
          <w:p>
            <w:pPr>
              <w:spacing w:after="0"/>
              <w:rPr>
                <w:sz w:val="10"/>
                <w:szCs w:val="10"/>
                <w:color w:val="auto"/>
              </w:rPr>
            </w:pPr>
          </w:p>
        </w:tc>
        <w:tc>
          <w:tcPr>
            <w:tcW w:w="7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8"/>
              </w:rPr>
              <w:t>2028 and after</w:t>
            </w:r>
          </w:p>
        </w:tc>
        <w:tc>
          <w:tcPr>
            <w:tcW w:w="80" w:type="dxa"/>
            <w:vAlign w:val="bottom"/>
            <w:tcBorders>
              <w:bottom w:val="single" w:sz="8" w:color="DBDBDB"/>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Fixed/Variable</w:t>
            </w:r>
          </w:p>
        </w:tc>
        <w:tc>
          <w:tcPr>
            <w:tcW w:w="380" w:type="dxa"/>
            <w:vAlign w:val="bottom"/>
            <w:tcBorders>
              <w:bottom w:val="single" w:sz="8" w:color="auto"/>
            </w:tcBorders>
            <w:gridSpan w:val="3"/>
          </w:tcPr>
          <w:p>
            <w:pPr>
              <w:jc w:val="center"/>
              <w:ind w:right="69"/>
              <w:spacing w:after="0"/>
              <w:rPr>
                <w:sz w:val="20"/>
                <w:szCs w:val="20"/>
                <w:color w:val="auto"/>
              </w:rPr>
            </w:pPr>
            <w:r>
              <w:rPr>
                <w:rFonts w:ascii="Arial" w:cs="Arial" w:eastAsia="Arial" w:hAnsi="Arial"/>
                <w:sz w:val="10"/>
                <w:szCs w:val="10"/>
                <w:b w:val="1"/>
                <w:bCs w:val="1"/>
                <w:color w:val="auto"/>
              </w:rPr>
              <w:t>Rate</w:t>
            </w:r>
          </w:p>
        </w:tc>
        <w:tc>
          <w:tcPr>
            <w:tcW w:w="600" w:type="dxa"/>
            <w:vAlign w:val="bottom"/>
            <w:tcBorders>
              <w:bottom w:val="single" w:sz="8" w:color="auto"/>
            </w:tcBorders>
          </w:tcPr>
          <w:p>
            <w:pPr>
              <w:jc w:val="center"/>
              <w:ind w:left="29"/>
              <w:spacing w:after="0"/>
              <w:rPr>
                <w:sz w:val="20"/>
                <w:szCs w:val="20"/>
                <w:color w:val="auto"/>
              </w:rPr>
            </w:pPr>
            <w:r>
              <w:rPr>
                <w:rFonts w:ascii="Arial" w:cs="Arial" w:eastAsia="Arial" w:hAnsi="Arial"/>
                <w:sz w:val="10"/>
                <w:szCs w:val="10"/>
                <w:b w:val="1"/>
                <w:bCs w:val="1"/>
                <w:color w:val="auto"/>
                <w:w w:val="97"/>
              </w:rPr>
              <w:t>Term</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2021-1, A-1 Variable Funding Notes</w:t>
            </w:r>
          </w:p>
        </w:tc>
        <w:tc>
          <w:tcPr>
            <w:tcW w:w="120" w:type="dxa"/>
            <w:vAlign w:val="bottom"/>
            <w:shd w:val="clear" w:color="auto" w:fill="DBDBDB"/>
          </w:tcPr>
          <w:p>
            <w:pPr>
              <w:spacing w:after="0"/>
              <w:rPr>
                <w:sz w:val="11"/>
                <w:szCs w:val="11"/>
                <w:color w:val="auto"/>
              </w:rPr>
            </w:pPr>
          </w:p>
        </w:tc>
        <w:tc>
          <w:tcPr>
            <w:tcW w:w="740" w:type="dxa"/>
            <w:vAlign w:val="bottom"/>
            <w:gridSpan w:val="3"/>
            <w:shd w:val="clear" w:color="auto" w:fill="DBDBDB"/>
          </w:tcPr>
          <w:p>
            <w:pPr>
              <w:ind w:left="300"/>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58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2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80" w:type="dxa"/>
            <w:vAlign w:val="bottom"/>
            <w:gridSpan w:val="2"/>
            <w:shd w:val="clear" w:color="auto" w:fill="DBDBDB"/>
          </w:tcPr>
          <w:p>
            <w:pPr>
              <w:jc w:val="center"/>
              <w:ind w:left="128"/>
              <w:spacing w:after="0"/>
              <w:rPr>
                <w:sz w:val="20"/>
                <w:szCs w:val="20"/>
                <w:color w:val="auto"/>
              </w:rPr>
            </w:pPr>
            <w:r>
              <w:rPr>
                <w:rFonts w:ascii="Arial" w:cs="Arial" w:eastAsia="Arial" w:hAnsi="Arial"/>
                <w:sz w:val="11"/>
                <w:szCs w:val="11"/>
                <w:color w:val="auto"/>
              </w:rPr>
              <w:t>—</w:t>
            </w:r>
          </w:p>
        </w:tc>
        <w:tc>
          <w:tcPr>
            <w:tcW w:w="2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580" w:type="dxa"/>
            <w:vAlign w:val="bottom"/>
            <w:gridSpan w:val="3"/>
            <w:shd w:val="clear" w:color="auto" w:fill="DBDBDB"/>
          </w:tcPr>
          <w:p>
            <w:pPr>
              <w:ind w:left="16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DBDBDB"/>
            </w:tcBorders>
            <w:shd w:val="clear" w:color="auto" w:fill="DBDBDB"/>
          </w:tcPr>
          <w:p>
            <w:pPr>
              <w:spacing w:after="0"/>
              <w:rPr>
                <w:sz w:val="11"/>
                <w:szCs w:val="11"/>
                <w:color w:val="auto"/>
              </w:rPr>
            </w:pPr>
          </w:p>
        </w:tc>
        <w:tc>
          <w:tcPr>
            <w:tcW w:w="720" w:type="dxa"/>
            <w:vAlign w:val="bottom"/>
            <w:shd w:val="clear" w:color="auto" w:fill="DBDBDB"/>
          </w:tcPr>
          <w:p>
            <w:pPr>
              <w:jc w:val="center"/>
              <w:ind w:right="208"/>
              <w:spacing w:after="0"/>
              <w:rPr>
                <w:sz w:val="20"/>
                <w:szCs w:val="20"/>
                <w:color w:val="auto"/>
              </w:rPr>
            </w:pPr>
            <w:r>
              <w:rPr>
                <w:rFonts w:ascii="Arial" w:cs="Arial" w:eastAsia="Arial" w:hAnsi="Arial"/>
                <w:sz w:val="11"/>
                <w:szCs w:val="11"/>
                <w:color w:val="auto"/>
                <w:w w:val="94"/>
              </w:rPr>
              <w:t>Variable</w:t>
            </w:r>
          </w:p>
        </w:tc>
        <w:tc>
          <w:tcPr>
            <w:tcW w:w="380" w:type="dxa"/>
            <w:vAlign w:val="bottom"/>
            <w:gridSpan w:val="3"/>
            <w:shd w:val="clear" w:color="auto" w:fill="DBDBDB"/>
          </w:tcPr>
          <w:p>
            <w:pPr>
              <w:jc w:val="center"/>
              <w:ind w:right="69"/>
              <w:spacing w:after="0"/>
              <w:rPr>
                <w:sz w:val="20"/>
                <w:szCs w:val="20"/>
                <w:color w:val="auto"/>
              </w:rPr>
            </w:pPr>
            <w:r>
              <w:rPr>
                <w:rFonts w:ascii="Arial" w:cs="Arial" w:eastAsia="Arial" w:hAnsi="Arial"/>
                <w:sz w:val="11"/>
                <w:szCs w:val="11"/>
                <w:color w:val="auto"/>
                <w:w w:val="91"/>
              </w:rPr>
              <w:t>n/a</w:t>
            </w:r>
          </w:p>
        </w:tc>
        <w:tc>
          <w:tcPr>
            <w:tcW w:w="600" w:type="dxa"/>
            <w:vAlign w:val="bottom"/>
            <w:shd w:val="clear" w:color="auto" w:fill="DBDBDB"/>
          </w:tcPr>
          <w:p>
            <w:pPr>
              <w:jc w:val="center"/>
              <w:ind w:left="49"/>
              <w:spacing w:after="0"/>
              <w:rPr>
                <w:sz w:val="20"/>
                <w:szCs w:val="20"/>
                <w:color w:val="auto"/>
              </w:rPr>
            </w:pPr>
            <w:r>
              <w:rPr>
                <w:rFonts w:ascii="Arial" w:cs="Arial" w:eastAsia="Arial" w:hAnsi="Arial"/>
                <w:sz w:val="11"/>
                <w:szCs w:val="11"/>
                <w:color w:val="auto"/>
                <w:w w:val="91"/>
              </w:rPr>
              <w:t>2.7</w:t>
            </w:r>
          </w:p>
        </w:tc>
        <w:tc>
          <w:tcPr>
            <w:tcW w:w="520" w:type="dxa"/>
            <w:vAlign w:val="bottom"/>
            <w:tcBorders>
              <w:left w:val="single" w:sz="8" w:color="DBDBDB"/>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40" w:type="dxa"/>
            <w:vAlign w:val="bottom"/>
          </w:tcPr>
          <w:p>
            <w:pPr>
              <w:ind w:left="140"/>
              <w:spacing w:after="0"/>
              <w:rPr>
                <w:sz w:val="20"/>
                <w:szCs w:val="20"/>
                <w:color w:val="auto"/>
              </w:rPr>
            </w:pPr>
            <w:r>
              <w:rPr>
                <w:rFonts w:ascii="Arial" w:cs="Arial" w:eastAsia="Arial" w:hAnsi="Arial"/>
                <w:sz w:val="11"/>
                <w:szCs w:val="11"/>
                <w:color w:val="auto"/>
              </w:rPr>
              <w:t>2021-1, Class A-2 Term Notes</w:t>
            </w:r>
          </w:p>
        </w:tc>
        <w:tc>
          <w:tcPr>
            <w:tcW w:w="120" w:type="dxa"/>
            <w:vAlign w:val="bottom"/>
          </w:tcPr>
          <w:p>
            <w:pPr>
              <w:spacing w:after="0"/>
              <w:rPr>
                <w:sz w:val="12"/>
                <w:szCs w:val="12"/>
                <w:color w:val="auto"/>
              </w:rPr>
            </w:pPr>
          </w:p>
        </w:tc>
        <w:tc>
          <w:tcPr>
            <w:tcW w:w="740" w:type="dxa"/>
            <w:vAlign w:val="bottom"/>
            <w:gridSpan w:val="3"/>
          </w:tcPr>
          <w:p>
            <w:pPr>
              <w:ind w:left="30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0"/>
              <w:spacing w:after="0"/>
              <w:rPr>
                <w:sz w:val="20"/>
                <w:szCs w:val="20"/>
                <w:color w:val="auto"/>
              </w:rPr>
            </w:pPr>
            <w:r>
              <w:rPr>
                <w:rFonts w:ascii="Arial" w:cs="Arial" w:eastAsia="Arial" w:hAnsi="Arial"/>
                <w:sz w:val="11"/>
                <w:szCs w:val="11"/>
                <w:color w:val="auto"/>
              </w:rPr>
              <w:t>300,000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left="12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ind w:left="16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300,000</w:t>
            </w:r>
          </w:p>
        </w:tc>
        <w:tc>
          <w:tcPr>
            <w:tcW w:w="120" w:type="dxa"/>
            <w:vAlign w:val="bottom"/>
          </w:tcPr>
          <w:p>
            <w:pPr>
              <w:spacing w:after="0"/>
              <w:rPr>
                <w:sz w:val="12"/>
                <w:szCs w:val="12"/>
                <w:color w:val="auto"/>
              </w:rPr>
            </w:pPr>
          </w:p>
        </w:tc>
        <w:tc>
          <w:tcPr>
            <w:tcW w:w="720" w:type="dxa"/>
            <w:vAlign w:val="bottom"/>
          </w:tcPr>
          <w:p>
            <w:pPr>
              <w:jc w:val="center"/>
              <w:ind w:right="208"/>
              <w:spacing w:after="0"/>
              <w:rPr>
                <w:sz w:val="20"/>
                <w:szCs w:val="20"/>
                <w:color w:val="auto"/>
              </w:rPr>
            </w:pPr>
            <w:r>
              <w:rPr>
                <w:rFonts w:ascii="Arial" w:cs="Arial" w:eastAsia="Arial" w:hAnsi="Arial"/>
                <w:sz w:val="11"/>
                <w:szCs w:val="11"/>
                <w:color w:val="auto"/>
                <w:w w:val="96"/>
              </w:rPr>
              <w:t>Fixed</w:t>
            </w:r>
          </w:p>
        </w:tc>
        <w:tc>
          <w:tcPr>
            <w:tcW w:w="260" w:type="dxa"/>
            <w:vAlign w:val="bottom"/>
            <w:gridSpan w:val="2"/>
          </w:tcPr>
          <w:p>
            <w:pPr>
              <w:jc w:val="center"/>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2"/>
                <w:szCs w:val="12"/>
                <w:color w:val="auto"/>
              </w:rPr>
            </w:pPr>
          </w:p>
        </w:tc>
        <w:tc>
          <w:tcPr>
            <w:tcW w:w="600" w:type="dxa"/>
            <w:vAlign w:val="bottom"/>
          </w:tcPr>
          <w:p>
            <w:pPr>
              <w:jc w:val="center"/>
              <w:ind w:left="49"/>
              <w:spacing w:after="0"/>
              <w:rPr>
                <w:sz w:val="20"/>
                <w:szCs w:val="20"/>
                <w:color w:val="auto"/>
              </w:rPr>
            </w:pPr>
            <w:r>
              <w:rPr>
                <w:rFonts w:ascii="Arial" w:cs="Arial" w:eastAsia="Arial" w:hAnsi="Arial"/>
                <w:sz w:val="11"/>
                <w:szCs w:val="11"/>
                <w:color w:val="auto"/>
                <w:w w:val="91"/>
              </w:rPr>
              <w:t>2.7</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Convertible/exchangeable senior notes</w:t>
            </w:r>
          </w:p>
        </w:tc>
        <w:tc>
          <w:tcPr>
            <w:tcW w:w="12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ind w:right="7"/>
              <w:spacing w:after="0"/>
              <w:rPr>
                <w:sz w:val="20"/>
                <w:szCs w:val="20"/>
                <w:color w:val="auto"/>
              </w:rPr>
            </w:pPr>
            <w:r>
              <w:rPr>
                <w:rFonts w:ascii="Arial" w:cs="Arial" w:eastAsia="Arial" w:hAnsi="Arial"/>
                <w:sz w:val="11"/>
                <w:szCs w:val="11"/>
                <w:color w:val="auto"/>
              </w:rPr>
              <w:t>78,422</w:t>
            </w:r>
          </w:p>
        </w:tc>
        <w:tc>
          <w:tcPr>
            <w:tcW w:w="100" w:type="dxa"/>
            <w:vAlign w:val="bottom"/>
            <w:tcBorders>
              <w:right w:val="single" w:sz="8" w:color="DBDBDB"/>
            </w:tcBorders>
            <w:shd w:val="clear" w:color="auto" w:fill="DBDBDB"/>
          </w:tcPr>
          <w:p>
            <w:pPr>
              <w:spacing w:after="0"/>
              <w:rPr>
                <w:sz w:val="12"/>
                <w:szCs w:val="12"/>
                <w:color w:val="auto"/>
              </w:rPr>
            </w:pPr>
          </w:p>
        </w:tc>
        <w:tc>
          <w:tcPr>
            <w:tcW w:w="60" w:type="dxa"/>
            <w:vAlign w:val="bottom"/>
            <w:tcBorders>
              <w:bottom w:val="single" w:sz="8" w:color="auto"/>
            </w:tcBorders>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0" w:type="dxa"/>
            <w:vAlign w:val="bottom"/>
            <w:tcBorders>
              <w:bottom w:val="single" w:sz="8" w:color="auto"/>
            </w:tcBorders>
            <w:shd w:val="clear" w:color="auto" w:fill="DBDBDB"/>
          </w:tcPr>
          <w:p>
            <w:pPr>
              <w:spacing w:after="0"/>
              <w:rPr>
                <w:sz w:val="12"/>
                <w:szCs w:val="12"/>
                <w:color w:val="auto"/>
              </w:rPr>
            </w:pPr>
          </w:p>
        </w:tc>
        <w:tc>
          <w:tcPr>
            <w:tcW w:w="120" w:type="dxa"/>
            <w:vAlign w:val="bottom"/>
            <w:tcBorders>
              <w:bottom w:val="single" w:sz="8" w:color="auto"/>
            </w:tcBorders>
            <w:shd w:val="clear" w:color="auto" w:fill="DBDBDB"/>
          </w:tcPr>
          <w:p>
            <w:pPr>
              <w:spacing w:after="0"/>
              <w:rPr>
                <w:sz w:val="12"/>
                <w:szCs w:val="12"/>
                <w:color w:val="auto"/>
              </w:rPr>
            </w:pPr>
          </w:p>
        </w:tc>
        <w:tc>
          <w:tcPr>
            <w:tcW w:w="500" w:type="dxa"/>
            <w:vAlign w:val="bottom"/>
            <w:tcBorders>
              <w:bottom w:val="single" w:sz="8" w:color="auto"/>
            </w:tcBorders>
            <w:shd w:val="clear" w:color="auto" w:fill="DBDBDB"/>
          </w:tcPr>
          <w:p>
            <w:pPr>
              <w:jc w:val="center"/>
              <w:ind w:left="208"/>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32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1"/>
                <w:szCs w:val="11"/>
                <w:color w:val="auto"/>
              </w:rPr>
              <w:t>78,422</w:t>
            </w:r>
          </w:p>
        </w:tc>
        <w:tc>
          <w:tcPr>
            <w:tcW w:w="120" w:type="dxa"/>
            <w:vAlign w:val="bottom"/>
            <w:tcBorders>
              <w:left w:val="single" w:sz="8" w:color="DBDBDB"/>
            </w:tcBorders>
            <w:shd w:val="clear" w:color="auto" w:fill="DBDBDB"/>
          </w:tcPr>
          <w:p>
            <w:pPr>
              <w:spacing w:after="0"/>
              <w:rPr>
                <w:sz w:val="12"/>
                <w:szCs w:val="12"/>
                <w:color w:val="auto"/>
              </w:rPr>
            </w:pPr>
          </w:p>
        </w:tc>
        <w:tc>
          <w:tcPr>
            <w:tcW w:w="720" w:type="dxa"/>
            <w:vAlign w:val="bottom"/>
            <w:shd w:val="clear" w:color="auto" w:fill="DBDBDB"/>
          </w:tcPr>
          <w:p>
            <w:pPr>
              <w:jc w:val="center"/>
              <w:ind w:right="208"/>
              <w:spacing w:after="0"/>
              <w:rPr>
                <w:sz w:val="20"/>
                <w:szCs w:val="20"/>
                <w:color w:val="auto"/>
              </w:rPr>
            </w:pPr>
            <w:r>
              <w:rPr>
                <w:rFonts w:ascii="Arial" w:cs="Arial" w:eastAsia="Arial" w:hAnsi="Arial"/>
                <w:sz w:val="11"/>
                <w:szCs w:val="11"/>
                <w:color w:val="auto"/>
                <w:w w:val="96"/>
              </w:rPr>
              <w:t>Fixed</w:t>
            </w:r>
          </w:p>
        </w:tc>
        <w:tc>
          <w:tcPr>
            <w:tcW w:w="260" w:type="dxa"/>
            <w:vAlign w:val="bottom"/>
            <w:gridSpan w:val="2"/>
            <w:shd w:val="clear" w:color="auto" w:fill="DBDBDB"/>
          </w:tcPr>
          <w:p>
            <w:pPr>
              <w:jc w:val="center"/>
              <w:spacing w:after="0"/>
              <w:rPr>
                <w:sz w:val="20"/>
                <w:szCs w:val="20"/>
                <w:color w:val="auto"/>
              </w:rPr>
            </w:pPr>
            <w:r>
              <w:rPr>
                <w:rFonts w:ascii="Arial" w:cs="Arial" w:eastAsia="Arial" w:hAnsi="Arial"/>
                <w:sz w:val="11"/>
                <w:szCs w:val="11"/>
                <w:color w:val="auto"/>
              </w:rPr>
              <w:t>5.8%</w:t>
            </w:r>
          </w:p>
        </w:tc>
        <w:tc>
          <w:tcPr>
            <w:tcW w:w="120" w:type="dxa"/>
            <w:vAlign w:val="bottom"/>
            <w:shd w:val="clear" w:color="auto" w:fill="DBDBDB"/>
          </w:tcPr>
          <w:p>
            <w:pPr>
              <w:spacing w:after="0"/>
              <w:rPr>
                <w:sz w:val="12"/>
                <w:szCs w:val="12"/>
                <w:color w:val="auto"/>
              </w:rPr>
            </w:pPr>
          </w:p>
        </w:tc>
        <w:tc>
          <w:tcPr>
            <w:tcW w:w="600" w:type="dxa"/>
            <w:vAlign w:val="bottom"/>
            <w:shd w:val="clear" w:color="auto" w:fill="DBDBDB"/>
          </w:tcPr>
          <w:p>
            <w:pPr>
              <w:jc w:val="center"/>
              <w:ind w:left="49"/>
              <w:spacing w:after="0"/>
              <w:rPr>
                <w:sz w:val="20"/>
                <w:szCs w:val="20"/>
                <w:color w:val="auto"/>
              </w:rPr>
            </w:pPr>
            <w:r>
              <w:rPr>
                <w:rFonts w:ascii="Arial" w:cs="Arial" w:eastAsia="Arial" w:hAnsi="Arial"/>
                <w:sz w:val="11"/>
                <w:szCs w:val="11"/>
                <w:color w:val="auto"/>
                <w:w w:val="91"/>
              </w:rPr>
              <w:t>1.5</w:t>
            </w:r>
          </w:p>
        </w:tc>
        <w:tc>
          <w:tcPr>
            <w:tcW w:w="520" w:type="dxa"/>
            <w:vAlign w:val="bottom"/>
            <w:tcBorders>
              <w:left w:val="single" w:sz="8" w:color="DBDBDB"/>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20"/>
                <w:szCs w:val="20"/>
                <w:color w:val="auto"/>
              </w:rPr>
            </w:pPr>
            <w:r>
              <w:rPr>
                <w:rFonts w:ascii="Arial" w:cs="Arial" w:eastAsia="Arial" w:hAnsi="Arial"/>
                <w:sz w:val="11"/>
                <w:szCs w:val="11"/>
                <w:b w:val="1"/>
                <w:bCs w:val="1"/>
                <w:color w:val="auto"/>
              </w:rPr>
              <w:t>Total debt - DBRG OP share</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40" w:type="dxa"/>
            <w:vAlign w:val="bottom"/>
            <w:gridSpan w:val="3"/>
          </w:tcPr>
          <w:p>
            <w:pPr>
              <w:ind w:left="300"/>
              <w:spacing w:after="0"/>
              <w:rPr>
                <w:sz w:val="20"/>
                <w:szCs w:val="20"/>
                <w:color w:val="auto"/>
              </w:rPr>
            </w:pPr>
            <w:r>
              <w:rPr>
                <w:rFonts w:ascii="Arial" w:cs="Arial" w:eastAsia="Arial" w:hAnsi="Arial"/>
                <w:sz w:val="11"/>
                <w:szCs w:val="11"/>
                <w:b w:val="1"/>
                <w:bCs w:val="1"/>
                <w:color w:val="auto"/>
              </w:rPr>
              <w:t>—   $</w:t>
            </w:r>
          </w:p>
        </w:tc>
        <w:tc>
          <w:tcPr>
            <w:tcW w:w="460" w:type="dxa"/>
            <w:vAlign w:val="bottom"/>
          </w:tcPr>
          <w:p>
            <w:pPr>
              <w:jc w:val="right"/>
              <w:ind w:right="7"/>
              <w:spacing w:after="0"/>
              <w:rPr>
                <w:sz w:val="20"/>
                <w:szCs w:val="20"/>
                <w:color w:val="auto"/>
              </w:rPr>
            </w:pPr>
            <w:r>
              <w:rPr>
                <w:rFonts w:ascii="Arial" w:cs="Arial" w:eastAsia="Arial" w:hAnsi="Arial"/>
                <w:sz w:val="11"/>
                <w:szCs w:val="11"/>
                <w:b w:val="1"/>
                <w:bCs w:val="1"/>
                <w:color w:val="auto"/>
              </w:rPr>
              <w:t>78,422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Pr>
          <w:p>
            <w:pPr>
              <w:spacing w:after="0"/>
              <w:rPr>
                <w:sz w:val="11"/>
                <w:szCs w:val="11"/>
                <w:color w:val="auto"/>
              </w:rPr>
            </w:pPr>
          </w:p>
        </w:tc>
        <w:tc>
          <w:tcPr>
            <w:tcW w:w="500" w:type="dxa"/>
            <w:vAlign w:val="bottom"/>
          </w:tcPr>
          <w:p>
            <w:pPr>
              <w:jc w:val="right"/>
              <w:ind w:right="10"/>
              <w:spacing w:after="0"/>
              <w:rPr>
                <w:sz w:val="20"/>
                <w:szCs w:val="20"/>
                <w:color w:val="auto"/>
              </w:rPr>
            </w:pPr>
            <w:r>
              <w:rPr>
                <w:rFonts w:ascii="Arial" w:cs="Arial" w:eastAsia="Arial" w:hAnsi="Arial"/>
                <w:sz w:val="11"/>
                <w:szCs w:val="11"/>
                <w:b w:val="1"/>
                <w:bCs w:val="1"/>
                <w:color w:val="auto"/>
              </w:rPr>
              <w:t>300,000</w:t>
            </w:r>
          </w:p>
        </w:tc>
        <w:tc>
          <w:tcPr>
            <w:tcW w:w="80" w:type="dxa"/>
            <w:vAlign w:val="bottom"/>
          </w:tcPr>
          <w:p>
            <w:pPr>
              <w:spacing w:after="0"/>
              <w:rPr>
                <w:sz w:val="11"/>
                <w:szCs w:val="11"/>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97"/>
              </w:rPr>
              <w:t>$</w:t>
            </w:r>
          </w:p>
        </w:tc>
        <w:tc>
          <w:tcPr>
            <w:tcW w:w="580" w:type="dxa"/>
            <w:vAlign w:val="bottom"/>
            <w:gridSpan w:val="2"/>
          </w:tcPr>
          <w:p>
            <w:pPr>
              <w:jc w:val="center"/>
              <w:ind w:left="128"/>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jc w:val="center"/>
              <w:ind w:right="128"/>
              <w:spacing w:after="0"/>
              <w:rPr>
                <w:sz w:val="20"/>
                <w:szCs w:val="20"/>
                <w:color w:val="auto"/>
              </w:rPr>
            </w:pPr>
            <w:r>
              <w:rPr>
                <w:rFonts w:ascii="Arial" w:cs="Arial" w:eastAsia="Arial" w:hAnsi="Arial"/>
                <w:sz w:val="11"/>
                <w:szCs w:val="11"/>
                <w:b w:val="1"/>
                <w:bCs w:val="1"/>
                <w:color w:val="auto"/>
                <w:w w:val="97"/>
              </w:rPr>
              <w:t>$</w:t>
            </w:r>
          </w:p>
        </w:tc>
        <w:tc>
          <w:tcPr>
            <w:tcW w:w="100" w:type="dxa"/>
            <w:vAlign w:val="bottom"/>
          </w:tcPr>
          <w:p>
            <w:pPr>
              <w:spacing w:after="0"/>
              <w:rPr>
                <w:sz w:val="11"/>
                <w:szCs w:val="11"/>
                <w:color w:val="auto"/>
              </w:rPr>
            </w:pPr>
          </w:p>
        </w:tc>
        <w:tc>
          <w:tcPr>
            <w:tcW w:w="580" w:type="dxa"/>
            <w:vAlign w:val="bottom"/>
            <w:gridSpan w:val="3"/>
          </w:tcPr>
          <w:p>
            <w:pPr>
              <w:ind w:left="160"/>
              <w:spacing w:after="0"/>
              <w:rPr>
                <w:sz w:val="20"/>
                <w:szCs w:val="20"/>
                <w:color w:val="auto"/>
              </w:rPr>
            </w:pPr>
            <w:r>
              <w:rPr>
                <w:rFonts w:ascii="Arial" w:cs="Arial" w:eastAsia="Arial" w:hAnsi="Arial"/>
                <w:sz w:val="11"/>
                <w:szCs w:val="11"/>
                <w:b w:val="1"/>
                <w:bCs w:val="1"/>
                <w:color w:val="auto"/>
              </w:rPr>
              <w:t>—   $</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378,422</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Net corporate debt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DBDBDB"/>
          </w:tcPr>
          <w:p>
            <w:pPr>
              <w:spacing w:after="0"/>
              <w:rPr>
                <w:sz w:val="20"/>
                <w:szCs w:val="20"/>
                <w:color w:val="auto"/>
              </w:rPr>
            </w:pPr>
            <w:r>
              <w:rPr>
                <w:rFonts w:ascii="Arial" w:cs="Arial" w:eastAsia="Arial" w:hAnsi="Arial"/>
                <w:sz w:val="11"/>
                <w:szCs w:val="11"/>
                <w:color w:val="auto"/>
              </w:rPr>
              <w:t>Cash and cash equivalents - consolidated</w:t>
            </w:r>
          </w:p>
        </w:tc>
        <w:tc>
          <w:tcPr>
            <w:tcW w:w="12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100" w:type="dxa"/>
            <w:vAlign w:val="bottom"/>
            <w:tcBorders>
              <w:right w:val="single" w:sz="8" w:color="DBDBDB"/>
            </w:tcBorders>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680" w:type="dxa"/>
            <w:vAlign w:val="bottom"/>
            <w:gridSpan w:val="4"/>
            <w:shd w:val="clear" w:color="auto" w:fill="DBDBDB"/>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DBDBDB"/>
          </w:tcPr>
          <w:p>
            <w:pPr>
              <w:jc w:val="right"/>
              <w:ind w:right="60"/>
              <w:spacing w:after="0"/>
              <w:rPr>
                <w:sz w:val="20"/>
                <w:szCs w:val="20"/>
                <w:color w:val="auto"/>
              </w:rPr>
            </w:pPr>
            <w:r>
              <w:rPr>
                <w:rFonts w:ascii="Arial" w:cs="Arial" w:eastAsia="Arial" w:hAnsi="Arial"/>
                <w:sz w:val="11"/>
                <w:szCs w:val="11"/>
                <w:color w:val="auto"/>
              </w:rPr>
              <w:t>345,335</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40" w:type="dxa"/>
            <w:vAlign w:val="bottom"/>
          </w:tcPr>
          <w:p>
            <w:pPr>
              <w:ind w:left="140"/>
              <w:spacing w:after="0"/>
              <w:rPr>
                <w:sz w:val="20"/>
                <w:szCs w:val="20"/>
                <w:color w:val="auto"/>
              </w:rPr>
            </w:pPr>
            <w:r>
              <w:rPr>
                <w:rFonts w:ascii="Arial" w:cs="Arial" w:eastAsia="Arial" w:hAnsi="Arial"/>
                <w:sz w:val="11"/>
                <w:szCs w:val="11"/>
                <w:color w:val="auto"/>
              </w:rPr>
              <w:t>less: Noncontrolling interests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(25,922)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40" w:type="dxa"/>
            <w:vAlign w:val="bottom"/>
            <w:shd w:val="clear" w:color="auto" w:fill="DBDBDB"/>
          </w:tcPr>
          <w:p>
            <w:pPr>
              <w:ind w:left="140"/>
              <w:spacing w:after="0" w:line="110" w:lineRule="exact"/>
              <w:rPr>
                <w:sz w:val="20"/>
                <w:szCs w:val="20"/>
                <w:color w:val="auto"/>
              </w:rPr>
            </w:pPr>
            <w:r>
              <w:rPr>
                <w:rFonts w:ascii="Arial" w:cs="Arial" w:eastAsia="Arial" w:hAnsi="Arial"/>
                <w:sz w:val="11"/>
                <w:szCs w:val="11"/>
                <w:color w:val="auto"/>
              </w:rPr>
              <w:t>less: Investment level cash - DBRG OP</w:t>
            </w:r>
          </w:p>
        </w:tc>
        <w:tc>
          <w:tcPr>
            <w:tcW w:w="12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00" w:type="dxa"/>
            <w:vAlign w:val="bottom"/>
            <w:tcBorders>
              <w:right w:val="single" w:sz="8" w:color="DBDBDB"/>
            </w:tcBorders>
            <w:shd w:val="clear" w:color="auto" w:fill="DBDBDB"/>
          </w:tcPr>
          <w:p>
            <w:pPr>
              <w:spacing w:after="0"/>
              <w:rPr>
                <w:sz w:val="9"/>
                <w:szCs w:val="9"/>
                <w:color w:val="auto"/>
              </w:rPr>
            </w:pPr>
          </w:p>
        </w:tc>
        <w:tc>
          <w:tcPr>
            <w:tcW w:w="6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50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0" w:type="dxa"/>
            <w:vAlign w:val="bottom"/>
            <w:shd w:val="clear" w:color="auto" w:fill="DBDBDB"/>
          </w:tcPr>
          <w:p>
            <w:pPr>
              <w:spacing w:after="0"/>
              <w:rPr>
                <w:sz w:val="9"/>
                <w:szCs w:val="9"/>
                <w:color w:val="auto"/>
              </w:rPr>
            </w:pPr>
          </w:p>
        </w:tc>
        <w:tc>
          <w:tcPr>
            <w:tcW w:w="120" w:type="dxa"/>
            <w:vAlign w:val="bottom"/>
            <w:shd w:val="clear" w:color="auto" w:fill="DBDBDB"/>
          </w:tcPr>
          <w:p>
            <w:pPr>
              <w:spacing w:after="0"/>
              <w:rPr>
                <w:sz w:val="9"/>
                <w:szCs w:val="9"/>
                <w:color w:val="auto"/>
              </w:rPr>
            </w:pPr>
          </w:p>
        </w:tc>
        <w:tc>
          <w:tcPr>
            <w:tcW w:w="50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28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320" w:type="dxa"/>
            <w:vAlign w:val="bottom"/>
            <w:shd w:val="clear" w:color="auto" w:fill="DBDBDB"/>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180" w:type="dxa"/>
            <w:vAlign w:val="bottom"/>
            <w:shd w:val="clear" w:color="auto" w:fill="DBDBDB"/>
          </w:tcPr>
          <w:p>
            <w:pPr>
              <w:spacing w:after="0"/>
              <w:rPr>
                <w:sz w:val="9"/>
                <w:szCs w:val="9"/>
                <w:color w:val="auto"/>
              </w:rPr>
            </w:pPr>
          </w:p>
        </w:tc>
        <w:tc>
          <w:tcPr>
            <w:tcW w:w="600" w:type="dxa"/>
            <w:vAlign w:val="bottom"/>
            <w:gridSpan w:val="2"/>
            <w:vMerge w:val="restart"/>
            <w:shd w:val="clear" w:color="auto" w:fill="DBDBDB"/>
          </w:tcPr>
          <w:p>
            <w:pPr>
              <w:jc w:val="right"/>
              <w:ind w:right="20"/>
              <w:spacing w:after="0"/>
              <w:rPr>
                <w:sz w:val="20"/>
                <w:szCs w:val="20"/>
                <w:color w:val="auto"/>
              </w:rPr>
            </w:pPr>
            <w:r>
              <w:rPr>
                <w:rFonts w:ascii="Arial" w:cs="Arial" w:eastAsia="Arial" w:hAnsi="Arial"/>
                <w:sz w:val="11"/>
                <w:szCs w:val="11"/>
                <w:color w:val="auto"/>
              </w:rPr>
              <w:t>(144,218)</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share</w:t>
            </w:r>
          </w:p>
        </w:tc>
        <w:tc>
          <w:tcPr>
            <w:tcW w:w="12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100" w:type="dxa"/>
            <w:vAlign w:val="bottom"/>
            <w:tcBorders>
              <w:right w:val="single" w:sz="8" w:color="DBDBDB"/>
            </w:tcBorders>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gridSpan w:val="2"/>
            <w:vMerge w:val="continue"/>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20"/>
                <w:szCs w:val="20"/>
                <w:color w:val="auto"/>
              </w:rPr>
            </w:pPr>
            <w:r>
              <w:rPr>
                <w:rFonts w:ascii="Arial" w:cs="Arial" w:eastAsia="Arial" w:hAnsi="Arial"/>
                <w:sz w:val="11"/>
                <w:szCs w:val="11"/>
                <w:color w:val="auto"/>
              </w:rPr>
              <w:t>Corporate cash - DBRG OP share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175,195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40" w:type="dxa"/>
            <w:vAlign w:val="bottom"/>
            <w:shd w:val="clear" w:color="auto" w:fill="DBDBDB"/>
          </w:tcPr>
          <w:p>
            <w:pPr>
              <w:spacing w:after="0"/>
              <w:rPr>
                <w:sz w:val="20"/>
                <w:szCs w:val="20"/>
                <w:color w:val="auto"/>
              </w:rPr>
            </w:pPr>
            <w:r>
              <w:rPr>
                <w:rFonts w:ascii="Arial" w:cs="Arial" w:eastAsia="Arial" w:hAnsi="Arial"/>
                <w:sz w:val="11"/>
                <w:szCs w:val="11"/>
                <w:color w:val="auto"/>
              </w:rPr>
              <w:t>Corporate debt - DBRG OP share</w:t>
            </w:r>
          </w:p>
        </w:tc>
        <w:tc>
          <w:tcPr>
            <w:tcW w:w="12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100" w:type="dxa"/>
            <w:vAlign w:val="bottom"/>
            <w:tcBorders>
              <w:right w:val="single" w:sz="8" w:color="DBDBDB"/>
            </w:tcBorders>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1"/>
                <w:szCs w:val="11"/>
                <w:color w:val="auto"/>
              </w:rPr>
              <w:t>(378,422)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40" w:type="dxa"/>
            <w:vAlign w:val="bottom"/>
          </w:tcPr>
          <w:p>
            <w:pPr>
              <w:spacing w:after="0" w:line="89" w:lineRule="exact"/>
              <w:rPr>
                <w:sz w:val="20"/>
                <w:szCs w:val="20"/>
                <w:color w:val="auto"/>
              </w:rPr>
            </w:pPr>
            <w:r>
              <w:rPr>
                <w:rFonts w:ascii="Arial" w:cs="Arial" w:eastAsia="Arial" w:hAnsi="Arial"/>
                <w:sz w:val="10"/>
                <w:szCs w:val="10"/>
                <w:b w:val="1"/>
                <w:bCs w:val="1"/>
                <w:color w:val="auto"/>
              </w:rPr>
              <w:t>Corporate Cash (Debt) Position - DBRG OP</w:t>
            </w: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gridSpan w:val="4"/>
            <w:vMerge w:val="restart"/>
          </w:tcPr>
          <w:p>
            <w:pPr>
              <w:jc w:val="right"/>
              <w:ind w:right="10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(203,227)</w:t>
            </w: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rPr>
                <w:sz w:val="20"/>
                <w:szCs w:val="20"/>
                <w:color w:val="auto"/>
              </w:rPr>
            </w:pPr>
            <w:r>
              <w:rPr>
                <w:rFonts w:ascii="Arial" w:cs="Arial" w:eastAsia="Arial" w:hAnsi="Arial"/>
                <w:sz w:val="11"/>
                <w:szCs w:val="11"/>
                <w:b w:val="1"/>
                <w:bCs w:val="1"/>
                <w:color w:val="auto"/>
              </w:rPr>
              <w:t>share</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4"/>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Exchangeable debt</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8"/>
              </w:rPr>
              <w:t>Conversion price (per</w:t>
            </w: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5"/>
              </w:rPr>
              <w:t>Conversion</w:t>
            </w:r>
          </w:p>
        </w:tc>
        <w:tc>
          <w:tcPr>
            <w:tcW w:w="0" w:type="dxa"/>
            <w:vAlign w:val="bottom"/>
          </w:tcPr>
          <w:p>
            <w:pPr>
              <w:spacing w:after="0"/>
              <w:rPr>
                <w:sz w:val="1"/>
                <w:szCs w:val="1"/>
                <w:color w:val="auto"/>
              </w:rPr>
            </w:pPr>
          </w:p>
        </w:tc>
      </w:tr>
      <w:tr>
        <w:trPr>
          <w:trHeight w:val="108"/>
        </w:trPr>
        <w:tc>
          <w:tcPr>
            <w:tcW w:w="2240" w:type="dxa"/>
            <w:vAlign w:val="bottom"/>
            <w:vMerge w:val="restart"/>
          </w:tcPr>
          <w:p>
            <w:pPr>
              <w:ind w:left="1520"/>
              <w:spacing w:after="0"/>
              <w:rPr>
                <w:sz w:val="20"/>
                <w:szCs w:val="20"/>
                <w:color w:val="auto"/>
              </w:rPr>
            </w:pPr>
            <w:r>
              <w:rPr>
                <w:rFonts w:ascii="Arial" w:cs="Arial" w:eastAsia="Arial" w:hAnsi="Arial"/>
                <w:sz w:val="11"/>
                <w:szCs w:val="11"/>
                <w:b w:val="1"/>
                <w:bCs w:val="1"/>
                <w:color w:val="auto"/>
              </w:rPr>
              <w:t>Description</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6"/>
            <w:vMerge w:val="restart"/>
          </w:tcPr>
          <w:p>
            <w:pPr>
              <w:jc w:val="right"/>
              <w:ind w:right="180"/>
              <w:spacing w:after="0"/>
              <w:rPr>
                <w:sz w:val="20"/>
                <w:szCs w:val="20"/>
                <w:color w:val="auto"/>
              </w:rPr>
            </w:pPr>
            <w:r>
              <w:rPr>
                <w:rFonts w:ascii="Arial" w:cs="Arial" w:eastAsia="Arial" w:hAnsi="Arial"/>
                <w:sz w:val="11"/>
                <w:szCs w:val="11"/>
                <w:b w:val="1"/>
                <w:bCs w:val="1"/>
                <w:color w:val="auto"/>
                <w:w w:val="96"/>
              </w:rPr>
              <w:t>Outstanding principal</w:t>
            </w:r>
          </w:p>
        </w:tc>
        <w:tc>
          <w:tcPr>
            <w:tcW w:w="280" w:type="dxa"/>
            <w:vAlign w:val="bottom"/>
          </w:tcPr>
          <w:p>
            <w:pPr>
              <w:spacing w:after="0"/>
              <w:rPr>
                <w:sz w:val="9"/>
                <w:szCs w:val="9"/>
                <w:color w:val="auto"/>
              </w:rPr>
            </w:pPr>
          </w:p>
        </w:tc>
        <w:tc>
          <w:tcPr>
            <w:tcW w:w="1280" w:type="dxa"/>
            <w:vAlign w:val="bottom"/>
            <w:gridSpan w:val="6"/>
            <w:vMerge w:val="restart"/>
          </w:tcPr>
          <w:p>
            <w:pPr>
              <w:jc w:val="center"/>
              <w:ind w:right="340"/>
              <w:spacing w:after="0"/>
              <w:rPr>
                <w:sz w:val="20"/>
                <w:szCs w:val="20"/>
                <w:color w:val="auto"/>
              </w:rPr>
            </w:pPr>
            <w:r>
              <w:rPr>
                <w:rFonts w:ascii="Arial" w:cs="Arial" w:eastAsia="Arial" w:hAnsi="Arial"/>
                <w:sz w:val="11"/>
                <w:szCs w:val="11"/>
                <w:b w:val="1"/>
                <w:bCs w:val="1"/>
                <w:color w:val="auto"/>
                <w:w w:val="95"/>
              </w:rPr>
              <w:t>Final due date</w:t>
            </w:r>
            <w:r>
              <w:rPr>
                <w:rFonts w:ascii="Arial" w:cs="Arial" w:eastAsia="Arial" w:hAnsi="Arial"/>
                <w:sz w:val="14"/>
                <w:szCs w:val="14"/>
                <w:b w:val="1"/>
                <w:bCs w:val="1"/>
                <w:color w:val="auto"/>
                <w:w w:val="95"/>
                <w:vertAlign w:val="superscript"/>
              </w:rPr>
              <w:t>(2)</w:t>
            </w:r>
          </w:p>
        </w:tc>
        <w:tc>
          <w:tcPr>
            <w:tcW w:w="120" w:type="dxa"/>
            <w:vAlign w:val="bottom"/>
          </w:tcPr>
          <w:p>
            <w:pPr>
              <w:spacing w:after="0"/>
              <w:rPr>
                <w:sz w:val="9"/>
                <w:szCs w:val="9"/>
                <w:color w:val="auto"/>
              </w:rPr>
            </w:pPr>
          </w:p>
        </w:tc>
        <w:tc>
          <w:tcPr>
            <w:tcW w:w="720" w:type="dxa"/>
            <w:vAlign w:val="bottom"/>
            <w:vMerge w:val="restart"/>
          </w:tcPr>
          <w:p>
            <w:pPr>
              <w:jc w:val="center"/>
              <w:ind w:left="8"/>
              <w:spacing w:after="0"/>
              <w:rPr>
                <w:sz w:val="20"/>
                <w:szCs w:val="20"/>
                <w:color w:val="auto"/>
              </w:rPr>
            </w:pPr>
            <w:r>
              <w:rPr>
                <w:rFonts w:ascii="Arial" w:cs="Arial" w:eastAsia="Arial" w:hAnsi="Arial"/>
                <w:sz w:val="11"/>
                <w:szCs w:val="11"/>
                <w:b w:val="1"/>
                <w:bCs w:val="1"/>
                <w:color w:val="auto"/>
                <w:w w:val="98"/>
              </w:rPr>
              <w:t>Interest rate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8"/>
              </w:rPr>
              <w:t>share of common</w:t>
            </w: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Conversion ratio</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stock)</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shares</w:t>
            </w:r>
          </w:p>
        </w:tc>
        <w:tc>
          <w:tcPr>
            <w:tcW w:w="0" w:type="dxa"/>
            <w:vAlign w:val="bottom"/>
          </w:tcPr>
          <w:p>
            <w:pPr>
              <w:spacing w:after="0"/>
              <w:rPr>
                <w:sz w:val="1"/>
                <w:szCs w:val="1"/>
                <w:color w:val="auto"/>
              </w:rPr>
            </w:pPr>
          </w:p>
        </w:tc>
      </w:tr>
      <w:tr>
        <w:trPr>
          <w:trHeight w:val="132"/>
        </w:trPr>
        <w:tc>
          <w:tcPr>
            <w:tcW w:w="224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1"/>
                <w:szCs w:val="11"/>
                <w:color w:val="auto"/>
              </w:rPr>
              <w:t>5.75% Exchangeable senior notes</w:t>
            </w:r>
          </w:p>
        </w:tc>
        <w:tc>
          <w:tcPr>
            <w:tcW w:w="120" w:type="dxa"/>
            <w:vAlign w:val="bottom"/>
            <w:tcBorders>
              <w:top w:val="single" w:sz="8" w:color="auto"/>
            </w:tcBorders>
            <w:shd w:val="clear" w:color="auto" w:fill="DBDBDB"/>
          </w:tcPr>
          <w:p>
            <w:pPr>
              <w:spacing w:after="0"/>
              <w:rPr>
                <w:sz w:val="11"/>
                <w:szCs w:val="11"/>
                <w:color w:val="auto"/>
              </w:rPr>
            </w:pPr>
          </w:p>
        </w:tc>
        <w:tc>
          <w:tcPr>
            <w:tcW w:w="46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200" w:type="dxa"/>
            <w:vAlign w:val="bottom"/>
            <w:tcBorders>
              <w:top w:val="single" w:sz="8" w:color="auto"/>
            </w:tcBorders>
            <w:shd w:val="clear" w:color="auto" w:fill="DBDBDB"/>
          </w:tcPr>
          <w:p>
            <w:pPr>
              <w:spacing w:after="0"/>
              <w:rPr>
                <w:sz w:val="11"/>
                <w:szCs w:val="11"/>
                <w:color w:val="auto"/>
              </w:rPr>
            </w:pPr>
          </w:p>
        </w:tc>
        <w:tc>
          <w:tcPr>
            <w:tcW w:w="460" w:type="dxa"/>
            <w:vAlign w:val="bottom"/>
            <w:tcBorders>
              <w:top w:val="single" w:sz="8" w:color="auto"/>
            </w:tcBorders>
            <w:shd w:val="clear" w:color="auto" w:fill="DBDBDB"/>
          </w:tcPr>
          <w:p>
            <w:pPr>
              <w:spacing w:after="0"/>
              <w:rPr>
                <w:sz w:val="11"/>
                <w:szCs w:val="11"/>
                <w:color w:val="auto"/>
              </w:rPr>
            </w:pPr>
          </w:p>
        </w:tc>
        <w:tc>
          <w:tcPr>
            <w:tcW w:w="100" w:type="dxa"/>
            <w:vAlign w:val="bottom"/>
            <w:tcBorders>
              <w:top w:val="single" w:sz="8" w:color="auto"/>
              <w:right w:val="single" w:sz="8" w:color="DBDBDB"/>
            </w:tcBorders>
            <w:shd w:val="clear" w:color="auto" w:fill="DBDBDB"/>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shd w:val="clear" w:color="auto" w:fill="DBDBDB"/>
          </w:tcPr>
          <w:p>
            <w:pPr>
              <w:spacing w:after="0"/>
              <w:rPr>
                <w:sz w:val="11"/>
                <w:szCs w:val="11"/>
                <w:color w:val="auto"/>
              </w:rPr>
            </w:pPr>
          </w:p>
        </w:tc>
        <w:tc>
          <w:tcPr>
            <w:tcW w:w="80" w:type="dxa"/>
            <w:vAlign w:val="bottom"/>
            <w:tcBorders>
              <w:top w:val="single" w:sz="8" w:color="auto"/>
              <w:bottom w:val="single" w:sz="8" w:color="auto"/>
            </w:tcBorders>
            <w:shd w:val="clear" w:color="auto" w:fill="DBDBDB"/>
          </w:tcPr>
          <w:p>
            <w:pPr>
              <w:spacing w:after="0"/>
              <w:rPr>
                <w:sz w:val="11"/>
                <w:szCs w:val="11"/>
                <w:color w:val="auto"/>
              </w:rPr>
            </w:pPr>
          </w:p>
        </w:tc>
        <w:tc>
          <w:tcPr>
            <w:tcW w:w="20" w:type="dxa"/>
            <w:vAlign w:val="bottom"/>
            <w:tcBorders>
              <w:top w:val="single" w:sz="8" w:color="auto"/>
              <w:bottom w:val="single" w:sz="8" w:color="auto"/>
            </w:tcBorders>
            <w:shd w:val="clear" w:color="auto" w:fill="DBDBDB"/>
          </w:tcPr>
          <w:p>
            <w:pPr>
              <w:spacing w:after="0"/>
              <w:rPr>
                <w:sz w:val="11"/>
                <w:szCs w:val="11"/>
                <w:color w:val="auto"/>
              </w:rPr>
            </w:pPr>
          </w:p>
        </w:tc>
        <w:tc>
          <w:tcPr>
            <w:tcW w:w="120" w:type="dxa"/>
            <w:vAlign w:val="bottom"/>
            <w:tcBorders>
              <w:top w:val="single" w:sz="8" w:color="auto"/>
              <w:bottom w:val="single" w:sz="8" w:color="auto"/>
            </w:tcBorders>
            <w:shd w:val="clear" w:color="auto" w:fill="DBDBDB"/>
          </w:tcPr>
          <w:p>
            <w:pPr>
              <w:spacing w:after="0"/>
              <w:rPr>
                <w:sz w:val="11"/>
                <w:szCs w:val="11"/>
                <w:color w:val="auto"/>
              </w:rPr>
            </w:pPr>
          </w:p>
        </w:tc>
        <w:tc>
          <w:tcPr>
            <w:tcW w:w="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78,422</w:t>
            </w:r>
          </w:p>
        </w:tc>
        <w:tc>
          <w:tcPr>
            <w:tcW w:w="80" w:type="dxa"/>
            <w:vAlign w:val="bottom"/>
          </w:tcPr>
          <w:p>
            <w:pPr>
              <w:spacing w:after="0"/>
              <w:rPr>
                <w:sz w:val="11"/>
                <w:szCs w:val="11"/>
                <w:color w:val="auto"/>
              </w:rPr>
            </w:pPr>
          </w:p>
        </w:tc>
        <w:tc>
          <w:tcPr>
            <w:tcW w:w="280" w:type="dxa"/>
            <w:vAlign w:val="bottom"/>
            <w:tcBorders>
              <w:top w:val="single" w:sz="8" w:color="auto"/>
            </w:tcBorders>
            <w:shd w:val="clear" w:color="auto" w:fill="DBDBDB"/>
          </w:tcPr>
          <w:p>
            <w:pPr>
              <w:spacing w:after="0"/>
              <w:rPr>
                <w:sz w:val="11"/>
                <w:szCs w:val="11"/>
                <w:color w:val="auto"/>
              </w:rPr>
            </w:pPr>
          </w:p>
        </w:tc>
        <w:tc>
          <w:tcPr>
            <w:tcW w:w="100" w:type="dxa"/>
            <w:vAlign w:val="bottom"/>
            <w:tcBorders>
              <w:top w:val="single" w:sz="8" w:color="auto"/>
            </w:tcBorders>
            <w:shd w:val="clear" w:color="auto" w:fill="DBDBDB"/>
          </w:tcPr>
          <w:p>
            <w:pPr>
              <w:spacing w:after="0"/>
              <w:rPr>
                <w:sz w:val="11"/>
                <w:szCs w:val="11"/>
                <w:color w:val="auto"/>
              </w:rPr>
            </w:pPr>
          </w:p>
        </w:tc>
        <w:tc>
          <w:tcPr>
            <w:tcW w:w="1100" w:type="dxa"/>
            <w:vAlign w:val="bottom"/>
            <w:tcBorders>
              <w:top w:val="single" w:sz="8" w:color="auto"/>
            </w:tcBorders>
            <w:gridSpan w:val="4"/>
            <w:shd w:val="clear" w:color="auto" w:fill="DBDBDB"/>
          </w:tcPr>
          <w:p>
            <w:pPr>
              <w:jc w:val="center"/>
              <w:ind w:right="326"/>
              <w:spacing w:after="0"/>
              <w:rPr>
                <w:sz w:val="20"/>
                <w:szCs w:val="20"/>
                <w:color w:val="auto"/>
              </w:rPr>
            </w:pPr>
            <w:r>
              <w:rPr>
                <w:rFonts w:ascii="Arial" w:cs="Arial" w:eastAsia="Arial" w:hAnsi="Arial"/>
                <w:sz w:val="11"/>
                <w:szCs w:val="11"/>
                <w:color w:val="auto"/>
                <w:w w:val="97"/>
              </w:rPr>
              <w:t>July 15, 2025</w:t>
            </w:r>
          </w:p>
        </w:tc>
        <w:tc>
          <w:tcPr>
            <w:tcW w:w="80" w:type="dxa"/>
            <w:vAlign w:val="bottom"/>
          </w:tcPr>
          <w:p>
            <w:pPr>
              <w:spacing w:after="0"/>
              <w:rPr>
                <w:sz w:val="11"/>
                <w:szCs w:val="11"/>
                <w:color w:val="auto"/>
              </w:rPr>
            </w:pPr>
          </w:p>
        </w:tc>
        <w:tc>
          <w:tcPr>
            <w:tcW w:w="120" w:type="dxa"/>
            <w:vAlign w:val="bottom"/>
            <w:tcBorders>
              <w:top w:val="single" w:sz="8" w:color="auto"/>
              <w:left w:val="single" w:sz="8" w:color="DBDBDB"/>
            </w:tcBorders>
            <w:shd w:val="clear" w:color="auto" w:fill="DBDBDB"/>
          </w:tcPr>
          <w:p>
            <w:pPr>
              <w:spacing w:after="0"/>
              <w:rPr>
                <w:sz w:val="11"/>
                <w:szCs w:val="11"/>
                <w:color w:val="auto"/>
              </w:rPr>
            </w:pPr>
          </w:p>
        </w:tc>
        <w:tc>
          <w:tcPr>
            <w:tcW w:w="720" w:type="dxa"/>
            <w:vAlign w:val="bottom"/>
            <w:tcBorders>
              <w:top w:val="single" w:sz="8" w:color="auto"/>
            </w:tcBorders>
            <w:shd w:val="clear" w:color="auto" w:fill="DBDBDB"/>
          </w:tcPr>
          <w:p>
            <w:pPr>
              <w:jc w:val="center"/>
              <w:ind w:left="8"/>
              <w:spacing w:after="0"/>
              <w:rPr>
                <w:sz w:val="20"/>
                <w:szCs w:val="20"/>
                <w:color w:val="auto"/>
              </w:rPr>
            </w:pPr>
            <w:r>
              <w:rPr>
                <w:rFonts w:ascii="Arial" w:cs="Arial" w:eastAsia="Arial" w:hAnsi="Arial"/>
                <w:sz w:val="11"/>
                <w:szCs w:val="11"/>
                <w:color w:val="auto"/>
              </w:rPr>
              <w:t>5.75% fixed</w:t>
            </w:r>
          </w:p>
        </w:tc>
        <w:tc>
          <w:tcPr>
            <w:tcW w:w="180" w:type="dxa"/>
            <w:vAlign w:val="bottom"/>
            <w:tcBorders>
              <w:top w:val="single" w:sz="8" w:color="auto"/>
            </w:tcBorders>
            <w:shd w:val="clear" w:color="auto" w:fill="DBDBDB"/>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shd w:val="clear" w:color="auto" w:fill="DBDBDB"/>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1"/>
                <w:szCs w:val="11"/>
                <w:color w:val="auto"/>
              </w:rPr>
              <w:t>9.20</w:t>
            </w:r>
          </w:p>
        </w:tc>
        <w:tc>
          <w:tcPr>
            <w:tcW w:w="80" w:type="dxa"/>
            <w:vAlign w:val="bottom"/>
          </w:tcPr>
          <w:p>
            <w:pPr>
              <w:spacing w:after="0"/>
              <w:rPr>
                <w:sz w:val="11"/>
                <w:szCs w:val="11"/>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108.6956</w:t>
            </w:r>
          </w:p>
        </w:tc>
        <w:tc>
          <w:tcPr>
            <w:tcW w:w="80" w:type="dxa"/>
            <w:vAlign w:val="bottom"/>
          </w:tcPr>
          <w:p>
            <w:pPr>
              <w:spacing w:after="0"/>
              <w:rPr>
                <w:sz w:val="11"/>
                <w:szCs w:val="11"/>
                <w:color w:val="auto"/>
              </w:rPr>
            </w:pPr>
          </w:p>
        </w:tc>
        <w:tc>
          <w:tcPr>
            <w:tcW w:w="94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8,524</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40" w:type="dxa"/>
            <w:vAlign w:val="bottom"/>
          </w:tcPr>
          <w:p>
            <w:pPr>
              <w:ind w:left="140"/>
              <w:spacing w:after="0"/>
              <w:rPr>
                <w:sz w:val="20"/>
                <w:szCs w:val="20"/>
                <w:color w:val="auto"/>
              </w:rPr>
            </w:pPr>
            <w:r>
              <w:rPr>
                <w:rFonts w:ascii="Arial" w:cs="Arial" w:eastAsia="Arial" w:hAnsi="Arial"/>
                <w:sz w:val="11"/>
                <w:szCs w:val="11"/>
                <w:b w:val="1"/>
                <w:bCs w:val="1"/>
                <w:color w:val="auto"/>
              </w:rPr>
              <w:t>Total convertible debt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78,422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2"/>
                <w:szCs w:val="12"/>
                <w:b w:val="1"/>
                <w:bCs w:val="1"/>
                <w:i w:val="1"/>
                <w:iCs w:val="1"/>
                <w:color w:val="003366"/>
              </w:rPr>
              <w:t>Perpetual preferred stock</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240" w:type="dxa"/>
            <w:vAlign w:val="bottom"/>
            <w:vMerge w:val="restart"/>
          </w:tcPr>
          <w:p>
            <w:pPr>
              <w:spacing w:after="0"/>
              <w:rPr>
                <w:sz w:val="20"/>
                <w:szCs w:val="20"/>
                <w:color w:val="auto"/>
              </w:rPr>
            </w:pPr>
            <w:r>
              <w:rPr>
                <w:rFonts w:ascii="Arial" w:cs="Arial" w:eastAsia="Arial" w:hAnsi="Arial"/>
                <w:sz w:val="11"/>
                <w:szCs w:val="11"/>
                <w:b w:val="1"/>
                <w:bCs w:val="1"/>
                <w:color w:val="auto"/>
              </w:rPr>
              <w:t>Description</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Liquidation</w:t>
            </w:r>
          </w:p>
        </w:tc>
        <w:tc>
          <w:tcPr>
            <w:tcW w:w="100" w:type="dxa"/>
            <w:vAlign w:val="bottom"/>
          </w:tcPr>
          <w:p>
            <w:pPr>
              <w:spacing w:after="0"/>
              <w:rPr>
                <w:sz w:val="11"/>
                <w:szCs w:val="11"/>
                <w:color w:val="auto"/>
              </w:rPr>
            </w:pPr>
          </w:p>
        </w:tc>
        <w:tc>
          <w:tcPr>
            <w:tcW w:w="1180" w:type="dxa"/>
            <w:vAlign w:val="bottom"/>
            <w:gridSpan w:val="5"/>
          </w:tcPr>
          <w:p>
            <w:pPr>
              <w:jc w:val="right"/>
              <w:spacing w:after="0"/>
              <w:rPr>
                <w:sz w:val="20"/>
                <w:szCs w:val="20"/>
                <w:color w:val="auto"/>
              </w:rPr>
            </w:pPr>
            <w:r>
              <w:rPr>
                <w:rFonts w:ascii="Arial" w:cs="Arial" w:eastAsia="Arial" w:hAnsi="Arial"/>
                <w:sz w:val="11"/>
                <w:szCs w:val="11"/>
                <w:b w:val="1"/>
                <w:bCs w:val="1"/>
                <w:color w:val="auto"/>
                <w:w w:val="98"/>
              </w:rPr>
              <w:t>Shares outstanding (In</w:t>
            </w:r>
          </w:p>
        </w:tc>
        <w:tc>
          <w:tcPr>
            <w:tcW w:w="120" w:type="dxa"/>
            <w:vAlign w:val="bottom"/>
          </w:tcPr>
          <w:p>
            <w:pPr>
              <w:spacing w:after="0"/>
              <w:rPr>
                <w:sz w:val="11"/>
                <w:szCs w:val="11"/>
                <w:color w:val="auto"/>
              </w:rPr>
            </w:pPr>
          </w:p>
        </w:tc>
        <w:tc>
          <w:tcPr>
            <w:tcW w:w="2220" w:type="dxa"/>
            <w:vAlign w:val="bottom"/>
            <w:gridSpan w:val="6"/>
            <w:vMerge w:val="restart"/>
          </w:tcPr>
          <w:p>
            <w:pPr>
              <w:jc w:val="center"/>
              <w:ind w:right="520"/>
              <w:spacing w:after="0"/>
              <w:rPr>
                <w:sz w:val="20"/>
                <w:szCs w:val="20"/>
                <w:color w:val="auto"/>
              </w:rPr>
            </w:pPr>
            <w:r>
              <w:rPr>
                <w:rFonts w:ascii="Arial" w:cs="Arial" w:eastAsia="Arial" w:hAnsi="Arial"/>
                <w:sz w:val="11"/>
                <w:szCs w:val="11"/>
                <w:b w:val="1"/>
                <w:bCs w:val="1"/>
                <w:color w:val="auto"/>
                <w:w w:val="98"/>
              </w:rPr>
              <w:t>Callable period</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48"/>
              <w:spacing w:after="0"/>
              <w:rPr>
                <w:sz w:val="20"/>
                <w:szCs w:val="20"/>
                <w:color w:val="auto"/>
              </w:rPr>
            </w:pPr>
            <w:r>
              <w:rPr>
                <w:rFonts w:ascii="Arial" w:cs="Arial" w:eastAsia="Arial" w:hAnsi="Arial"/>
                <w:sz w:val="11"/>
                <w:szCs w:val="11"/>
                <w:b w:val="1"/>
                <w:bCs w:val="1"/>
                <w:color w:val="auto"/>
                <w:w w:val="99"/>
              </w:rPr>
              <w:t>preference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1"/>
                <w:szCs w:val="11"/>
                <w:b w:val="1"/>
                <w:bCs w:val="1"/>
                <w:color w:val="auto"/>
                <w:w w:val="94"/>
              </w:rPr>
              <w:t>thousands)</w:t>
            </w:r>
          </w:p>
        </w:tc>
        <w:tc>
          <w:tcPr>
            <w:tcW w:w="12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60" w:type="dxa"/>
            <w:vAlign w:val="bottom"/>
            <w:tcBorders>
              <w:top w:val="single" w:sz="8" w:color="auto"/>
              <w:right w:val="single" w:sz="8" w:color="DBDBDB"/>
            </w:tcBorders>
            <w:gridSpan w:val="7"/>
            <w:shd w:val="clear" w:color="auto" w:fill="DBDBDB"/>
          </w:tcPr>
          <w:p>
            <w:pPr>
              <w:spacing w:after="0"/>
              <w:rPr>
                <w:sz w:val="20"/>
                <w:szCs w:val="20"/>
                <w:color w:val="auto"/>
              </w:rPr>
            </w:pPr>
            <w:r>
              <w:rPr>
                <w:rFonts w:ascii="Arial" w:cs="Arial" w:eastAsia="Arial" w:hAnsi="Arial"/>
                <w:sz w:val="11"/>
                <w:szCs w:val="11"/>
                <w:color w:val="auto"/>
              </w:rPr>
              <w:t>Series H 7.125% cumulative redeemable perpetual preferred stock</w:t>
            </w:r>
          </w:p>
        </w:tc>
        <w:tc>
          <w:tcPr>
            <w:tcW w:w="60" w:type="dxa"/>
            <w:vAlign w:val="bottom"/>
            <w:tcBorders>
              <w:top w:val="single" w:sz="8" w:color="auto"/>
            </w:tcBorders>
            <w:shd w:val="clear" w:color="auto" w:fill="DBDBDB"/>
          </w:tcPr>
          <w:p>
            <w:pPr>
              <w:spacing w:after="0"/>
              <w:rPr>
                <w:sz w:val="11"/>
                <w:szCs w:val="11"/>
                <w:color w:val="auto"/>
              </w:rPr>
            </w:pPr>
          </w:p>
        </w:tc>
        <w:tc>
          <w:tcPr>
            <w:tcW w:w="100" w:type="dxa"/>
            <w:vAlign w:val="bottom"/>
            <w:tcBorders>
              <w:top w:val="single" w:sz="8" w:color="auto"/>
            </w:tcBorders>
            <w:shd w:val="clear" w:color="auto" w:fill="DBDBDB"/>
          </w:tcPr>
          <w:p>
            <w:pPr>
              <w:spacing w:after="0"/>
              <w:rPr>
                <w:sz w:val="11"/>
                <w:szCs w:val="11"/>
                <w:color w:val="auto"/>
              </w:rPr>
            </w:pPr>
          </w:p>
        </w:tc>
        <w:tc>
          <w:tcPr>
            <w:tcW w:w="500" w:type="dxa"/>
            <w:vAlign w:val="bottom"/>
            <w:tcBorders>
              <w:top w:val="single" w:sz="8" w:color="auto"/>
            </w:tcBorders>
            <w:shd w:val="clear" w:color="auto" w:fill="DBDBDB"/>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shd w:val="clear" w:color="auto" w:fill="DBDBDB"/>
          </w:tcPr>
          <w:p>
            <w:pPr>
              <w:spacing w:after="0"/>
              <w:rPr>
                <w:sz w:val="11"/>
                <w:szCs w:val="11"/>
                <w:color w:val="auto"/>
              </w:rPr>
            </w:pPr>
          </w:p>
        </w:tc>
        <w:tc>
          <w:tcPr>
            <w:tcW w:w="860" w:type="dxa"/>
            <w:vAlign w:val="bottom"/>
            <w:tcBorders>
              <w:top w:val="single" w:sz="8" w:color="auto"/>
            </w:tcBorders>
            <w:gridSpan w:val="3"/>
            <w:shd w:val="clear" w:color="auto" w:fill="DBDBDB"/>
          </w:tcPr>
          <w:p>
            <w:pPr>
              <w:jc w:val="center"/>
              <w:ind w:left="328"/>
              <w:spacing w:after="0"/>
              <w:rPr>
                <w:sz w:val="20"/>
                <w:szCs w:val="20"/>
                <w:color w:val="auto"/>
              </w:rPr>
            </w:pPr>
            <w:r>
              <w:rPr>
                <w:rFonts w:ascii="Arial" w:cs="Arial" w:eastAsia="Arial" w:hAnsi="Arial"/>
                <w:sz w:val="11"/>
                <w:szCs w:val="11"/>
                <w:color w:val="auto"/>
              </w:rPr>
              <w:t>209,870</w:t>
            </w:r>
          </w:p>
        </w:tc>
        <w:tc>
          <w:tcPr>
            <w:tcW w:w="100" w:type="dxa"/>
            <w:vAlign w:val="bottom"/>
          </w:tcPr>
          <w:p>
            <w:pPr>
              <w:spacing w:after="0"/>
              <w:rPr>
                <w:sz w:val="11"/>
                <w:szCs w:val="11"/>
                <w:color w:val="auto"/>
              </w:rPr>
            </w:pPr>
          </w:p>
        </w:tc>
        <w:tc>
          <w:tcPr>
            <w:tcW w:w="3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180" w:type="dxa"/>
            <w:vAlign w:val="bottom"/>
            <w:tcBorders>
              <w:top w:val="single" w:sz="8" w:color="auto"/>
            </w:tcBorders>
            <w:shd w:val="clear" w:color="auto" w:fill="DBDBDB"/>
          </w:tcPr>
          <w:p>
            <w:pPr>
              <w:spacing w:after="0"/>
              <w:rPr>
                <w:sz w:val="11"/>
                <w:szCs w:val="11"/>
                <w:color w:val="auto"/>
              </w:rPr>
            </w:pPr>
          </w:p>
        </w:tc>
        <w:tc>
          <w:tcPr>
            <w:tcW w:w="600" w:type="dxa"/>
            <w:vAlign w:val="bottom"/>
            <w:tcBorders>
              <w:top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1"/>
                <w:szCs w:val="11"/>
                <w:color w:val="auto"/>
              </w:rPr>
              <w:t>8,395</w:t>
            </w:r>
          </w:p>
        </w:tc>
        <w:tc>
          <w:tcPr>
            <w:tcW w:w="120" w:type="dxa"/>
            <w:vAlign w:val="bottom"/>
            <w:tcBorders>
              <w:left w:val="single" w:sz="8" w:color="DBDBDB"/>
            </w:tcBorders>
          </w:tcPr>
          <w:p>
            <w:pPr>
              <w:spacing w:after="0"/>
              <w:rPr>
                <w:sz w:val="11"/>
                <w:szCs w:val="11"/>
                <w:color w:val="auto"/>
              </w:rPr>
            </w:pPr>
          </w:p>
        </w:tc>
        <w:tc>
          <w:tcPr>
            <w:tcW w:w="720" w:type="dxa"/>
            <w:vAlign w:val="bottom"/>
            <w:tcBorders>
              <w:top w:val="single" w:sz="8" w:color="auto"/>
            </w:tcBorders>
            <w:shd w:val="clear" w:color="auto" w:fill="DBDBDB"/>
          </w:tcPr>
          <w:p>
            <w:pPr>
              <w:jc w:val="center"/>
              <w:ind w:right="248"/>
              <w:spacing w:after="0"/>
              <w:rPr>
                <w:sz w:val="20"/>
                <w:szCs w:val="20"/>
                <w:color w:val="auto"/>
              </w:rPr>
            </w:pPr>
            <w:r>
              <w:rPr>
                <w:rFonts w:ascii="Arial" w:cs="Arial" w:eastAsia="Arial" w:hAnsi="Arial"/>
                <w:sz w:val="11"/>
                <w:szCs w:val="11"/>
                <w:color w:val="auto"/>
                <w:w w:val="95"/>
              </w:rPr>
              <w:t>Callable</w:t>
            </w:r>
          </w:p>
        </w:tc>
        <w:tc>
          <w:tcPr>
            <w:tcW w:w="18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120" w:type="dxa"/>
            <w:vAlign w:val="bottom"/>
            <w:tcBorders>
              <w:top w:val="single" w:sz="8" w:color="auto"/>
            </w:tcBorders>
            <w:shd w:val="clear" w:color="auto" w:fill="DBDBDB"/>
          </w:tcPr>
          <w:p>
            <w:pPr>
              <w:spacing w:after="0"/>
              <w:rPr>
                <w:sz w:val="11"/>
                <w:szCs w:val="11"/>
                <w:color w:val="auto"/>
              </w:rPr>
            </w:pPr>
          </w:p>
        </w:tc>
        <w:tc>
          <w:tcPr>
            <w:tcW w:w="600" w:type="dxa"/>
            <w:vAlign w:val="bottom"/>
            <w:tcBorders>
              <w:top w:val="single" w:sz="8" w:color="auto"/>
            </w:tcBorders>
            <w:shd w:val="clear" w:color="auto" w:fill="DBDBDB"/>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00" w:type="dxa"/>
            <w:vAlign w:val="bottom"/>
            <w:gridSpan w:val="5"/>
          </w:tcPr>
          <w:p>
            <w:pPr>
              <w:spacing w:after="0"/>
              <w:rPr>
                <w:sz w:val="20"/>
                <w:szCs w:val="20"/>
                <w:color w:val="auto"/>
              </w:rPr>
            </w:pPr>
            <w:r>
              <w:rPr>
                <w:rFonts w:ascii="Arial" w:cs="Arial" w:eastAsia="Arial" w:hAnsi="Arial"/>
                <w:sz w:val="11"/>
                <w:szCs w:val="11"/>
                <w:color w:val="auto"/>
                <w:w w:val="98"/>
              </w:rPr>
              <w:t>Series I 7.15% cumulative redeemable perpetual preferred stock</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left="328"/>
              <w:spacing w:after="0"/>
              <w:rPr>
                <w:sz w:val="20"/>
                <w:szCs w:val="20"/>
                <w:color w:val="auto"/>
              </w:rPr>
            </w:pPr>
            <w:r>
              <w:rPr>
                <w:rFonts w:ascii="Arial" w:cs="Arial" w:eastAsia="Arial" w:hAnsi="Arial"/>
                <w:sz w:val="11"/>
                <w:szCs w:val="11"/>
                <w:color w:val="auto"/>
              </w:rPr>
              <w:t>321,668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12,867</w:t>
            </w:r>
          </w:p>
        </w:tc>
        <w:tc>
          <w:tcPr>
            <w:tcW w:w="120" w:type="dxa"/>
            <w:vAlign w:val="bottom"/>
          </w:tcPr>
          <w:p>
            <w:pPr>
              <w:spacing w:after="0"/>
              <w:rPr>
                <w:sz w:val="12"/>
                <w:szCs w:val="12"/>
                <w:color w:val="auto"/>
              </w:rPr>
            </w:pPr>
          </w:p>
        </w:tc>
        <w:tc>
          <w:tcPr>
            <w:tcW w:w="720" w:type="dxa"/>
            <w:vAlign w:val="bottom"/>
          </w:tcPr>
          <w:p>
            <w:pPr>
              <w:jc w:val="center"/>
              <w:ind w:right="248"/>
              <w:spacing w:after="0"/>
              <w:rPr>
                <w:sz w:val="20"/>
                <w:szCs w:val="20"/>
                <w:color w:val="auto"/>
              </w:rPr>
            </w:pPr>
            <w:r>
              <w:rPr>
                <w:rFonts w:ascii="Arial" w:cs="Arial" w:eastAsia="Arial" w:hAnsi="Arial"/>
                <w:sz w:val="11"/>
                <w:szCs w:val="11"/>
                <w:color w:val="auto"/>
                <w:w w:val="95"/>
              </w:rPr>
              <w:t>Callable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tcBorders>
              <w:right w:val="single" w:sz="8" w:color="DBDBDB"/>
            </w:tcBorders>
            <w:gridSpan w:val="7"/>
            <w:shd w:val="clear" w:color="auto" w:fill="DBDBDB"/>
          </w:tcPr>
          <w:p>
            <w:pPr>
              <w:spacing w:after="0"/>
              <w:rPr>
                <w:sz w:val="20"/>
                <w:szCs w:val="20"/>
                <w:color w:val="auto"/>
              </w:rPr>
            </w:pPr>
            <w:r>
              <w:rPr>
                <w:rFonts w:ascii="Arial" w:cs="Arial" w:eastAsia="Arial" w:hAnsi="Arial"/>
                <w:sz w:val="11"/>
                <w:szCs w:val="11"/>
                <w:color w:val="auto"/>
              </w:rPr>
              <w:t>Series J 7.125% cumulative redeemable perpetual preferred stock</w:t>
            </w:r>
          </w:p>
        </w:tc>
        <w:tc>
          <w:tcPr>
            <w:tcW w:w="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gridSpan w:val="3"/>
            <w:shd w:val="clear" w:color="auto" w:fill="DBDBDB"/>
          </w:tcPr>
          <w:p>
            <w:pPr>
              <w:jc w:val="center"/>
              <w:ind w:left="328"/>
              <w:spacing w:after="0"/>
              <w:rPr>
                <w:sz w:val="20"/>
                <w:szCs w:val="20"/>
                <w:color w:val="auto"/>
              </w:rPr>
            </w:pPr>
            <w:r>
              <w:rPr>
                <w:rFonts w:ascii="Arial" w:cs="Arial" w:eastAsia="Arial" w:hAnsi="Arial"/>
                <w:sz w:val="11"/>
                <w:szCs w:val="11"/>
                <w:color w:val="auto"/>
              </w:rPr>
              <w:t>290,361</w:t>
            </w:r>
          </w:p>
        </w:tc>
        <w:tc>
          <w:tcPr>
            <w:tcW w:w="100" w:type="dxa"/>
            <w:vAlign w:val="bottom"/>
          </w:tcPr>
          <w:p>
            <w:pPr>
              <w:spacing w:after="0"/>
              <w:rPr>
                <w:sz w:val="12"/>
                <w:szCs w:val="12"/>
                <w:color w:val="auto"/>
              </w:rPr>
            </w:pPr>
          </w:p>
        </w:tc>
        <w:tc>
          <w:tcPr>
            <w:tcW w:w="320" w:type="dxa"/>
            <w:vAlign w:val="bottom"/>
            <w:tcBorders>
              <w:bottom w:val="single" w:sz="8" w:color="auto"/>
            </w:tcBorders>
            <w:shd w:val="clear" w:color="auto" w:fill="DBDBDB"/>
          </w:tcPr>
          <w:p>
            <w:pPr>
              <w:spacing w:after="0"/>
              <w:rPr>
                <w:sz w:val="12"/>
                <w:szCs w:val="12"/>
                <w:color w:val="auto"/>
              </w:rPr>
            </w:pPr>
          </w:p>
        </w:tc>
        <w:tc>
          <w:tcPr>
            <w:tcW w:w="80" w:type="dxa"/>
            <w:vAlign w:val="bottom"/>
            <w:tcBorders>
              <w:bottom w:val="single" w:sz="8" w:color="auto"/>
            </w:tcBorders>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60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1"/>
                <w:szCs w:val="11"/>
                <w:color w:val="auto"/>
              </w:rPr>
              <w:t>11,614</w:t>
            </w:r>
          </w:p>
        </w:tc>
        <w:tc>
          <w:tcPr>
            <w:tcW w:w="120" w:type="dxa"/>
            <w:vAlign w:val="bottom"/>
            <w:tcBorders>
              <w:left w:val="single" w:sz="8" w:color="DBDBDB"/>
            </w:tcBorders>
          </w:tcPr>
          <w:p>
            <w:pPr>
              <w:spacing w:after="0"/>
              <w:rPr>
                <w:sz w:val="12"/>
                <w:szCs w:val="12"/>
                <w:color w:val="auto"/>
              </w:rPr>
            </w:pPr>
          </w:p>
        </w:tc>
        <w:tc>
          <w:tcPr>
            <w:tcW w:w="720" w:type="dxa"/>
            <w:vAlign w:val="bottom"/>
            <w:shd w:val="clear" w:color="auto" w:fill="DBDBDB"/>
          </w:tcPr>
          <w:p>
            <w:pPr>
              <w:jc w:val="center"/>
              <w:ind w:right="248"/>
              <w:spacing w:after="0"/>
              <w:rPr>
                <w:sz w:val="20"/>
                <w:szCs w:val="20"/>
                <w:color w:val="auto"/>
              </w:rPr>
            </w:pPr>
            <w:r>
              <w:rPr>
                <w:rFonts w:ascii="Arial" w:cs="Arial" w:eastAsia="Arial" w:hAnsi="Arial"/>
                <w:sz w:val="11"/>
                <w:szCs w:val="11"/>
                <w:color w:val="auto"/>
                <w:w w:val="95"/>
              </w:rPr>
              <w:t>Callable</w:t>
            </w:r>
          </w:p>
        </w:tc>
        <w:tc>
          <w:tcPr>
            <w:tcW w:w="1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600" w:type="dxa"/>
            <w:vAlign w:val="bottom"/>
            <w:shd w:val="clear" w:color="auto" w:fill="DBDBDB"/>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40" w:type="dxa"/>
            <w:vAlign w:val="bottom"/>
          </w:tcPr>
          <w:p>
            <w:pPr>
              <w:ind w:left="140"/>
              <w:spacing w:after="0"/>
              <w:rPr>
                <w:sz w:val="20"/>
                <w:szCs w:val="20"/>
                <w:color w:val="auto"/>
              </w:rPr>
            </w:pPr>
            <w:r>
              <w:rPr>
                <w:rFonts w:ascii="Arial" w:cs="Arial" w:eastAsia="Arial" w:hAnsi="Arial"/>
                <w:sz w:val="11"/>
                <w:szCs w:val="11"/>
                <w:b w:val="1"/>
                <w:bCs w:val="1"/>
                <w:color w:val="auto"/>
              </w:rPr>
              <w:t>Total preferred stock</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860" w:type="dxa"/>
            <w:vAlign w:val="bottom"/>
            <w:gridSpan w:val="3"/>
          </w:tcPr>
          <w:p>
            <w:pPr>
              <w:jc w:val="center"/>
              <w:ind w:left="328"/>
              <w:spacing w:after="0"/>
              <w:rPr>
                <w:sz w:val="20"/>
                <w:szCs w:val="20"/>
                <w:color w:val="auto"/>
              </w:rPr>
            </w:pPr>
            <w:r>
              <w:rPr>
                <w:rFonts w:ascii="Arial" w:cs="Arial" w:eastAsia="Arial" w:hAnsi="Arial"/>
                <w:sz w:val="11"/>
                <w:szCs w:val="11"/>
                <w:b w:val="1"/>
                <w:bCs w:val="1"/>
                <w:color w:val="auto"/>
              </w:rPr>
              <w:t>821,899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32,876</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5" w:lineRule="exact"/>
        <w:rPr>
          <w:sz w:val="20"/>
          <w:szCs w:val="20"/>
          <w:color w:val="auto"/>
        </w:rPr>
      </w:pPr>
    </w:p>
    <w:p>
      <w:pPr>
        <w:ind w:left="188" w:hanging="188"/>
        <w:spacing w:after="0"/>
        <w:tabs>
          <w:tab w:leader="none" w:pos="188" w:val="left"/>
        </w:tabs>
        <w:numPr>
          <w:ilvl w:val="0"/>
          <w:numId w:val="11"/>
        </w:numPr>
        <w:rPr>
          <w:rFonts w:ascii="Arial" w:cs="Arial" w:eastAsia="Arial" w:hAnsi="Arial"/>
          <w:sz w:val="8"/>
          <w:szCs w:val="8"/>
          <w:color w:val="424242"/>
        </w:rPr>
      </w:pPr>
      <w:r>
        <w:rPr>
          <w:rFonts w:ascii="Arial" w:cs="Arial" w:eastAsia="Arial" w:hAnsi="Arial"/>
          <w:sz w:val="8"/>
          <w:szCs w:val="8"/>
          <w:color w:val="424242"/>
        </w:rPr>
        <w:t>Maturity dates are based on initial maturity dates or extended maturity dates, where applicable, the extension option is at the Company’s discretion and if the criteria to extend have been met as of the reporting date.</w:t>
      </w:r>
    </w:p>
    <w:p>
      <w:pPr>
        <w:spacing w:after="0" w:line="9" w:lineRule="exact"/>
        <w:rPr>
          <w:rFonts w:ascii="Arial" w:cs="Arial" w:eastAsia="Arial" w:hAnsi="Arial"/>
          <w:sz w:val="8"/>
          <w:szCs w:val="8"/>
          <w:color w:val="424242"/>
        </w:rPr>
      </w:pPr>
    </w:p>
    <w:p>
      <w:pPr>
        <w:ind w:left="188" w:hanging="188"/>
        <w:spacing w:after="0"/>
        <w:tabs>
          <w:tab w:leader="none" w:pos="188" w:val="left"/>
        </w:tabs>
        <w:numPr>
          <w:ilvl w:val="0"/>
          <w:numId w:val="11"/>
        </w:numPr>
        <w:rPr>
          <w:rFonts w:ascii="Arial" w:cs="Arial" w:eastAsia="Arial" w:hAnsi="Arial"/>
          <w:sz w:val="8"/>
          <w:szCs w:val="8"/>
          <w:color w:val="424242"/>
        </w:rPr>
      </w:pPr>
      <w:r>
        <w:rPr>
          <w:rFonts w:ascii="Arial" w:cs="Arial" w:eastAsia="Arial" w:hAnsi="Arial"/>
          <w:sz w:val="8"/>
          <w:szCs w:val="8"/>
          <w:color w:val="424242"/>
        </w:rPr>
        <w:t>Callable at principal amount only if DBRG common stock has traded at least 130% of the conversion price for 20 of 30 consecutive trading days on or after July 21, 2023.</w:t>
      </w:r>
    </w:p>
    <w:p>
      <w:pPr>
        <w:spacing w:after="0" w:line="34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15</w:t>
            </w:r>
          </w:p>
        </w:tc>
      </w:tr>
    </w:tbl>
    <w:p>
      <w:pPr>
        <w:sectPr>
          <w:pgSz w:w="11900" w:h="16838" w:orient="portrait"/>
          <w:cols w:equalWidth="0" w:num="1">
            <w:col w:w="11308"/>
          </w:cols>
          <w:pgMar w:left="292" w:top="130" w:right="299" w:bottom="1440" w:gutter="0" w:footer="0" w:header="0"/>
        </w:sectPr>
      </w:pPr>
    </w:p>
    <w:bookmarkStart w:id="55" w:name="page56"/>
    <w:bookmarkEnd w:id="55"/>
    <w:p>
      <w:pPr>
        <w:ind w:left="8"/>
        <w:spacing w:after="0"/>
        <w:rPr>
          <w:sz w:val="20"/>
          <w:szCs w:val="20"/>
          <w:color w:val="auto"/>
        </w:rPr>
      </w:pPr>
      <w:r>
        <w:rPr>
          <w:rFonts w:ascii="Arial" w:cs="Arial" w:eastAsia="Arial" w:hAnsi="Arial"/>
          <w:sz w:val="29"/>
          <w:szCs w:val="29"/>
          <w:color w:val="auto"/>
        </w:rPr>
        <w:t>IIIb. Capitalization - DBRG Series 2021-1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 in thousands, as of December 31, 2023)</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Class A-2 Term Notes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60"/>
        </w:trPr>
        <w:tc>
          <w:tcPr>
            <w:tcW w:w="4080" w:type="dxa"/>
            <w:vAlign w:val="bottom"/>
            <w:shd w:val="clear" w:color="auto" w:fill="DBDBDB"/>
          </w:tcPr>
          <w:p>
            <w:pPr>
              <w:spacing w:after="0"/>
              <w:rPr>
                <w:sz w:val="20"/>
                <w:szCs w:val="20"/>
                <w:color w:val="auto"/>
              </w:rPr>
            </w:pPr>
            <w:r>
              <w:rPr>
                <w:rFonts w:ascii="Arial" w:cs="Arial" w:eastAsia="Arial" w:hAnsi="Arial"/>
                <w:sz w:val="11"/>
                <w:szCs w:val="11"/>
                <w:color w:val="auto"/>
              </w:rPr>
              <w:t>Amount outstanding</w:t>
            </w:r>
          </w:p>
        </w:tc>
        <w:tc>
          <w:tcPr>
            <w:tcW w:w="274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rPr>
              <w:t>$</w:t>
            </w:r>
          </w:p>
        </w:tc>
        <w:tc>
          <w:tcPr>
            <w:tcW w:w="1480" w:type="dxa"/>
            <w:vAlign w:val="bottom"/>
            <w:shd w:val="clear" w:color="auto" w:fill="DBDBDB"/>
          </w:tcPr>
          <w:p>
            <w:pPr>
              <w:jc w:val="right"/>
              <w:ind w:right="246"/>
              <w:spacing w:after="0"/>
              <w:rPr>
                <w:sz w:val="20"/>
                <w:szCs w:val="20"/>
                <w:color w:val="auto"/>
              </w:rPr>
            </w:pPr>
            <w:r>
              <w:rPr>
                <w:rFonts w:ascii="Arial" w:cs="Arial" w:eastAsia="Arial" w:hAnsi="Arial"/>
                <w:sz w:val="11"/>
                <w:szCs w:val="11"/>
                <w:color w:val="auto"/>
              </w:rPr>
              <w:t>300,000</w:t>
            </w:r>
          </w:p>
        </w:tc>
      </w:tr>
      <w:tr>
        <w:trPr>
          <w:trHeight w:val="179"/>
        </w:trPr>
        <w:tc>
          <w:tcPr>
            <w:tcW w:w="4080" w:type="dxa"/>
            <w:vAlign w:val="bottom"/>
          </w:tcPr>
          <w:p>
            <w:pPr>
              <w:spacing w:after="0"/>
              <w:rPr>
                <w:sz w:val="20"/>
                <w:szCs w:val="20"/>
                <w:color w:val="auto"/>
              </w:rPr>
            </w:pPr>
            <w:r>
              <w:rPr>
                <w:rFonts w:ascii="Arial" w:cs="Arial" w:eastAsia="Arial" w:hAnsi="Arial"/>
                <w:sz w:val="11"/>
                <w:szCs w:val="11"/>
                <w:color w:val="auto"/>
              </w:rPr>
              <w:t>Interest rate</w:t>
            </w:r>
          </w:p>
        </w:tc>
        <w:tc>
          <w:tcPr>
            <w:tcW w:w="2740" w:type="dxa"/>
            <w:vAlign w:val="bottom"/>
          </w:tcPr>
          <w:p>
            <w:pPr>
              <w:spacing w:after="0"/>
              <w:rPr>
                <w:sz w:val="15"/>
                <w:szCs w:val="15"/>
                <w:color w:val="auto"/>
              </w:rPr>
            </w:pPr>
          </w:p>
        </w:tc>
        <w:tc>
          <w:tcPr>
            <w:tcW w:w="1480" w:type="dxa"/>
            <w:vAlign w:val="bottom"/>
          </w:tcPr>
          <w:p>
            <w:pPr>
              <w:jc w:val="right"/>
              <w:ind w:right="126"/>
              <w:spacing w:after="0"/>
              <w:rPr>
                <w:sz w:val="20"/>
                <w:szCs w:val="20"/>
                <w:color w:val="auto"/>
              </w:rPr>
            </w:pPr>
            <w:r>
              <w:rPr>
                <w:rFonts w:ascii="Arial" w:cs="Arial" w:eastAsia="Arial" w:hAnsi="Arial"/>
                <w:sz w:val="11"/>
                <w:szCs w:val="11"/>
                <w:color w:val="auto"/>
              </w:rPr>
              <w:t>3.933 %</w:t>
            </w:r>
          </w:p>
        </w:tc>
      </w:tr>
      <w:tr>
        <w:trPr>
          <w:trHeight w:val="181"/>
        </w:trPr>
        <w:tc>
          <w:tcPr>
            <w:tcW w:w="4080" w:type="dxa"/>
            <w:vAlign w:val="bottom"/>
            <w:shd w:val="clear" w:color="auto" w:fill="DBDBDB"/>
          </w:tcPr>
          <w:p>
            <w:pPr>
              <w:spacing w:after="0"/>
              <w:rPr>
                <w:sz w:val="20"/>
                <w:szCs w:val="20"/>
                <w:color w:val="auto"/>
              </w:rPr>
            </w:pPr>
            <w:r>
              <w:rPr>
                <w:rFonts w:ascii="Arial" w:cs="Arial" w:eastAsia="Arial" w:hAnsi="Arial"/>
                <w:sz w:val="11"/>
                <w:szCs w:val="11"/>
                <w:color w:val="auto"/>
              </w:rPr>
              <w:t>Anticipated Repayment Date (ARD)</w:t>
            </w:r>
          </w:p>
        </w:tc>
        <w:tc>
          <w:tcPr>
            <w:tcW w:w="274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rPr>
              <w:t>September 25, 2026</w:t>
            </w:r>
          </w:p>
        </w:tc>
      </w:tr>
      <w:tr>
        <w:trPr>
          <w:trHeight w:val="178"/>
        </w:trPr>
        <w:tc>
          <w:tcPr>
            <w:tcW w:w="4080" w:type="dxa"/>
            <w:vAlign w:val="bottom"/>
          </w:tcPr>
          <w:p>
            <w:pPr>
              <w:spacing w:after="0"/>
              <w:rPr>
                <w:sz w:val="20"/>
                <w:szCs w:val="20"/>
                <w:color w:val="auto"/>
              </w:rPr>
            </w:pPr>
            <w:r>
              <w:rPr>
                <w:rFonts w:ascii="Arial" w:cs="Arial" w:eastAsia="Arial" w:hAnsi="Arial"/>
                <w:sz w:val="11"/>
                <w:szCs w:val="11"/>
                <w:color w:val="auto"/>
              </w:rPr>
              <w:t>Kroll Rating</w:t>
            </w:r>
          </w:p>
        </w:tc>
        <w:tc>
          <w:tcPr>
            <w:tcW w:w="2740" w:type="dxa"/>
            <w:vAlign w:val="bottom"/>
          </w:tcPr>
          <w:p>
            <w:pPr>
              <w:spacing w:after="0"/>
              <w:rPr>
                <w:sz w:val="15"/>
                <w:szCs w:val="15"/>
                <w:color w:val="auto"/>
              </w:rPr>
            </w:pPr>
          </w:p>
        </w:tc>
        <w:tc>
          <w:tcPr>
            <w:tcW w:w="1480" w:type="dxa"/>
            <w:vAlign w:val="bottom"/>
          </w:tcPr>
          <w:p>
            <w:pPr>
              <w:jc w:val="right"/>
              <w:ind w:right="126"/>
              <w:spacing w:after="0"/>
              <w:rPr>
                <w:sz w:val="20"/>
                <w:szCs w:val="20"/>
                <w:color w:val="auto"/>
              </w:rPr>
            </w:pPr>
            <w:r>
              <w:rPr>
                <w:rFonts w:ascii="Arial" w:cs="Arial" w:eastAsia="Arial" w:hAnsi="Arial"/>
                <w:sz w:val="11"/>
                <w:szCs w:val="11"/>
                <w:color w:val="auto"/>
              </w:rPr>
              <w:t>BBB</w:t>
            </w:r>
          </w:p>
        </w:tc>
      </w:tr>
    </w:tbl>
    <w:p>
      <w:pPr>
        <w:spacing w:after="0" w:line="20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003366"/>
        </w:rPr>
        <w:t>Class A-1 Variable Funding Notes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97"/>
        </w:trPr>
        <w:tc>
          <w:tcPr>
            <w:tcW w:w="6440" w:type="dxa"/>
            <w:vAlign w:val="bottom"/>
            <w:vMerge w:val="restart"/>
            <w:shd w:val="clear" w:color="auto" w:fill="DBDBDB"/>
          </w:tcPr>
          <w:p>
            <w:pPr>
              <w:spacing w:after="0"/>
              <w:rPr>
                <w:sz w:val="20"/>
                <w:szCs w:val="20"/>
                <w:color w:val="auto"/>
              </w:rPr>
            </w:pPr>
            <w:r>
              <w:rPr>
                <w:rFonts w:ascii="Arial" w:cs="Arial" w:eastAsia="Arial" w:hAnsi="Arial"/>
                <w:sz w:val="11"/>
                <w:szCs w:val="11"/>
                <w:color w:val="auto"/>
              </w:rPr>
              <w:t>Maximum Available</w:t>
            </w:r>
          </w:p>
        </w:tc>
        <w:tc>
          <w:tcPr>
            <w:tcW w:w="260" w:type="dxa"/>
            <w:vAlign w:val="bottom"/>
            <w:vMerge w:val="restart"/>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vMerge w:val="restart"/>
            <w:shd w:val="clear" w:color="auto" w:fill="DBDBDB"/>
          </w:tcPr>
          <w:p>
            <w:pPr>
              <w:jc w:val="right"/>
              <w:ind w:right="66"/>
              <w:spacing w:after="0"/>
              <w:rPr>
                <w:sz w:val="20"/>
                <w:szCs w:val="20"/>
                <w:color w:val="auto"/>
              </w:rPr>
            </w:pPr>
            <w:r>
              <w:rPr>
                <w:rFonts w:ascii="Arial" w:cs="Arial" w:eastAsia="Arial" w:hAnsi="Arial"/>
                <w:sz w:val="11"/>
                <w:szCs w:val="11"/>
                <w:color w:val="auto"/>
              </w:rPr>
              <w:t>300,000</w:t>
            </w:r>
          </w:p>
        </w:tc>
        <w:tc>
          <w:tcPr>
            <w:tcW w:w="180" w:type="dxa"/>
            <w:vAlign w:val="bottom"/>
            <w:shd w:val="clear" w:color="auto" w:fill="DBDBDB"/>
          </w:tcPr>
          <w:p>
            <w:pPr>
              <w:jc w:val="right"/>
              <w:spacing w:after="0"/>
              <w:rPr>
                <w:sz w:val="20"/>
                <w:szCs w:val="20"/>
                <w:color w:val="auto"/>
              </w:rPr>
            </w:pPr>
            <w:r>
              <w:rPr>
                <w:rFonts w:ascii="Arial" w:cs="Arial" w:eastAsia="Arial" w:hAnsi="Arial"/>
                <w:sz w:val="6"/>
                <w:szCs w:val="6"/>
                <w:color w:val="auto"/>
              </w:rPr>
              <w:t>(1)</w:t>
            </w:r>
          </w:p>
        </w:tc>
        <w:tc>
          <w:tcPr>
            <w:tcW w:w="0" w:type="dxa"/>
            <w:vAlign w:val="bottom"/>
          </w:tcPr>
          <w:p>
            <w:pPr>
              <w:spacing w:after="0"/>
              <w:rPr>
                <w:sz w:val="1"/>
                <w:szCs w:val="1"/>
                <w:color w:val="auto"/>
              </w:rPr>
            </w:pPr>
          </w:p>
        </w:tc>
      </w:tr>
      <w:tr>
        <w:trPr>
          <w:trHeight w:val="63"/>
        </w:trPr>
        <w:tc>
          <w:tcPr>
            <w:tcW w:w="6440" w:type="dxa"/>
            <w:vAlign w:val="bottom"/>
            <w:vMerge w:val="continue"/>
            <w:shd w:val="clear" w:color="auto" w:fill="DBDBDB"/>
          </w:tcPr>
          <w:p>
            <w:pPr>
              <w:spacing w:after="0"/>
              <w:rPr>
                <w:sz w:val="5"/>
                <w:szCs w:val="5"/>
                <w:color w:val="auto"/>
              </w:rPr>
            </w:pPr>
          </w:p>
        </w:tc>
        <w:tc>
          <w:tcPr>
            <w:tcW w:w="260" w:type="dxa"/>
            <w:vAlign w:val="bottom"/>
            <w:vMerge w:val="continue"/>
            <w:shd w:val="clear" w:color="auto" w:fill="DBDBDB"/>
          </w:tcPr>
          <w:p>
            <w:pPr>
              <w:spacing w:after="0"/>
              <w:rPr>
                <w:sz w:val="5"/>
                <w:szCs w:val="5"/>
                <w:color w:val="auto"/>
              </w:rPr>
            </w:pPr>
          </w:p>
        </w:tc>
        <w:tc>
          <w:tcPr>
            <w:tcW w:w="1420" w:type="dxa"/>
            <w:vAlign w:val="bottom"/>
            <w:vMerge w:val="continue"/>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440" w:type="dxa"/>
            <w:vAlign w:val="bottom"/>
          </w:tcPr>
          <w:p>
            <w:pPr>
              <w:spacing w:after="0"/>
              <w:rPr>
                <w:sz w:val="20"/>
                <w:szCs w:val="20"/>
                <w:color w:val="auto"/>
              </w:rPr>
            </w:pPr>
            <w:r>
              <w:rPr>
                <w:rFonts w:ascii="Arial" w:cs="Arial" w:eastAsia="Arial" w:hAnsi="Arial"/>
                <w:sz w:val="11"/>
                <w:szCs w:val="11"/>
                <w:color w:val="auto"/>
              </w:rPr>
              <w:t>Amount outstanding</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Interest Rate</w:t>
            </w:r>
          </w:p>
        </w:tc>
        <w:tc>
          <w:tcPr>
            <w:tcW w:w="260" w:type="dxa"/>
            <w:vAlign w:val="bottom"/>
            <w:shd w:val="clear" w:color="auto" w:fill="DBDBDB"/>
          </w:tcPr>
          <w:p>
            <w:pPr>
              <w:spacing w:after="0"/>
              <w:rPr>
                <w:sz w:val="15"/>
                <w:szCs w:val="15"/>
                <w:color w:val="auto"/>
              </w:rPr>
            </w:pPr>
          </w:p>
        </w:tc>
        <w:tc>
          <w:tcPr>
            <w:tcW w:w="160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 xml:space="preserve">1M Term SOFR + 3.00%  </w:t>
            </w:r>
            <w:r>
              <w:rPr>
                <w:rFonts w:ascii="Arial" w:cs="Arial" w:eastAsia="Arial" w:hAnsi="Arial"/>
                <w:sz w:val="11"/>
                <w:szCs w:val="11"/>
                <w:color w:val="auto"/>
                <w:vertAlign w:val="superscript"/>
              </w:rPr>
              <w:t>(1)</w:t>
            </w:r>
          </w:p>
        </w:tc>
        <w:tc>
          <w:tcPr>
            <w:tcW w:w="0" w:type="dxa"/>
            <w:vAlign w:val="bottom"/>
          </w:tcPr>
          <w:p>
            <w:pPr>
              <w:spacing w:after="0"/>
              <w:rPr>
                <w:sz w:val="1"/>
                <w:szCs w:val="1"/>
                <w:color w:val="auto"/>
              </w:rPr>
            </w:pPr>
          </w:p>
        </w:tc>
      </w:tr>
      <w:tr>
        <w:trPr>
          <w:trHeight w:val="225"/>
        </w:trPr>
        <w:tc>
          <w:tcPr>
            <w:tcW w:w="6440" w:type="dxa"/>
            <w:vAlign w:val="bottom"/>
          </w:tcPr>
          <w:p>
            <w:pPr>
              <w:spacing w:after="0"/>
              <w:rPr>
                <w:sz w:val="20"/>
                <w:szCs w:val="20"/>
                <w:color w:val="auto"/>
              </w:rPr>
            </w:pPr>
            <w:r>
              <w:rPr>
                <w:rFonts w:ascii="Arial" w:cs="Arial" w:eastAsia="Arial" w:hAnsi="Arial"/>
                <w:sz w:val="11"/>
                <w:szCs w:val="11"/>
                <w:color w:val="auto"/>
              </w:rPr>
              <w:t>Fully extended Anticipated Repayment Date (ARD)</w:t>
            </w:r>
            <w:r>
              <w:rPr>
                <w:rFonts w:ascii="Arial" w:cs="Arial" w:eastAsia="Arial" w:hAnsi="Arial"/>
                <w:sz w:val="14"/>
                <w:szCs w:val="14"/>
                <w:color w:val="auto"/>
                <w:vertAlign w:val="superscript"/>
              </w:rPr>
              <w:t>(2)</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September 25, 2026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644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Financial covenants:</w:t>
            </w: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97"/>
              </w:rPr>
              <w:t>Covenant level</w:t>
            </w:r>
          </w:p>
        </w:tc>
        <w:tc>
          <w:tcPr>
            <w:tcW w:w="180" w:type="dxa"/>
            <w:vAlign w:val="bottom"/>
            <w:tcBorders>
              <w:bottom w:val="single" w:sz="8" w:color="DBDBDB"/>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4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Debt Service Coverage Ratio</w:t>
            </w:r>
            <w:r>
              <w:rPr>
                <w:rFonts w:ascii="Arial" w:cs="Arial" w:eastAsia="Arial" w:hAnsi="Arial"/>
                <w:sz w:val="14"/>
                <w:szCs w:val="14"/>
                <w:color w:val="auto"/>
                <w:vertAlign w:val="superscript"/>
              </w:rPr>
              <w:t>(3)</w:t>
            </w:r>
          </w:p>
        </w:tc>
        <w:tc>
          <w:tcPr>
            <w:tcW w:w="260" w:type="dxa"/>
            <w:vAlign w:val="bottom"/>
            <w:shd w:val="clear" w:color="auto" w:fill="DBDBDB"/>
          </w:tcPr>
          <w:p>
            <w:pPr>
              <w:spacing w:after="0"/>
              <w:rPr>
                <w:sz w:val="13"/>
                <w:szCs w:val="13"/>
                <w:color w:val="auto"/>
              </w:rPr>
            </w:pPr>
          </w:p>
        </w:tc>
        <w:tc>
          <w:tcPr>
            <w:tcW w:w="1420" w:type="dxa"/>
            <w:vAlign w:val="bottom"/>
            <w:shd w:val="clear" w:color="auto" w:fill="DBDBDB"/>
          </w:tcPr>
          <w:p>
            <w:pPr>
              <w:jc w:val="center"/>
              <w:ind w:right="186"/>
              <w:spacing w:after="0"/>
              <w:rPr>
                <w:sz w:val="20"/>
                <w:szCs w:val="20"/>
                <w:color w:val="auto"/>
              </w:rPr>
            </w:pPr>
            <w:r>
              <w:rPr>
                <w:rFonts w:ascii="Arial" w:cs="Arial" w:eastAsia="Arial" w:hAnsi="Arial"/>
                <w:sz w:val="11"/>
                <w:szCs w:val="11"/>
                <w:color w:val="auto"/>
                <w:w w:val="99"/>
              </w:rPr>
              <w:t>Minimum 1.75x</w:t>
            </w:r>
          </w:p>
        </w:tc>
        <w:tc>
          <w:tcPr>
            <w:tcW w:w="1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40" w:type="dxa"/>
            <w:vAlign w:val="bottom"/>
          </w:tcPr>
          <w:p>
            <w:pPr>
              <w:ind w:left="120"/>
              <w:spacing w:after="0"/>
              <w:rPr>
                <w:sz w:val="20"/>
                <w:szCs w:val="20"/>
                <w:color w:val="auto"/>
              </w:rPr>
            </w:pPr>
            <w:r>
              <w:rPr>
                <w:rFonts w:ascii="Arial" w:cs="Arial" w:eastAsia="Arial" w:hAnsi="Arial"/>
                <w:sz w:val="11"/>
                <w:szCs w:val="11"/>
                <w:color w:val="auto"/>
              </w:rPr>
              <w:t>Loan to Value Ratio</w:t>
            </w:r>
            <w:r>
              <w:rPr>
                <w:rFonts w:ascii="Arial" w:cs="Arial" w:eastAsia="Arial" w:hAnsi="Arial"/>
                <w:sz w:val="14"/>
                <w:szCs w:val="14"/>
                <w:color w:val="auto"/>
                <w:vertAlign w:val="superscript"/>
              </w:rPr>
              <w:t>(4)</w:t>
            </w:r>
          </w:p>
        </w:tc>
        <w:tc>
          <w:tcPr>
            <w:tcW w:w="260" w:type="dxa"/>
            <w:vAlign w:val="bottom"/>
          </w:tcPr>
          <w:p>
            <w:pPr>
              <w:spacing w:after="0"/>
              <w:rPr>
                <w:sz w:val="15"/>
                <w:szCs w:val="15"/>
                <w:color w:val="auto"/>
              </w:rPr>
            </w:pPr>
          </w:p>
        </w:tc>
        <w:tc>
          <w:tcPr>
            <w:tcW w:w="1420" w:type="dxa"/>
            <w:vAlign w:val="bottom"/>
          </w:tcPr>
          <w:p>
            <w:pPr>
              <w:jc w:val="center"/>
              <w:ind w:right="206"/>
              <w:spacing w:after="0"/>
              <w:rPr>
                <w:sz w:val="20"/>
                <w:szCs w:val="20"/>
                <w:color w:val="auto"/>
              </w:rPr>
            </w:pPr>
            <w:r>
              <w:rPr>
                <w:rFonts w:ascii="Arial" w:cs="Arial" w:eastAsia="Arial" w:hAnsi="Arial"/>
                <w:sz w:val="11"/>
                <w:szCs w:val="11"/>
                <w:color w:val="auto"/>
                <w:w w:val="97"/>
              </w:rPr>
              <w:t>Less than 35.0%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Investment Management Expense Ratio</w:t>
            </w:r>
            <w:r>
              <w:rPr>
                <w:rFonts w:ascii="Arial" w:cs="Arial" w:eastAsia="Arial" w:hAnsi="Arial"/>
                <w:sz w:val="14"/>
                <w:szCs w:val="14"/>
                <w:color w:val="auto"/>
                <w:vertAlign w:val="superscript"/>
              </w:rPr>
              <w:t>(5)</w:t>
            </w:r>
          </w:p>
        </w:tc>
        <w:tc>
          <w:tcPr>
            <w:tcW w:w="260" w:type="dxa"/>
            <w:vAlign w:val="bottom"/>
            <w:shd w:val="clear" w:color="auto" w:fill="DBDBDB"/>
          </w:tcPr>
          <w:p>
            <w:pPr>
              <w:spacing w:after="0"/>
              <w:rPr>
                <w:sz w:val="15"/>
                <w:szCs w:val="15"/>
                <w:color w:val="auto"/>
              </w:rPr>
            </w:pPr>
          </w:p>
        </w:tc>
        <w:tc>
          <w:tcPr>
            <w:tcW w:w="1420" w:type="dxa"/>
            <w:vAlign w:val="bottom"/>
            <w:shd w:val="clear" w:color="auto" w:fill="DBDBDB"/>
          </w:tcPr>
          <w:p>
            <w:pPr>
              <w:jc w:val="center"/>
              <w:ind w:right="206"/>
              <w:spacing w:after="0"/>
              <w:rPr>
                <w:sz w:val="20"/>
                <w:szCs w:val="20"/>
                <w:color w:val="auto"/>
              </w:rPr>
            </w:pPr>
            <w:r>
              <w:rPr>
                <w:rFonts w:ascii="Arial" w:cs="Arial" w:eastAsia="Arial" w:hAnsi="Arial"/>
                <w:sz w:val="11"/>
                <w:szCs w:val="11"/>
                <w:color w:val="auto"/>
                <w:w w:val="97"/>
              </w:rPr>
              <w:t>Less than 60.0%</w:t>
            </w:r>
          </w:p>
        </w:tc>
        <w:tc>
          <w:tcPr>
            <w:tcW w:w="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40" w:type="dxa"/>
            <w:vAlign w:val="bottom"/>
          </w:tcPr>
          <w:p>
            <w:pPr>
              <w:spacing w:after="0"/>
              <w:rPr>
                <w:sz w:val="20"/>
                <w:szCs w:val="20"/>
                <w:color w:val="auto"/>
              </w:rPr>
            </w:pPr>
            <w:r>
              <w:rPr>
                <w:rFonts w:ascii="Arial" w:cs="Arial" w:eastAsia="Arial" w:hAnsi="Arial"/>
                <w:sz w:val="11"/>
                <w:szCs w:val="11"/>
                <w:color w:val="auto"/>
              </w:rPr>
              <w:t>Company status: As of February 19, 2024, DBRG is meeting all required covenant threshold levels.</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208" w:right="80" w:hanging="208"/>
        <w:spacing w:after="0" w:line="266" w:lineRule="auto"/>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Effective April 1, 2022, the maximum principal amount of the Series 2021-1 Class A-1 Variable Funding Notes increased to $300 million and Term SOFR replaced LIBOR as the benchmark for accruing interest on the Series 2021-1 Class A-1 Variable Funding Notes. 1 month term SOFR is adjusted to include 0.11448% as defined in the Amendment No.1 to Class A-1 Note Purchase Agreement.</w:t>
      </w:r>
    </w:p>
    <w:p>
      <w:pPr>
        <w:ind w:left="208" w:right="20" w:hanging="208"/>
        <w:spacing w:after="0" w:line="262" w:lineRule="auto"/>
        <w:tabs>
          <w:tab w:leader="none" w:pos="183" w:val="left"/>
        </w:tabs>
        <w:numPr>
          <w:ilvl w:val="0"/>
          <w:numId w:val="12"/>
        </w:numPr>
        <w:rPr>
          <w:rFonts w:ascii="Arial" w:cs="Arial" w:eastAsia="Arial" w:hAnsi="Arial"/>
          <w:sz w:val="8"/>
          <w:szCs w:val="8"/>
          <w:color w:val="424242"/>
        </w:rPr>
      </w:pPr>
      <w:r>
        <w:rPr>
          <w:rFonts w:ascii="Arial" w:cs="Arial" w:eastAsia="Arial" w:hAnsi="Arial"/>
          <w:sz w:val="8"/>
          <w:szCs w:val="8"/>
          <w:color w:val="424242"/>
        </w:rPr>
        <w:t>Anticipated Repayment Date is September 25, 2026 including two 1-year extension options subject to 1) either rating agency confirmation and consent of VFN noteholders are obtained or DSCR exceeding 1.75x, 2) term notes rating not less than BBB- 3) the payment of a 0.05% extension fee and 4) other customary conditions.</w:t>
      </w:r>
    </w:p>
    <w:p>
      <w:pPr>
        <w:ind w:left="188" w:hanging="188"/>
        <w:spacing w:after="0"/>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Debt service coverage ratio covenant thresholds: minimum of 1.75x for ability to borrow from the VFN; below 1.75x to 1.50x = 50% cash trap; below 1.50x to 1.20x = 100% cash trap; and below 1.20x = cash sweep.</w:t>
      </w:r>
    </w:p>
    <w:p>
      <w:pPr>
        <w:spacing w:after="0" w:line="16" w:lineRule="exact"/>
        <w:rPr>
          <w:rFonts w:ascii="Arial" w:cs="Arial" w:eastAsia="Arial" w:hAnsi="Arial"/>
          <w:sz w:val="8"/>
          <w:szCs w:val="8"/>
          <w:color w:val="424242"/>
        </w:rPr>
      </w:pPr>
    </w:p>
    <w:p>
      <w:pPr>
        <w:ind w:left="188" w:hanging="188"/>
        <w:spacing w:after="0"/>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100% cash sweep until LTV is less than 35%.</w:t>
      </w:r>
    </w:p>
    <w:p>
      <w:pPr>
        <w:spacing w:after="0" w:line="23" w:lineRule="exact"/>
        <w:rPr>
          <w:rFonts w:ascii="Arial" w:cs="Arial" w:eastAsia="Arial" w:hAnsi="Arial"/>
          <w:sz w:val="8"/>
          <w:szCs w:val="8"/>
          <w:color w:val="424242"/>
        </w:rPr>
      </w:pPr>
    </w:p>
    <w:p>
      <w:pPr>
        <w:ind w:left="188" w:hanging="188"/>
        <w:spacing w:after="0"/>
        <w:tabs>
          <w:tab w:leader="none" w:pos="188" w:val="left"/>
        </w:tabs>
        <w:numPr>
          <w:ilvl w:val="0"/>
          <w:numId w:val="12"/>
        </w:numPr>
        <w:rPr>
          <w:rFonts w:ascii="Arial" w:cs="Arial" w:eastAsia="Arial" w:hAnsi="Arial"/>
          <w:sz w:val="8"/>
          <w:szCs w:val="8"/>
          <w:color w:val="424242"/>
        </w:rPr>
      </w:pPr>
      <w:r>
        <w:rPr>
          <w:rFonts w:ascii="Arial" w:cs="Arial" w:eastAsia="Arial" w:hAnsi="Arial"/>
          <w:sz w:val="8"/>
          <w:szCs w:val="8"/>
          <w:color w:val="424242"/>
        </w:rPr>
        <w:t>50% cash sweep until ratio is less than 60%.</w:t>
      </w:r>
    </w:p>
    <w:p>
      <w:pPr>
        <w:spacing w:after="0" w:line="3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16</w:t>
            </w:r>
          </w:p>
        </w:tc>
      </w:tr>
    </w:tbl>
    <w:p>
      <w:pPr>
        <w:sectPr>
          <w:pgSz w:w="11900" w:h="16838" w:orient="portrait"/>
          <w:cols w:equalWidth="0" w:num="1">
            <w:col w:w="11308"/>
          </w:cols>
          <w:pgMar w:left="292" w:top="130" w:right="299" w:bottom="1440" w:gutter="0" w:footer="0" w:header="0"/>
        </w:sectPr>
      </w:pPr>
    </w:p>
    <w:bookmarkStart w:id="56" w:name="page57"/>
    <w:bookmarkEnd w:id="56"/>
    <w:p>
      <w:pPr>
        <w:spacing w:after="0"/>
        <w:rPr>
          <w:sz w:val="20"/>
          <w:szCs w:val="20"/>
          <w:color w:val="auto"/>
        </w:rPr>
      </w:pPr>
      <w:r>
        <w:rPr>
          <w:rFonts w:ascii="Arial" w:cs="Arial" w:eastAsia="Arial" w:hAnsi="Arial"/>
          <w:sz w:val="29"/>
          <w:szCs w:val="29"/>
          <w:color w:val="auto"/>
        </w:rPr>
        <w:t>IV.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000" w:type="dxa"/>
            <w:vAlign w:val="bottom"/>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Consolidated amount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4Q23</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2Q23</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1Q23</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4Q22</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3Q22</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2Q22</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0" w:type="dxa"/>
            <w:vAlign w:val="bottom"/>
          </w:tcPr>
          <w:p>
            <w:pPr>
              <w:spacing w:after="0"/>
              <w:rPr>
                <w:sz w:val="1"/>
                <w:szCs w:val="1"/>
                <w:color w:val="auto"/>
              </w:rPr>
            </w:pPr>
          </w:p>
        </w:tc>
      </w:tr>
      <w:tr>
        <w:trPr>
          <w:trHeight w:val="133"/>
        </w:trPr>
        <w:tc>
          <w:tcPr>
            <w:tcW w:w="40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GP affiliated investment in DBP Series</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406,039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388,169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374,139</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345,719</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343,137</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277,450</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284,282</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248,663</w:t>
            </w:r>
          </w:p>
        </w:tc>
        <w:tc>
          <w:tcPr>
            <w:tcW w:w="0" w:type="dxa"/>
            <w:vAlign w:val="bottom"/>
          </w:tcPr>
          <w:p>
            <w:pPr>
              <w:spacing w:after="0"/>
              <w:rPr>
                <w:sz w:val="1"/>
                <w:szCs w:val="1"/>
                <w:color w:val="auto"/>
              </w:rPr>
            </w:pPr>
          </w:p>
        </w:tc>
      </w:tr>
      <w:tr>
        <w:trPr>
          <w:trHeight w:val="143"/>
        </w:trPr>
        <w:tc>
          <w:tcPr>
            <w:tcW w:w="4000" w:type="dxa"/>
            <w:vAlign w:val="bottom"/>
          </w:tcPr>
          <w:p>
            <w:pPr>
              <w:ind w:left="140"/>
              <w:spacing w:after="0"/>
              <w:rPr>
                <w:sz w:val="20"/>
                <w:szCs w:val="20"/>
                <w:color w:val="auto"/>
              </w:rPr>
            </w:pPr>
            <w:r>
              <w:rPr>
                <w:rFonts w:ascii="Arial" w:cs="Arial" w:eastAsia="Arial" w:hAnsi="Arial"/>
                <w:sz w:val="11"/>
                <w:szCs w:val="11"/>
                <w:color w:val="auto"/>
              </w:rPr>
              <w:t>GP affiliated investment in GIF Series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144,167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134,011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135,857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142,280</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0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GP affiliated investment in DataBank and Vantage SDC</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930,654</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434,465</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4000" w:type="dxa"/>
            <w:vAlign w:val="bottom"/>
          </w:tcPr>
          <w:p>
            <w:pPr>
              <w:ind w:left="140"/>
              <w:spacing w:after="0" w:line="109" w:lineRule="exact"/>
              <w:rPr>
                <w:sz w:val="20"/>
                <w:szCs w:val="20"/>
                <w:color w:val="auto"/>
              </w:rPr>
            </w:pPr>
            <w:r>
              <w:rPr>
                <w:rFonts w:ascii="Arial" w:cs="Arial" w:eastAsia="Arial" w:hAnsi="Arial"/>
                <w:sz w:val="11"/>
                <w:szCs w:val="11"/>
                <w:color w:val="auto"/>
              </w:rPr>
              <w:t>Other GP affiliated investments and warehoused/seed investments (Credit,</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232,293</w:t>
            </w:r>
          </w:p>
        </w:tc>
        <w:tc>
          <w:tcPr>
            <w:tcW w:w="2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296,914</w:t>
            </w:r>
          </w:p>
        </w:tc>
        <w:tc>
          <w:tcPr>
            <w:tcW w:w="2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272,564</w:t>
            </w:r>
          </w:p>
        </w:tc>
        <w:tc>
          <w:tcPr>
            <w:tcW w:w="2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346,774</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316,299</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769,431</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906,076</w:t>
            </w:r>
          </w:p>
        </w:tc>
        <w:tc>
          <w:tcPr>
            <w:tcW w:w="22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423,467</w:t>
            </w:r>
          </w:p>
        </w:tc>
        <w:tc>
          <w:tcPr>
            <w:tcW w:w="0" w:type="dxa"/>
            <w:vAlign w:val="bottom"/>
          </w:tcPr>
          <w:p>
            <w:pPr>
              <w:spacing w:after="0"/>
              <w:rPr>
                <w:sz w:val="1"/>
                <w:szCs w:val="1"/>
                <w:color w:val="auto"/>
              </w:rPr>
            </w:pPr>
          </w:p>
        </w:tc>
      </w:tr>
      <w:tr>
        <w:trPr>
          <w:trHeight w:val="143"/>
        </w:trPr>
        <w:tc>
          <w:tcPr>
            <w:tcW w:w="40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Core, Liquid, Ventures)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Total investments</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1,713,153</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1,253,559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782,560</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834,773</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659,436</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1,046,881</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1,190,358</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672,130</w:t>
            </w:r>
          </w:p>
        </w:tc>
        <w:tc>
          <w:tcPr>
            <w:tcW w:w="0" w:type="dxa"/>
            <w:vAlign w:val="bottom"/>
          </w:tcPr>
          <w:p>
            <w:pPr>
              <w:spacing w:after="0"/>
              <w:rPr>
                <w:sz w:val="1"/>
                <w:szCs w:val="1"/>
                <w:color w:val="auto"/>
              </w:rPr>
            </w:pPr>
          </w:p>
        </w:tc>
      </w:tr>
      <w:tr>
        <w:trPr>
          <w:trHeight w:val="495"/>
        </w:trPr>
        <w:tc>
          <w:tcPr>
            <w:tcW w:w="4000" w:type="dxa"/>
            <w:vAlign w:val="bottom"/>
          </w:tcPr>
          <w:p>
            <w:pPr>
              <w:spacing w:after="0"/>
              <w:rPr>
                <w:sz w:val="20"/>
                <w:szCs w:val="20"/>
                <w:color w:val="auto"/>
              </w:rPr>
            </w:pPr>
            <w:r>
              <w:rPr>
                <w:rFonts w:ascii="Arial" w:cs="Arial" w:eastAsia="Arial" w:hAnsi="Arial"/>
                <w:sz w:val="11"/>
                <w:szCs w:val="11"/>
                <w:b w:val="1"/>
                <w:bCs w:val="1"/>
                <w:color w:val="auto"/>
              </w:rPr>
              <w:t>DBRG OP share of consolidated amount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GP affiliated investment in DBP Series</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316,763</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303,127</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294,031</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272,395</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270,400</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215,872</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217,504</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187,247</w:t>
            </w:r>
          </w:p>
        </w:tc>
        <w:tc>
          <w:tcPr>
            <w:tcW w:w="0" w:type="dxa"/>
            <w:vAlign w:val="bottom"/>
          </w:tcPr>
          <w:p>
            <w:pPr>
              <w:spacing w:after="0"/>
              <w:rPr>
                <w:sz w:val="1"/>
                <w:szCs w:val="1"/>
                <w:color w:val="auto"/>
              </w:rPr>
            </w:pPr>
          </w:p>
        </w:tc>
      </w:tr>
      <w:tr>
        <w:trPr>
          <w:trHeight w:val="143"/>
        </w:trPr>
        <w:tc>
          <w:tcPr>
            <w:tcW w:w="4000" w:type="dxa"/>
            <w:vAlign w:val="bottom"/>
          </w:tcPr>
          <w:p>
            <w:pPr>
              <w:ind w:left="140"/>
              <w:spacing w:after="0"/>
              <w:rPr>
                <w:sz w:val="20"/>
                <w:szCs w:val="20"/>
                <w:color w:val="auto"/>
              </w:rPr>
            </w:pPr>
            <w:r>
              <w:rPr>
                <w:rFonts w:ascii="Arial" w:cs="Arial" w:eastAsia="Arial" w:hAnsi="Arial"/>
                <w:sz w:val="11"/>
                <w:szCs w:val="11"/>
                <w:color w:val="auto"/>
              </w:rPr>
              <w:t>GP affiliated investment in GIF Series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144,167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134,011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135,857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142,280</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0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GP affiliated investment in DataBank and Vantage SDC</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668,587</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434,465</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4000" w:type="dxa"/>
            <w:vAlign w:val="bottom"/>
          </w:tcPr>
          <w:p>
            <w:pPr>
              <w:ind w:left="140"/>
              <w:spacing w:after="0" w:line="109" w:lineRule="exact"/>
              <w:rPr>
                <w:sz w:val="20"/>
                <w:szCs w:val="20"/>
                <w:color w:val="auto"/>
              </w:rPr>
            </w:pPr>
            <w:r>
              <w:rPr>
                <w:rFonts w:ascii="Arial" w:cs="Arial" w:eastAsia="Arial" w:hAnsi="Arial"/>
                <w:sz w:val="11"/>
                <w:szCs w:val="11"/>
                <w:color w:val="auto"/>
              </w:rPr>
              <w:t>Other GP affiliated investments and warehoused/seed investments (Credit,</w:t>
            </w:r>
          </w:p>
        </w:tc>
        <w:tc>
          <w:tcPr>
            <w:tcW w:w="2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197,339</w:t>
            </w:r>
          </w:p>
        </w:tc>
        <w:tc>
          <w:tcPr>
            <w:tcW w:w="2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186,444</w:t>
            </w:r>
          </w:p>
        </w:tc>
        <w:tc>
          <w:tcPr>
            <w:tcW w:w="2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188,325</w:t>
            </w:r>
          </w:p>
        </w:tc>
        <w:tc>
          <w:tcPr>
            <w:tcW w:w="2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184,938</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178,379</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467,014</w:t>
            </w:r>
          </w:p>
        </w:tc>
        <w:tc>
          <w:tcPr>
            <w:tcW w:w="22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591,066</w:t>
            </w:r>
          </w:p>
        </w:tc>
        <w:tc>
          <w:tcPr>
            <w:tcW w:w="22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Arial" w:cs="Arial" w:eastAsia="Arial" w:hAnsi="Arial"/>
                <w:sz w:val="11"/>
                <w:szCs w:val="11"/>
                <w:color w:val="auto"/>
              </w:rPr>
              <w:t>308,578</w:t>
            </w:r>
          </w:p>
        </w:tc>
        <w:tc>
          <w:tcPr>
            <w:tcW w:w="0" w:type="dxa"/>
            <w:vAlign w:val="bottom"/>
          </w:tcPr>
          <w:p>
            <w:pPr>
              <w:spacing w:after="0"/>
              <w:rPr>
                <w:sz w:val="1"/>
                <w:szCs w:val="1"/>
                <w:color w:val="auto"/>
              </w:rPr>
            </w:pPr>
          </w:p>
        </w:tc>
      </w:tr>
      <w:tr>
        <w:trPr>
          <w:trHeight w:val="143"/>
        </w:trPr>
        <w:tc>
          <w:tcPr>
            <w:tcW w:w="40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Core, Liquid, Ventures)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Total investments</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1,326,856</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1,058,047</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618,213</w:t>
            </w:r>
          </w:p>
        </w:tc>
        <w:tc>
          <w:tcPr>
            <w:tcW w:w="24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599,613</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448,779</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682,886</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808,570</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b w:val="1"/>
                <w:bCs w:val="1"/>
                <w:color w:val="auto"/>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495,825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17</w:t>
            </w:r>
          </w:p>
        </w:tc>
      </w:tr>
    </w:tbl>
    <w:p>
      <w:pPr>
        <w:sectPr>
          <w:pgSz w:w="11900" w:h="16838" w:orient="portrait"/>
          <w:cols w:equalWidth="0" w:num="1">
            <w:col w:w="11300"/>
          </w:cols>
          <w:pgMar w:left="300" w:top="130" w:right="299" w:bottom="1440" w:gutter="0" w:footer="0" w:header="0"/>
        </w:sectPr>
      </w:pPr>
    </w:p>
    <w:bookmarkStart w:id="57" w:name="page58"/>
    <w:bookmarkEnd w:id="57"/>
    <w:p>
      <w:pPr>
        <w:spacing w:after="0"/>
        <w:rPr>
          <w:sz w:val="20"/>
          <w:szCs w:val="20"/>
          <w:color w:val="auto"/>
        </w:rPr>
      </w:pPr>
      <w:r>
        <w:rPr>
          <w:rFonts w:ascii="Arial" w:cs="Arial" w:eastAsia="Arial" w:hAnsi="Arial"/>
          <w:sz w:val="28"/>
          <w:szCs w:val="28"/>
          <w:color w:val="auto"/>
        </w:rPr>
        <w:t>V. Cash G&amp;A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2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 in thousands)</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Investment Management 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60295" cy="91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1"/>
          <w:szCs w:val="11"/>
          <w:color w:val="auto"/>
        </w:rPr>
        <w:t>Cash and equity-based compensation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Compensation expense—equity-based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expenses—straight-line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Transaction-related and restructuring charges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Investment Management Cash G&amp;A</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Corporate &amp; Other 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60295" cy="91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Arial" w:cs="Arial" w:eastAsia="Arial" w:hAnsi="Arial"/>
          <w:sz w:val="11"/>
          <w:szCs w:val="11"/>
          <w:color w:val="auto"/>
        </w:rPr>
        <w:t>Cash and equity-based compensation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Compensation expense—equity-based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Administrative expenses—straight-line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0"/>
          <w:szCs w:val="10"/>
          <w:color w:val="auto"/>
        </w:rPr>
        <w:t>Administrative expenses—noncontrolling interests</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Transaction-related and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71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60295" cy="971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Corporate &amp; Other 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2360295" cy="1085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60295" cy="10858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DBRG Cash G&amp;A excluding Portfolio Company G&amp;A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Corporate &amp; Other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60295"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60295" cy="9144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EBITDA, excluding Cash G&amp;A</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Cash 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60295"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60295" cy="971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Corporate &amp; Other 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4Q23</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3Q23</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2Q23</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1Q23</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4Q22</w:t>
            </w: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3Q22</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2Q22</w:t>
            </w: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1Q22</w:t>
            </w:r>
          </w:p>
        </w:tc>
      </w:tr>
      <w:tr>
        <w:trPr>
          <w:trHeight w:val="133"/>
        </w:trPr>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40,702</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39,760</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45,798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28,182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30,829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22,566</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23,230</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24,808</w:t>
            </w:r>
          </w:p>
        </w:tc>
      </w:tr>
      <w:tr>
        <w:trPr>
          <w:trHeight w:val="143"/>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13,106</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9,410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7,953</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6,407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7,958</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4,517</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4,869</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4,171</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(5,647)</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(7,218)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(17,099)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(3,898)</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(7,939)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(2,654)</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(3,361)</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(3,190)</w:t>
            </w:r>
          </w:p>
        </w:tc>
      </w:tr>
      <w:tr>
        <w:trPr>
          <w:trHeight w:val="143"/>
        </w:trPr>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(500)</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(511)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(76)</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(159)</w:t>
            </w:r>
          </w:p>
        </w:tc>
      </w:tr>
      <w:tr>
        <w:trPr>
          <w:trHeight w:val="144"/>
        </w:trPr>
        <w:tc>
          <w:tcPr>
            <w:tcW w:w="22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(9,405)</w:t>
            </w:r>
          </w:p>
        </w:tc>
        <w:tc>
          <w:tcPr>
            <w:tcW w:w="20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(3,010)</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(2,413)</w:t>
            </w:r>
          </w:p>
        </w:tc>
        <w:tc>
          <w:tcPr>
            <w:tcW w:w="22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(4,490)</w:t>
            </w:r>
          </w:p>
        </w:tc>
        <w:tc>
          <w:tcPr>
            <w:tcW w:w="22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(6,560)</w:t>
            </w:r>
          </w:p>
        </w:tc>
        <w:tc>
          <w:tcPr>
            <w:tcW w:w="22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(1,035)</w:t>
            </w:r>
          </w:p>
        </w:tc>
        <w:tc>
          <w:tcPr>
            <w:tcW w:w="20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(2,143)</w:t>
            </w:r>
          </w:p>
        </w:tc>
        <w:tc>
          <w:tcPr>
            <w:tcW w:w="22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(3,943)</w:t>
            </w:r>
          </w:p>
        </w:tc>
      </w:tr>
      <w:tr>
        <w:trPr>
          <w:trHeight w:val="138"/>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38,256</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38,431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34,278</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26,124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24,222</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23,326</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22,519</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21,687</w:t>
            </w:r>
          </w:p>
        </w:tc>
      </w:tr>
      <w:tr>
        <w:trPr>
          <w:trHeight w:val="293"/>
        </w:trPr>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4"/>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9,046</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13,356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10,759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19,289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10,804</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12,404</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9,333</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20,778</w:t>
            </w:r>
          </w:p>
        </w:tc>
      </w:tr>
      <w:tr>
        <w:trPr>
          <w:trHeight w:val="143"/>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12,830</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7,142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8,969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12,859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23,373</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17,992</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12,574</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16,815</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(4,148)</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(7,122)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(3,593)</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(6,872)</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(5,171)</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(4,840)</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(5,878)</w:t>
            </w:r>
          </w:p>
        </w:tc>
      </w:tr>
      <w:tr>
        <w:trPr>
          <w:trHeight w:val="143"/>
        </w:trPr>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594</w:t>
            </w: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579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352</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485</w:t>
            </w:r>
          </w:p>
        </w:tc>
        <w:tc>
          <w:tcPr>
            <w:tcW w:w="2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741</w:t>
            </w:r>
          </w:p>
        </w:tc>
        <w:tc>
          <w:tcPr>
            <w:tcW w:w="2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856</w:t>
            </w:r>
          </w:p>
        </w:tc>
      </w:tr>
      <w:tr>
        <w:trPr>
          <w:trHeight w:val="145"/>
        </w:trPr>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(247)</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(337)</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(170)</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(289)</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(248)</w:t>
            </w:r>
          </w:p>
        </w:tc>
        <w:tc>
          <w:tcPr>
            <w:tcW w:w="22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(338)</w:t>
            </w:r>
          </w:p>
        </w:tc>
        <w:tc>
          <w:tcPr>
            <w:tcW w:w="20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(327)</w:t>
            </w:r>
          </w:p>
        </w:tc>
        <w:tc>
          <w:tcPr>
            <w:tcW w:w="220" w:type="dxa"/>
            <w:vAlign w:val="bottom"/>
            <w:shd w:val="clear" w:color="auto" w:fill="DBDBDB"/>
          </w:tcPr>
          <w:p>
            <w:pPr>
              <w:spacing w:after="0"/>
              <w:rPr>
                <w:sz w:val="12"/>
                <w:szCs w:val="12"/>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(302)</w:t>
            </w:r>
          </w:p>
        </w:tc>
      </w:tr>
      <w:tr>
        <w:trPr>
          <w:trHeight w:val="143"/>
        </w:trPr>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(4,595)</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(2,950)</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(4,282)</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(6,273)</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(18,443)</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(10,549)</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(2,828)</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(14,352)</w:t>
            </w:r>
          </w:p>
        </w:tc>
      </w:tr>
      <w:tr>
        <w:trPr>
          <w:trHeight w:val="134"/>
        </w:trPr>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13,480</w:t>
            </w:r>
          </w:p>
        </w:tc>
        <w:tc>
          <w:tcPr>
            <w:tcW w:w="20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10,668</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12,215</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19,066</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16,300</w:t>
            </w:r>
          </w:p>
        </w:tc>
        <w:tc>
          <w:tcPr>
            <w:tcW w:w="220" w:type="dxa"/>
            <w:vAlign w:val="bottom"/>
            <w:shd w:val="clear" w:color="auto" w:fill="DBDBDB"/>
          </w:tcPr>
          <w:p>
            <w:pPr>
              <w:spacing w:after="0"/>
              <w:rPr>
                <w:sz w:val="11"/>
                <w:szCs w:val="11"/>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14,998</w:t>
            </w:r>
          </w:p>
        </w:tc>
        <w:tc>
          <w:tcPr>
            <w:tcW w:w="200" w:type="dxa"/>
            <w:vAlign w:val="bottom"/>
            <w:shd w:val="clear" w:color="auto" w:fill="DBDBDB"/>
          </w:tcPr>
          <w:p>
            <w:pPr>
              <w:spacing w:after="0"/>
              <w:rPr>
                <w:sz w:val="11"/>
                <w:szCs w:val="11"/>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14,653</w:t>
            </w:r>
          </w:p>
        </w:tc>
        <w:tc>
          <w:tcPr>
            <w:tcW w:w="220" w:type="dxa"/>
            <w:vAlign w:val="bottom"/>
            <w:shd w:val="clear" w:color="auto" w:fill="DBDBDB"/>
          </w:tcPr>
          <w:p>
            <w:pPr>
              <w:spacing w:after="0"/>
              <w:rPr>
                <w:sz w:val="11"/>
                <w:szCs w:val="11"/>
                <w:color w:val="auto"/>
              </w:rPr>
            </w:pP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17,917</w:t>
            </w:r>
          </w:p>
        </w:tc>
      </w:tr>
      <w:tr>
        <w:trPr>
          <w:trHeight w:val="243"/>
        </w:trPr>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149"/>
        </w:trPr>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51,736</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49,099</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46,493</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45,190</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40,522</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38,324</w:t>
            </w:r>
          </w:p>
        </w:tc>
        <w:tc>
          <w:tcPr>
            <w:tcW w:w="200" w:type="dxa"/>
            <w:vAlign w:val="bottom"/>
            <w:tcBorders>
              <w:bottom w:val="single" w:sz="8" w:color="auto"/>
            </w:tcBorders>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37,172</w:t>
            </w:r>
          </w:p>
        </w:tc>
        <w:tc>
          <w:tcPr>
            <w:tcW w:w="22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39,604</w:t>
            </w:r>
          </w:p>
        </w:tc>
      </w:tr>
      <w:tr>
        <w:trPr>
          <w:trHeight w:val="531"/>
        </w:trPr>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4"/>
        </w:trPr>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6,179</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7,056</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11,022</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569</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11,694</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11,285</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10,925</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9,611</w:t>
            </w:r>
          </w:p>
        </w:tc>
      </w:tr>
      <w:tr>
        <w:trPr>
          <w:trHeight w:val="143"/>
        </w:trPr>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(13,480)</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(10,668)</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(12,215)</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(19,066)</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(16,300)</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(14,998)</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(14,653)</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(17,917)</w:t>
            </w:r>
          </w:p>
        </w:tc>
      </w:tr>
      <w:tr>
        <w:trPr>
          <w:trHeight w:val="134"/>
        </w:trPr>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(7,301)</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(3,612)</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(1,193)</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(18,497)</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(4,606)</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(3,713)</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(3,728)</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(8,306)</w:t>
            </w:r>
          </w:p>
        </w:tc>
      </w:tr>
    </w:tbl>
    <w:p>
      <w:pPr>
        <w:spacing w:after="0" w:line="200" w:lineRule="exact"/>
        <w:rPr>
          <w:sz w:val="20"/>
          <w:szCs w:val="20"/>
          <w:color w:val="auto"/>
        </w:rPr>
      </w:pPr>
    </w:p>
    <w:p>
      <w:pPr>
        <w:sectPr>
          <w:pgSz w:w="11900" w:h="16838" w:orient="portrait"/>
          <w:cols w:equalWidth="0" w:num="2">
            <w:col w:w="3060" w:space="720"/>
            <w:col w:w="7520"/>
          </w:cols>
          <w:pgMar w:left="300" w:top="130" w:right="299" w:bottom="1440" w:gutter="0" w:footer="0" w:header="0"/>
          <w:type w:val="continuous"/>
        </w:sectPr>
      </w:pP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18</w:t>
            </w:r>
          </w:p>
        </w:tc>
      </w:tr>
    </w:tbl>
    <w:p>
      <w:pPr>
        <w:sectPr>
          <w:pgSz w:w="11900" w:h="16838" w:orient="portrait"/>
          <w:cols w:equalWidth="0" w:num="1">
            <w:col w:w="11300"/>
          </w:cols>
          <w:pgMar w:left="300" w:top="130" w:right="299" w:bottom="1440" w:gutter="0" w:footer="0" w:header="0"/>
          <w:type w:val="continuous"/>
        </w:sectPr>
      </w:pPr>
    </w:p>
    <w:bookmarkStart w:id="58" w:name="page59"/>
    <w:bookmarkEnd w:id="58"/>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34"/>
          <w:szCs w:val="34"/>
          <w:color w:val="3E5A99"/>
        </w:rPr>
        <w:t>Appendices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19</w:t>
            </w:r>
          </w:p>
        </w:tc>
      </w:tr>
    </w:tbl>
    <w:p>
      <w:pPr>
        <w:sectPr>
          <w:pgSz w:w="11900" w:h="16838" w:orient="portrait"/>
          <w:cols w:equalWidth="0" w:num="1">
            <w:col w:w="11300"/>
          </w:cols>
          <w:pgMar w:left="300" w:top="1440" w:right="299" w:bottom="1440" w:gutter="0" w:footer="0" w:header="0"/>
        </w:sectPr>
      </w:pPr>
    </w:p>
    <w:bookmarkStart w:id="59" w:name="page60"/>
    <w:bookmarkEnd w:id="59"/>
    <w:p>
      <w:pPr>
        <w:spacing w:after="0"/>
        <w:rPr>
          <w:sz w:val="20"/>
          <w:szCs w:val="20"/>
          <w:color w:val="auto"/>
        </w:rPr>
      </w:pPr>
      <w:r>
        <w:rPr>
          <w:rFonts w:ascii="Arial" w:cs="Arial" w:eastAsia="Arial" w:hAnsi="Arial"/>
          <w:sz w:val="29"/>
          <w:szCs w:val="29"/>
          <w:color w:val="auto"/>
        </w:rPr>
        <w:t>Reconciliation of IM FRE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96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4Q23</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3Q23</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2Q23</w:t>
            </w: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1Q23</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4Q22</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3Q22</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2Q22</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1Q22</w:t>
            </w:r>
          </w:p>
        </w:tc>
      </w:tr>
      <w:tr>
        <w:trPr>
          <w:trHeight w:val="133"/>
        </w:trPr>
        <w:tc>
          <w:tcPr>
            <w:tcW w:w="39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IM net income (loss)</w:t>
            </w:r>
          </w:p>
        </w:tc>
        <w:tc>
          <w:tcPr>
            <w:tcW w:w="20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72,975</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100,014</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35,177</w:t>
            </w:r>
          </w:p>
        </w:tc>
        <w:tc>
          <w:tcPr>
            <w:tcW w:w="220" w:type="dxa"/>
            <w:vAlign w:val="bottom"/>
            <w:shd w:val="clear" w:color="auto" w:fill="DBDBDB"/>
          </w:tcPr>
          <w:p>
            <w:pPr>
              <w:spacing w:after="0"/>
              <w:rPr>
                <w:sz w:val="11"/>
                <w:szCs w:val="1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(2,804)</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81,167</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46,065</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67,995</w:t>
            </w:r>
          </w:p>
        </w:tc>
        <w:tc>
          <w:tcPr>
            <w:tcW w:w="200" w:type="dxa"/>
            <w:vAlign w:val="bottom"/>
            <w:shd w:val="clear" w:color="auto" w:fill="DBDBDB"/>
          </w:tcPr>
          <w:p>
            <w:pPr>
              <w:spacing w:after="0"/>
              <w:rPr>
                <w:sz w:val="11"/>
                <w:szCs w:val="1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(9,143)</w:t>
            </w:r>
          </w:p>
        </w:tc>
      </w:tr>
      <w:tr>
        <w:trPr>
          <w:trHeight w:val="143"/>
        </w:trPr>
        <w:tc>
          <w:tcPr>
            <w:tcW w:w="3960" w:type="dxa"/>
            <w:vAlign w:val="bottom"/>
          </w:tcPr>
          <w:p>
            <w:pPr>
              <w:spacing w:after="0"/>
              <w:rPr>
                <w:sz w:val="20"/>
                <w:szCs w:val="20"/>
                <w:color w:val="auto"/>
              </w:rPr>
            </w:pPr>
            <w:r>
              <w:rPr>
                <w:rFonts w:ascii="Arial" w:cs="Arial" w:eastAsia="Arial" w:hAnsi="Arial"/>
                <w:sz w:val="11"/>
                <w:szCs w:val="11"/>
                <w:color w:val="auto"/>
              </w:rPr>
              <w:t>Adjustments: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Interest expense (income)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2,027</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2,128</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2,268</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2,411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2,200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2,906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2,771</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2,500</w:t>
            </w: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Investment-related expense, net of reimbursement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138</w:t>
            </w: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Depreciation and amortization</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8,809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9,003</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11,039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6,409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6,135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5,369</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5,375</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5,276</w:t>
            </w: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Compensation expense—equity-based</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5,647</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7,218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17,099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3,898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6,639</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2,654</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3,361</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3,191</w:t>
            </w: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expense—carried interest and incentive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(57,954)</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(96,026)</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(43,349)</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17,056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(84,206)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(40,867)</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(61,710)</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10,767</w:t>
            </w: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Administrative expenses—straight-line rent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511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1,541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76</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159</w:t>
            </w: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Administrative expenses—placement agent fee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3,653</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9,661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3,891</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3,025</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9,682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8,101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2,317</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4,042</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3,942</w:t>
            </w: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Principal investment income (loss)</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(850)</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(1,451)</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(1,604)</w:t>
            </w:r>
          </w:p>
        </w:tc>
        <w:tc>
          <w:tcPr>
            <w:tcW w:w="22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(318)</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(2,072)</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(1,016)</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w:t>
            </w:r>
          </w:p>
        </w:tc>
      </w:tr>
      <w:tr>
        <w:trPr>
          <w:trHeight w:val="143"/>
        </w:trPr>
        <w:tc>
          <w:tcPr>
            <w:tcW w:w="3960" w:type="dxa"/>
            <w:vAlign w:val="bottom"/>
          </w:tcPr>
          <w:p>
            <w:pPr>
              <w:ind w:left="140"/>
              <w:spacing w:after="0"/>
              <w:rPr>
                <w:sz w:val="20"/>
                <w:szCs w:val="20"/>
                <w:color w:val="auto"/>
              </w:rPr>
            </w:pPr>
            <w:r>
              <w:rPr>
                <w:rFonts w:ascii="Arial" w:cs="Arial" w:eastAsia="Arial" w:hAnsi="Arial"/>
                <w:sz w:val="11"/>
                <w:szCs w:val="11"/>
                <w:color w:val="auto"/>
              </w:rPr>
              <w:t>Other (gain) loss, net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2,662</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3,608</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(3,082)</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(248)</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110</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424</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3,055</w:t>
            </w:r>
          </w:p>
        </w:tc>
      </w:tr>
      <w:tr>
        <w:trPr>
          <w:trHeight w:val="145"/>
        </w:trPr>
        <w:tc>
          <w:tcPr>
            <w:tcW w:w="39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Income tax (benefit) expense</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(864)</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2,356</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217</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2,172</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1,263</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2,006</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2,374</w:t>
            </w:r>
          </w:p>
        </w:tc>
      </w:tr>
      <w:tr>
        <w:trPr>
          <w:trHeight w:val="133"/>
        </w:trPr>
        <w:tc>
          <w:tcPr>
            <w:tcW w:w="3960" w:type="dxa"/>
            <w:vAlign w:val="bottom"/>
          </w:tcPr>
          <w:p>
            <w:pPr>
              <w:spacing w:after="0"/>
              <w:rPr>
                <w:sz w:val="20"/>
                <w:szCs w:val="20"/>
                <w:color w:val="auto"/>
              </w:rPr>
            </w:pPr>
            <w:r>
              <w:rPr>
                <w:rFonts w:ascii="Arial" w:cs="Arial" w:eastAsia="Arial" w:hAnsi="Arial"/>
                <w:sz w:val="11"/>
                <w:szCs w:val="11"/>
                <w:b w:val="1"/>
                <w:bCs w:val="1"/>
                <w:color w:val="auto"/>
              </w:rPr>
              <w:t>IM Adjusted EBITDA</w:t>
            </w:r>
          </w:p>
        </w:tc>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39,287</w:t>
            </w: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28,047</w:t>
            </w: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33,233</w:t>
            </w: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33,597</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21,585</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19,099</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23,124</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22,242</w:t>
            </w:r>
          </w:p>
        </w:tc>
      </w:tr>
      <w:tr>
        <w:trPr>
          <w:trHeight w:val="143"/>
        </w:trPr>
        <w:tc>
          <w:tcPr>
            <w:tcW w:w="3960" w:type="dxa"/>
            <w:vAlign w:val="bottom"/>
            <w:shd w:val="clear" w:color="auto" w:fill="DBDBDB"/>
          </w:tcPr>
          <w:p>
            <w:pPr>
              <w:ind w:left="120"/>
              <w:spacing w:after="0"/>
              <w:rPr>
                <w:sz w:val="20"/>
                <w:szCs w:val="20"/>
                <w:color w:val="auto"/>
              </w:rPr>
            </w:pPr>
            <w:r>
              <w:rPr>
                <w:rFonts w:ascii="Arial" w:cs="Arial" w:eastAsia="Arial" w:hAnsi="Arial"/>
                <w:sz w:val="11"/>
                <w:szCs w:val="11"/>
                <w:color w:val="auto"/>
              </w:rPr>
              <w:t>Exclude: Start-up FRE of certain new strategies</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516</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1,155</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1,165</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915</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2,643</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2,399</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2,335</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2,362</w:t>
            </w:r>
          </w:p>
        </w:tc>
      </w:tr>
      <w:tr>
        <w:trPr>
          <w:trHeight w:val="150"/>
        </w:trPr>
        <w:tc>
          <w:tcPr>
            <w:tcW w:w="3960" w:type="dxa"/>
            <w:vAlign w:val="bottom"/>
            <w:tcBorders>
              <w:bottom w:val="single" w:sz="8" w:color="DBDBDB"/>
            </w:tcBorders>
          </w:tcPr>
          <w:p>
            <w:pPr>
              <w:spacing w:after="0"/>
              <w:rPr>
                <w:sz w:val="20"/>
                <w:szCs w:val="20"/>
                <w:color w:val="auto"/>
              </w:rPr>
            </w:pPr>
            <w:r>
              <w:rPr>
                <w:rFonts w:ascii="Arial" w:cs="Arial" w:eastAsia="Arial" w:hAnsi="Arial"/>
                <w:sz w:val="11"/>
                <w:szCs w:val="11"/>
                <w:b w:val="1"/>
                <w:bCs w:val="1"/>
                <w:color w:val="auto"/>
              </w:rPr>
              <w:t>IM FRE</w:t>
            </w: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39,803</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29,202</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34,398</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34,512</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24,228</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21,498</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25,459</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24,604</w:t>
            </w:r>
          </w:p>
        </w:tc>
      </w:tr>
      <w:tr>
        <w:trPr>
          <w:trHeight w:val="143"/>
        </w:trPr>
        <w:tc>
          <w:tcPr>
            <w:tcW w:w="3960" w:type="dxa"/>
            <w:vAlign w:val="bottom"/>
            <w:shd w:val="clear" w:color="auto" w:fill="DBDBDB"/>
          </w:tcPr>
          <w:p>
            <w:pPr>
              <w:ind w:left="120"/>
              <w:spacing w:after="0"/>
              <w:rPr>
                <w:sz w:val="20"/>
                <w:szCs w:val="20"/>
                <w:color w:val="auto"/>
              </w:rPr>
            </w:pPr>
            <w:r>
              <w:rPr>
                <w:rFonts w:ascii="Arial" w:cs="Arial" w:eastAsia="Arial" w:hAnsi="Arial"/>
                <w:sz w:val="11"/>
                <w:szCs w:val="11"/>
                <w:color w:val="auto"/>
              </w:rPr>
              <w:t>Wafra’s 31.5% ownership</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(4,700)</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(7,615)</w:t>
            </w:r>
          </w:p>
        </w:tc>
      </w:tr>
      <w:tr>
        <w:trPr>
          <w:trHeight w:val="134"/>
        </w:trPr>
        <w:tc>
          <w:tcPr>
            <w:tcW w:w="3960" w:type="dxa"/>
            <w:vAlign w:val="bottom"/>
          </w:tcPr>
          <w:p>
            <w:pPr>
              <w:spacing w:after="0"/>
              <w:rPr>
                <w:sz w:val="20"/>
                <w:szCs w:val="20"/>
                <w:color w:val="auto"/>
              </w:rPr>
            </w:pPr>
            <w:r>
              <w:rPr>
                <w:rFonts w:ascii="Arial" w:cs="Arial" w:eastAsia="Arial" w:hAnsi="Arial"/>
                <w:sz w:val="11"/>
                <w:szCs w:val="11"/>
                <w:b w:val="1"/>
                <w:bCs w:val="1"/>
                <w:color w:val="auto"/>
              </w:rPr>
              <w:t>DBRG OP share of IM FRE</w:t>
            </w: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39,803</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29,202</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34,398</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34,512</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24,228</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21,498</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20,759</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16,989</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34"/>
        </w:trPr>
        <w:tc>
          <w:tcPr>
            <w:tcW w:w="3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24"/>
        </w:trPr>
        <w:tc>
          <w:tcPr>
            <w:tcW w:w="3960" w:type="dxa"/>
            <w:vAlign w:val="bottom"/>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366"/>
              <w:spacing w:after="0"/>
              <w:rPr>
                <w:sz w:val="20"/>
                <w:szCs w:val="20"/>
                <w:color w:val="auto"/>
              </w:rPr>
            </w:pPr>
            <w:r>
              <w:rPr>
                <w:rFonts w:ascii="Arial" w:cs="Arial" w:eastAsia="Arial" w:hAnsi="Arial"/>
                <w:sz w:val="10"/>
                <w:szCs w:val="10"/>
                <w:color w:val="auto"/>
              </w:rPr>
              <w:t>20</w:t>
            </w:r>
          </w:p>
        </w:tc>
      </w:tr>
    </w:tbl>
    <w:p>
      <w:pPr>
        <w:sectPr>
          <w:pgSz w:w="11900" w:h="16838" w:orient="portrait"/>
          <w:cols w:equalWidth="0" w:num="1">
            <w:col w:w="11300"/>
          </w:cols>
          <w:pgMar w:left="300" w:top="130" w:right="299" w:bottom="1440" w:gutter="0" w:footer="0" w:header="0"/>
        </w:sectPr>
      </w:pPr>
    </w:p>
    <w:bookmarkStart w:id="60" w:name="page61"/>
    <w:bookmarkEnd w:id="60"/>
    <w:p>
      <w:pPr>
        <w:ind w:left="8"/>
        <w:spacing w:after="0"/>
        <w:rPr>
          <w:sz w:val="20"/>
          <w:szCs w:val="20"/>
          <w:color w:val="auto"/>
        </w:rPr>
      </w:pPr>
      <w:r>
        <w:rPr>
          <w:rFonts w:ascii="Arial" w:cs="Arial" w:eastAsia="Arial" w:hAnsi="Arial"/>
          <w:sz w:val="29"/>
          <w:szCs w:val="29"/>
          <w:color w:val="auto"/>
        </w:rPr>
        <w:t>Reconciliations of DE and Adjusted EBITDA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78040"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434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4Q23</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3Q23</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2Q23</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1Q23</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4Q22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2Q22</w:t>
            </w: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1Q22</w:t>
            </w:r>
          </w:p>
        </w:tc>
        <w:tc>
          <w:tcPr>
            <w:tcW w:w="0" w:type="dxa"/>
            <w:vAlign w:val="bottom"/>
          </w:tcPr>
          <w:p>
            <w:pPr>
              <w:spacing w:after="0"/>
              <w:rPr>
                <w:sz w:val="1"/>
                <w:szCs w:val="1"/>
                <w:color w:val="auto"/>
              </w:rPr>
            </w:pPr>
          </w:p>
        </w:tc>
      </w:tr>
      <w:tr>
        <w:trPr>
          <w:trHeight w:val="133"/>
        </w:trPr>
        <w:tc>
          <w:tcPr>
            <w:tcW w:w="4340" w:type="dxa"/>
            <w:vAlign w:val="bottom"/>
            <w:shd w:val="clear" w:color="auto" w:fill="DBDBDB"/>
          </w:tcPr>
          <w:p>
            <w:pPr>
              <w:spacing w:after="0"/>
              <w:rPr>
                <w:sz w:val="20"/>
                <w:szCs w:val="20"/>
                <w:color w:val="auto"/>
              </w:rPr>
            </w:pPr>
            <w:r>
              <w:rPr>
                <w:rFonts w:ascii="Arial" w:cs="Arial" w:eastAsia="Arial" w:hAnsi="Arial"/>
                <w:sz w:val="11"/>
                <w:szCs w:val="11"/>
                <w:color w:val="auto"/>
              </w:rPr>
              <w:t>Net income (loss) attributable to common stockholders</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100,607</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261,828</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(22,411)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(212,473)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(19,356)</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(63,273)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(37,321)</w:t>
            </w:r>
          </w:p>
        </w:tc>
        <w:tc>
          <w:tcPr>
            <w:tcW w:w="18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(262,316)</w:t>
            </w:r>
          </w:p>
        </w:tc>
        <w:tc>
          <w:tcPr>
            <w:tcW w:w="0" w:type="dxa"/>
            <w:vAlign w:val="bottom"/>
          </w:tcPr>
          <w:p>
            <w:pPr>
              <w:spacing w:after="0"/>
              <w:rPr>
                <w:sz w:val="1"/>
                <w:szCs w:val="1"/>
                <w:color w:val="auto"/>
              </w:rPr>
            </w:pPr>
          </w:p>
        </w:tc>
      </w:tr>
      <w:tr>
        <w:trPr>
          <w:trHeight w:val="143"/>
        </w:trPr>
        <w:tc>
          <w:tcPr>
            <w:tcW w:w="434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Net income (loss) attributable to noncontrolling common interests in Operating Company</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7,627</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19,918</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(1,745)</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(16,662)</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(4,834)</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(3,090)</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(22,862)</w:t>
            </w:r>
          </w:p>
        </w:tc>
        <w:tc>
          <w:tcPr>
            <w:tcW w:w="0" w:type="dxa"/>
            <w:vAlign w:val="bottom"/>
          </w:tcPr>
          <w:p>
            <w:pPr>
              <w:spacing w:after="0"/>
              <w:rPr>
                <w:sz w:val="1"/>
                <w:szCs w:val="1"/>
                <w:color w:val="auto"/>
              </w:rPr>
            </w:pPr>
          </w:p>
        </w:tc>
      </w:tr>
      <w:tr>
        <w:trPr>
          <w:trHeight w:val="89"/>
        </w:trPr>
        <w:tc>
          <w:tcPr>
            <w:tcW w:w="4340" w:type="dxa"/>
            <w:vAlign w:val="bottom"/>
            <w:shd w:val="clear" w:color="auto" w:fill="DBDBDB"/>
          </w:tcPr>
          <w:p>
            <w:pPr>
              <w:spacing w:after="0" w:line="90" w:lineRule="exact"/>
              <w:rPr>
                <w:sz w:val="20"/>
                <w:szCs w:val="20"/>
                <w:color w:val="auto"/>
              </w:rPr>
            </w:pPr>
            <w:r>
              <w:rPr>
                <w:rFonts w:ascii="Arial" w:cs="Arial" w:eastAsia="Arial" w:hAnsi="Arial"/>
                <w:sz w:val="10"/>
                <w:szCs w:val="10"/>
                <w:b w:val="1"/>
                <w:bCs w:val="1"/>
                <w:color w:val="auto"/>
              </w:rPr>
              <w:t>Net income (loss) attributable to common interests in Operating Company and</w:t>
            </w:r>
          </w:p>
        </w:tc>
        <w:tc>
          <w:tcPr>
            <w:tcW w:w="20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108,234</w:t>
            </w:r>
          </w:p>
        </w:tc>
        <w:tc>
          <w:tcPr>
            <w:tcW w:w="20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281,746</w:t>
            </w:r>
          </w:p>
        </w:tc>
        <w:tc>
          <w:tcPr>
            <w:tcW w:w="18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(24,156)</w:t>
            </w:r>
          </w:p>
        </w:tc>
        <w:tc>
          <w:tcPr>
            <w:tcW w:w="20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(229,135)</w:t>
            </w:r>
          </w:p>
        </w:tc>
        <w:tc>
          <w:tcPr>
            <w:tcW w:w="200" w:type="dxa"/>
            <w:vAlign w:val="bottom"/>
            <w:shd w:val="clear" w:color="auto" w:fill="DBDBDB"/>
          </w:tcPr>
          <w:p>
            <w:pPr>
              <w:spacing w:after="0"/>
              <w:rPr>
                <w:sz w:val="7"/>
                <w:szCs w:val="7"/>
                <w:color w:val="auto"/>
              </w:rPr>
            </w:pP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(20,939)</w:t>
            </w:r>
          </w:p>
        </w:tc>
        <w:tc>
          <w:tcPr>
            <w:tcW w:w="20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(68,107)</w:t>
            </w:r>
          </w:p>
        </w:tc>
        <w:tc>
          <w:tcPr>
            <w:tcW w:w="200" w:type="dxa"/>
            <w:vAlign w:val="bottom"/>
            <w:shd w:val="clear" w:color="auto" w:fill="DBDBDB"/>
          </w:tcPr>
          <w:p>
            <w:pPr>
              <w:spacing w:after="0"/>
              <w:rPr>
                <w:sz w:val="7"/>
                <w:szCs w:val="7"/>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(40,411)</w:t>
            </w:r>
          </w:p>
        </w:tc>
        <w:tc>
          <w:tcPr>
            <w:tcW w:w="180" w:type="dxa"/>
            <w:vAlign w:val="bottom"/>
            <w:shd w:val="clear" w:color="auto" w:fill="DBDBDB"/>
          </w:tcPr>
          <w:p>
            <w:pPr>
              <w:spacing w:after="0"/>
              <w:rPr>
                <w:sz w:val="7"/>
                <w:szCs w:val="7"/>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b w:val="1"/>
                <w:bCs w:val="1"/>
                <w:color w:val="auto"/>
              </w:rPr>
              <w:t>(285,178)</w:t>
            </w:r>
          </w:p>
        </w:tc>
        <w:tc>
          <w:tcPr>
            <w:tcW w:w="0" w:type="dxa"/>
            <w:vAlign w:val="bottom"/>
          </w:tcPr>
          <w:p>
            <w:pPr>
              <w:spacing w:after="0"/>
              <w:rPr>
                <w:sz w:val="1"/>
                <w:szCs w:val="1"/>
                <w:color w:val="auto"/>
              </w:rPr>
            </w:pPr>
          </w:p>
        </w:tc>
      </w:tr>
      <w:tr>
        <w:trPr>
          <w:trHeight w:val="144"/>
        </w:trPr>
        <w:tc>
          <w:tcPr>
            <w:tcW w:w="43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common stockholders</w:t>
            </w:r>
          </w:p>
        </w:tc>
        <w:tc>
          <w:tcPr>
            <w:tcW w:w="20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vMerge w:val="continue"/>
            <w:shd w:val="clear" w:color="auto" w:fill="DBDBDB"/>
          </w:tcPr>
          <w:p>
            <w:pPr>
              <w:spacing w:after="0"/>
              <w:rPr>
                <w:sz w:val="12"/>
                <w:szCs w:val="12"/>
                <w:color w:val="auto"/>
              </w:rPr>
            </w:pPr>
          </w:p>
        </w:tc>
        <w:tc>
          <w:tcPr>
            <w:tcW w:w="18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Arial" w:cs="Arial" w:eastAsia="Arial" w:hAnsi="Arial"/>
                <w:sz w:val="11"/>
                <w:szCs w:val="11"/>
                <w:b w:val="1"/>
                <w:bCs w:val="1"/>
                <w:color w:val="auto"/>
              </w:rPr>
              <w:t>Adjustments for Distributable Earnings (DE):</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Transaction-related and restructuring charges</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13,543</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6,583</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7,182</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18,552</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22,536</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14,062</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6,739</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20,997</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Unrealized other (gain) loss, net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3,937</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(256,439)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11,881</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150,921</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3,514</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(30,326)</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45,722</w:t>
            </w:r>
          </w:p>
        </w:tc>
        <w:tc>
          <w:tcPr>
            <w:tcW w:w="1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143,071</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Unrealized principal investment income</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(93,534)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(17,943)</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(30,409)</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(3,562)</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(22,302)</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2,669</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(16,444)</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(6,454)</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Unrealized carried interest allocation, net of associated compensation expense</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(57,348)</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(68,099)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(43,791)</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18,240</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(70,541)</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2,652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(61,710)</w:t>
            </w:r>
          </w:p>
        </w:tc>
        <w:tc>
          <w:tcPr>
            <w:tcW w:w="1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9,176</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Compensation expense - equity-based</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9,795</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14,340</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20,691</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10,770</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7,610</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7,824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8,168</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8,979</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9,104</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9,319</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11,353</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6,875</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14,129</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14,931</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9,535</w:t>
            </w:r>
          </w:p>
        </w:tc>
        <w:tc>
          <w:tcPr>
            <w:tcW w:w="1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5,676</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Straight-line rent revenue and expense</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(571)</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(275)</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(5,036)</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(5,933)</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(2,355)</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(701)</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Amortization of deferred financing costs, debt premiums and discounts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640</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660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690</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794</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1,242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1,288</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1,083</w:t>
            </w:r>
          </w:p>
        </w:tc>
        <w:tc>
          <w:tcPr>
            <w:tcW w:w="18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924</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Preferred share redemption (gain) loss</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(927)</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4340" w:type="dxa"/>
            <w:vAlign w:val="bottom"/>
          </w:tcPr>
          <w:p>
            <w:pPr>
              <w:ind w:left="140"/>
              <w:spacing w:after="0"/>
              <w:rPr>
                <w:sz w:val="20"/>
                <w:szCs w:val="20"/>
                <w:color w:val="auto"/>
              </w:rPr>
            </w:pPr>
            <w:r>
              <w:rPr>
                <w:rFonts w:ascii="Arial" w:cs="Arial" w:eastAsia="Arial" w:hAnsi="Arial"/>
                <w:sz w:val="11"/>
                <w:szCs w:val="11"/>
                <w:color w:val="auto"/>
              </w:rPr>
              <w:t>Income tax effect on certain of the foregoing adjustments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145"/>
        </w:trPr>
        <w:tc>
          <w:tcPr>
            <w:tcW w:w="434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Adjustments attributable to noncontrolling interests in investment entities</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(11,959)</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(20,330)</w:t>
            </w:r>
          </w:p>
        </w:tc>
        <w:tc>
          <w:tcPr>
            <w:tcW w:w="18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(43,997)</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(93,273)</w:t>
            </w:r>
          </w:p>
        </w:tc>
        <w:tc>
          <w:tcPr>
            <w:tcW w:w="20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(27,201)</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(96,848)</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(46,823)</w:t>
            </w:r>
          </w:p>
        </w:tc>
        <w:tc>
          <w:tcPr>
            <w:tcW w:w="1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(77,161)</w:t>
            </w:r>
          </w:p>
        </w:tc>
        <w:tc>
          <w:tcPr>
            <w:tcW w:w="0" w:type="dxa"/>
            <w:vAlign w:val="bottom"/>
          </w:tcPr>
          <w:p>
            <w:pPr>
              <w:spacing w:after="0"/>
              <w:rPr>
                <w:sz w:val="1"/>
                <w:szCs w:val="1"/>
                <w:color w:val="auto"/>
              </w:rPr>
            </w:pPr>
          </w:p>
        </w:tc>
      </w:tr>
      <w:tr>
        <w:trPr>
          <w:trHeight w:val="144"/>
        </w:trPr>
        <w:tc>
          <w:tcPr>
            <w:tcW w:w="4340" w:type="dxa"/>
            <w:vAlign w:val="bottom"/>
            <w:tcBorders>
              <w:bottom w:val="single" w:sz="8" w:color="DBDBDB"/>
            </w:tcBorders>
          </w:tcPr>
          <w:p>
            <w:pPr>
              <w:ind w:left="140"/>
              <w:spacing w:after="0" w:line="144" w:lineRule="exact"/>
              <w:rPr>
                <w:sz w:val="20"/>
                <w:szCs w:val="20"/>
                <w:color w:val="auto"/>
              </w:rPr>
            </w:pPr>
            <w:r>
              <w:rPr>
                <w:rFonts w:ascii="Arial" w:cs="Arial" w:eastAsia="Arial" w:hAnsi="Arial"/>
                <w:sz w:val="11"/>
                <w:szCs w:val="11"/>
                <w:color w:val="auto"/>
              </w:rPr>
              <w:t xml:space="preserve">DE from discontinued operations </w:t>
            </w:r>
            <w:r>
              <w:rPr>
                <w:rFonts w:ascii="Arial" w:cs="Arial" w:eastAsia="Arial" w:hAnsi="Arial"/>
                <w:sz w:val="14"/>
                <w:szCs w:val="14"/>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35,613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82,849</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97,557</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112,663</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74,683</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184,492</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89,744</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169,352</w:t>
            </w:r>
          </w:p>
        </w:tc>
        <w:tc>
          <w:tcPr>
            <w:tcW w:w="0" w:type="dxa"/>
            <w:vAlign w:val="bottom"/>
          </w:tcPr>
          <w:p>
            <w:pPr>
              <w:spacing w:after="0"/>
              <w:rPr>
                <w:sz w:val="1"/>
                <w:szCs w:val="1"/>
                <w:color w:val="auto"/>
              </w:rPr>
            </w:pPr>
          </w:p>
        </w:tc>
      </w:tr>
      <w:tr>
        <w:trPr>
          <w:trHeight w:val="133"/>
        </w:trPr>
        <w:tc>
          <w:tcPr>
            <w:tcW w:w="43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17,931</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32,618</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5,503</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(7,430)</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(22,305)</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26,704</w:t>
            </w:r>
          </w:p>
        </w:tc>
        <w:tc>
          <w:tcPr>
            <w:tcW w:w="200" w:type="dxa"/>
            <w:vAlign w:val="bottom"/>
            <w:tcBorders>
              <w:bottom w:val="single" w:sz="8" w:color="auto"/>
            </w:tcBorders>
            <w:shd w:val="clear" w:color="auto" w:fill="DBDBDB"/>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(6,752)</w:t>
            </w:r>
          </w:p>
        </w:tc>
        <w:tc>
          <w:tcPr>
            <w:tcW w:w="18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(11,647)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Arial" w:cs="Arial" w:eastAsia="Arial" w:hAnsi="Arial"/>
          <w:sz w:val="8"/>
          <w:szCs w:val="8"/>
          <w:color w:val="424242"/>
        </w:rPr>
        <w:t>Notes:</w:t>
      </w:r>
    </w:p>
    <w:p>
      <w:pPr>
        <w:spacing w:after="0" w:line="18" w:lineRule="exact"/>
        <w:rPr>
          <w:sz w:val="20"/>
          <w:szCs w:val="20"/>
          <w:color w:val="auto"/>
        </w:rPr>
      </w:pPr>
    </w:p>
    <w:p>
      <w:pPr>
        <w:ind w:left="208" w:hanging="208"/>
        <w:spacing w:after="0" w:line="270" w:lineRule="auto"/>
        <w:tabs>
          <w:tab w:leader="none" w:pos="193" w:val="left"/>
        </w:tabs>
        <w:numPr>
          <w:ilvl w:val="0"/>
          <w:numId w:val="13"/>
        </w:numPr>
        <w:rPr>
          <w:rFonts w:ascii="Arial" w:cs="Arial" w:eastAsia="Arial" w:hAnsi="Arial"/>
          <w:sz w:val="8"/>
          <w:szCs w:val="8"/>
          <w:color w:val="424242"/>
        </w:rPr>
      </w:pPr>
      <w:r>
        <w:rPr>
          <w:rFonts w:ascii="Arial" w:cs="Arial" w:eastAsia="Arial" w:hAnsi="Arial"/>
          <w:sz w:val="8"/>
          <w:szCs w:val="8"/>
          <w:color w:val="424242"/>
        </w:rPr>
        <w:t>Equity method earnings (loss) from BRSP and the operating results of the portfolio companies previously consolidated in the Operating segment, which qualified as discontinued operations in March 2023 and December 2023, respectively, are included in DE of discontinued operations for all periods presented.</w:t>
      </w:r>
    </w:p>
    <w:p>
      <w:pPr>
        <w:spacing w:after="0" w:line="200" w:lineRule="exact"/>
        <w:rPr>
          <w:sz w:val="20"/>
          <w:szCs w:val="20"/>
          <w:color w:val="auto"/>
        </w:rPr>
      </w:pPr>
    </w:p>
    <w:p>
      <w:pPr>
        <w:spacing w:after="0" w:line="22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21</w:t>
            </w:r>
          </w:p>
        </w:tc>
      </w:tr>
    </w:tbl>
    <w:p>
      <w:pPr>
        <w:sectPr>
          <w:pgSz w:w="11900" w:h="16838" w:orient="portrait"/>
          <w:cols w:equalWidth="0" w:num="1">
            <w:col w:w="11308"/>
          </w:cols>
          <w:pgMar w:left="292" w:top="130" w:right="299" w:bottom="1440" w:gutter="0" w:footer="0" w:header="0"/>
        </w:sectPr>
      </w:pPr>
    </w:p>
    <w:bookmarkStart w:id="61" w:name="page62"/>
    <w:bookmarkEnd w:id="61"/>
    <w:p>
      <w:pPr>
        <w:spacing w:after="0"/>
        <w:rPr>
          <w:sz w:val="20"/>
          <w:szCs w:val="20"/>
          <w:color w:val="auto"/>
        </w:rPr>
      </w:pPr>
      <w:r>
        <w:rPr>
          <w:rFonts w:ascii="Arial" w:cs="Arial" w:eastAsia="Arial" w:hAnsi="Arial"/>
          <w:sz w:val="29"/>
          <w:szCs w:val="29"/>
          <w:color w:val="auto"/>
        </w:rPr>
        <w:t>Reconciliations of DE and Adjusted EBITDA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140" w:type="dxa"/>
            <w:vAlign w:val="bottom"/>
            <w:tcBorders>
              <w:bottom w:val="single" w:sz="8" w:color="DBDBDB"/>
            </w:tcBorders>
          </w:tcPr>
          <w:p>
            <w:pPr>
              <w:spacing w:after="0"/>
              <w:rPr>
                <w:sz w:val="20"/>
                <w:szCs w:val="20"/>
                <w:color w:val="auto"/>
              </w:rPr>
            </w:pPr>
            <w:r>
              <w:rPr>
                <w:rFonts w:ascii="Arial" w:cs="Arial" w:eastAsia="Arial" w:hAnsi="Arial"/>
                <w:sz w:val="10"/>
                <w:szCs w:val="10"/>
                <w:i w:val="1"/>
                <w:iCs w:val="1"/>
                <w:color w:val="auto"/>
              </w:rPr>
              <w:t>($ in thousands)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4Q23</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3Q23</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2Q23</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1Q23</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4Q22</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3Q22</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2Q22</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6"/>
              <w:spacing w:after="0"/>
              <w:rPr>
                <w:sz w:val="20"/>
                <w:szCs w:val="20"/>
                <w:color w:val="auto"/>
              </w:rPr>
            </w:pPr>
            <w:r>
              <w:rPr>
                <w:rFonts w:ascii="Arial" w:cs="Arial" w:eastAsia="Arial" w:hAnsi="Arial"/>
                <w:sz w:val="10"/>
                <w:szCs w:val="10"/>
                <w:b w:val="1"/>
                <w:bCs w:val="1"/>
                <w:color w:val="auto"/>
              </w:rPr>
              <w:t>1Q22</w:t>
            </w:r>
          </w:p>
        </w:tc>
        <w:tc>
          <w:tcPr>
            <w:tcW w:w="0" w:type="dxa"/>
            <w:vAlign w:val="bottom"/>
          </w:tcPr>
          <w:p>
            <w:pPr>
              <w:spacing w:after="0"/>
              <w:rPr>
                <w:sz w:val="1"/>
                <w:szCs w:val="1"/>
                <w:color w:val="auto"/>
              </w:rPr>
            </w:pPr>
          </w:p>
        </w:tc>
      </w:tr>
      <w:tr>
        <w:trPr>
          <w:trHeight w:val="133"/>
        </w:trPr>
        <w:tc>
          <w:tcPr>
            <w:tcW w:w="414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After-tax DE</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17,931</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32,618</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5,503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(7,430)</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(22,305)</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26,704</w:t>
            </w:r>
          </w:p>
        </w:tc>
        <w:tc>
          <w:tcPr>
            <w:tcW w:w="200" w:type="dxa"/>
            <w:vAlign w:val="bottom"/>
            <w:shd w:val="clear" w:color="auto" w:fill="DBDBDB"/>
          </w:tcPr>
          <w:p>
            <w:pPr>
              <w:jc w:val="right"/>
              <w:ind w:right="9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(6,752)</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(11,647)</w:t>
            </w:r>
          </w:p>
        </w:tc>
        <w:tc>
          <w:tcPr>
            <w:tcW w:w="0" w:type="dxa"/>
            <w:vAlign w:val="bottom"/>
          </w:tcPr>
          <w:p>
            <w:pPr>
              <w:spacing w:after="0"/>
              <w:rPr>
                <w:sz w:val="1"/>
                <w:szCs w:val="1"/>
                <w:color w:val="auto"/>
              </w:rPr>
            </w:pP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Interest expense included in DE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4,524</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4,616</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4,916</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7,272</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8,487</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10,620</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8,674</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7,838</w:t>
            </w:r>
          </w:p>
        </w:tc>
        <w:tc>
          <w:tcPr>
            <w:tcW w:w="0" w:type="dxa"/>
            <w:vAlign w:val="bottom"/>
          </w:tcPr>
          <w:p>
            <w:pPr>
              <w:spacing w:after="0"/>
              <w:rPr>
                <w:sz w:val="1"/>
                <w:szCs w:val="1"/>
                <w:color w:val="auto"/>
              </w:rPr>
            </w:pP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Income tax expense (benefit) included in DE</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(3,921)</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2,770</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1,098</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30,561</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(7,838)</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(2,694)</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(6,849)</w:t>
            </w:r>
          </w:p>
        </w:tc>
        <w:tc>
          <w:tcPr>
            <w:tcW w:w="0" w:type="dxa"/>
            <w:vAlign w:val="bottom"/>
          </w:tcPr>
          <w:p>
            <w:pPr>
              <w:spacing w:after="0"/>
              <w:rPr>
                <w:sz w:val="1"/>
                <w:szCs w:val="1"/>
                <w:color w:val="auto"/>
              </w:rPr>
            </w:pP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Preferred dividends</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14,660</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14,645</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14,675</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14,676</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14,765</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15,283</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15,759</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15,759</w:t>
            </w:r>
          </w:p>
        </w:tc>
        <w:tc>
          <w:tcPr>
            <w:tcW w:w="0" w:type="dxa"/>
            <w:vAlign w:val="bottom"/>
          </w:tcPr>
          <w:p>
            <w:pPr>
              <w:spacing w:after="0"/>
              <w:rPr>
                <w:sz w:val="1"/>
                <w:szCs w:val="1"/>
                <w:color w:val="auto"/>
              </w:rPr>
            </w:pP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Principal Investment Income (Loss)</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(277)</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(1,860)</w:t>
            </w:r>
          </w:p>
        </w:tc>
        <w:tc>
          <w:tcPr>
            <w:tcW w:w="20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(9,303)</w:t>
            </w:r>
          </w:p>
        </w:tc>
        <w:tc>
          <w:tcPr>
            <w:tcW w:w="200" w:type="dxa"/>
            <w:vAlign w:val="bottom"/>
            <w:shd w:val="clear" w:color="auto" w:fill="DBDBDB"/>
          </w:tcPr>
          <w:p>
            <w:pPr>
              <w:spacing w:after="0"/>
              <w:rPr>
                <w:sz w:val="12"/>
                <w:szCs w:val="12"/>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12"/>
                <w:szCs w:val="12"/>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Placement fee expense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30</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3,653</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4140" w:type="dxa"/>
            <w:vAlign w:val="bottom"/>
            <w:shd w:val="clear" w:color="auto" w:fill="DBDBDB"/>
          </w:tcPr>
          <w:p>
            <w:pPr>
              <w:ind w:left="120"/>
              <w:spacing w:after="0" w:line="110" w:lineRule="exact"/>
              <w:rPr>
                <w:sz w:val="20"/>
                <w:szCs w:val="20"/>
                <w:color w:val="auto"/>
              </w:rPr>
            </w:pPr>
            <w:r>
              <w:rPr>
                <w:rFonts w:ascii="Arial" w:cs="Arial" w:eastAsia="Arial" w:hAnsi="Arial"/>
                <w:sz w:val="11"/>
                <w:szCs w:val="11"/>
                <w:color w:val="auto"/>
              </w:rPr>
              <w:t>Realized carried interest (allocation) reversal, net of associated compensation</w:t>
            </w:r>
          </w:p>
        </w:tc>
        <w:tc>
          <w:tcPr>
            <w:tcW w:w="20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(606)</w:t>
            </w:r>
          </w:p>
        </w:tc>
        <w:tc>
          <w:tcPr>
            <w:tcW w:w="20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(27,927)</w:t>
            </w:r>
          </w:p>
        </w:tc>
        <w:tc>
          <w:tcPr>
            <w:tcW w:w="20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883</w:t>
            </w:r>
          </w:p>
        </w:tc>
        <w:tc>
          <w:tcPr>
            <w:tcW w:w="20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(243)</w:t>
            </w:r>
          </w:p>
        </w:tc>
        <w:tc>
          <w:tcPr>
            <w:tcW w:w="20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(12,377)</w:t>
            </w:r>
          </w:p>
        </w:tc>
        <w:tc>
          <w:tcPr>
            <w:tcW w:w="200" w:type="dxa"/>
            <w:vAlign w:val="bottom"/>
            <w:shd w:val="clear" w:color="auto" w:fill="DBDBDB"/>
          </w:tcPr>
          <w:p>
            <w:pPr>
              <w:spacing w:after="0"/>
              <w:rPr>
                <w:sz w:val="9"/>
                <w:szCs w:val="9"/>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(20,258)</w:t>
            </w:r>
          </w:p>
        </w:tc>
        <w:tc>
          <w:tcPr>
            <w:tcW w:w="200" w:type="dxa"/>
            <w:vAlign w:val="bottom"/>
            <w:shd w:val="clear" w:color="auto" w:fill="DBDBDB"/>
          </w:tcPr>
          <w:p>
            <w:pPr>
              <w:spacing w:after="0"/>
              <w:rPr>
                <w:sz w:val="9"/>
                <w:szCs w:val="9"/>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DBDBDB"/>
          </w:tcPr>
          <w:p>
            <w:pPr>
              <w:spacing w:after="0"/>
              <w:rPr>
                <w:sz w:val="9"/>
                <w:szCs w:val="9"/>
                <w:color w:val="auto"/>
              </w:rPr>
            </w:pPr>
          </w:p>
        </w:tc>
        <w:tc>
          <w:tcPr>
            <w:tcW w:w="72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1,172</w:t>
            </w:r>
          </w:p>
        </w:tc>
        <w:tc>
          <w:tcPr>
            <w:tcW w:w="0" w:type="dxa"/>
            <w:vAlign w:val="bottom"/>
          </w:tcPr>
          <w:p>
            <w:pPr>
              <w:spacing w:after="0"/>
              <w:rPr>
                <w:sz w:val="1"/>
                <w:szCs w:val="1"/>
                <w:color w:val="auto"/>
              </w:rPr>
            </w:pPr>
          </w:p>
        </w:tc>
      </w:tr>
      <w:tr>
        <w:trPr>
          <w:trHeight w:val="144"/>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(expense) reversal</w:t>
            </w:r>
          </w:p>
        </w:tc>
        <w:tc>
          <w:tcPr>
            <w:tcW w:w="20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680" w:type="dxa"/>
            <w:vAlign w:val="bottom"/>
            <w:vMerge w:val="continue"/>
            <w:shd w:val="clear" w:color="auto" w:fill="DBDBDB"/>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2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140" w:type="dxa"/>
            <w:vAlign w:val="bottom"/>
          </w:tcPr>
          <w:p>
            <w:pPr>
              <w:ind w:left="120"/>
              <w:spacing w:after="0"/>
              <w:rPr>
                <w:sz w:val="20"/>
                <w:szCs w:val="20"/>
                <w:color w:val="auto"/>
              </w:rPr>
            </w:pPr>
            <w:r>
              <w:rPr>
                <w:rFonts w:ascii="Arial" w:cs="Arial" w:eastAsia="Arial" w:hAnsi="Arial"/>
                <w:sz w:val="11"/>
                <w:szCs w:val="11"/>
                <w:color w:val="auto"/>
              </w:rPr>
              <w:t>IM segment other income and investment-related expense, net, included in DE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(633)</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409</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(360)</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(292)</w:t>
            </w:r>
          </w:p>
        </w:tc>
        <w:tc>
          <w:tcPr>
            <w:tcW w:w="20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177</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(201)</w:t>
            </w:r>
          </w:p>
        </w:tc>
        <w:tc>
          <w:tcPr>
            <w:tcW w:w="2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140" w:type="dxa"/>
            <w:vAlign w:val="bottom"/>
            <w:shd w:val="clear" w:color="auto" w:fill="DBDBDB"/>
          </w:tcPr>
          <w:p>
            <w:pPr>
              <w:ind w:left="120"/>
              <w:spacing w:after="0"/>
              <w:rPr>
                <w:sz w:val="20"/>
                <w:szCs w:val="20"/>
                <w:color w:val="auto"/>
              </w:rPr>
            </w:pPr>
            <w:r>
              <w:rPr>
                <w:rFonts w:ascii="Arial" w:cs="Arial" w:eastAsia="Arial" w:hAnsi="Arial"/>
                <w:sz w:val="11"/>
                <w:szCs w:val="11"/>
                <w:color w:val="auto"/>
              </w:rPr>
              <w:t>Non pro-rata allocation of income (loss) to noncontrolling interests</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DBDBDB"/>
          </w:tcPr>
          <w:p>
            <w:pPr>
              <w:spacing w:after="0"/>
              <w:rPr>
                <w:sz w:val="12"/>
                <w:szCs w:val="12"/>
                <w:color w:val="auto"/>
              </w:rPr>
            </w:pPr>
          </w:p>
        </w:tc>
        <w:tc>
          <w:tcPr>
            <w:tcW w:w="7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231</w:t>
            </w:r>
          </w:p>
        </w:tc>
        <w:tc>
          <w:tcPr>
            <w:tcW w:w="0" w:type="dxa"/>
            <w:vAlign w:val="bottom"/>
          </w:tcPr>
          <w:p>
            <w:pPr>
              <w:spacing w:after="0"/>
              <w:rPr>
                <w:sz w:val="1"/>
                <w:szCs w:val="1"/>
                <w:color w:val="auto"/>
              </w:rPr>
            </w:pPr>
          </w:p>
        </w:tc>
      </w:tr>
      <w:tr>
        <w:trPr>
          <w:trHeight w:val="137"/>
        </w:trPr>
        <w:tc>
          <w:tcPr>
            <w:tcW w:w="4140" w:type="dxa"/>
            <w:vAlign w:val="bottom"/>
          </w:tcPr>
          <w:p>
            <w:pPr>
              <w:spacing w:after="0"/>
              <w:rPr>
                <w:sz w:val="20"/>
                <w:szCs w:val="20"/>
                <w:color w:val="auto"/>
              </w:rPr>
            </w:pPr>
            <w:r>
              <w:rPr>
                <w:rFonts w:ascii="Arial" w:cs="Arial" w:eastAsia="Arial" w:hAnsi="Arial"/>
                <w:sz w:val="11"/>
                <w:szCs w:val="11"/>
                <w:b w:val="1"/>
                <w:bCs w:val="1"/>
                <w:color w:val="auto"/>
              </w:rPr>
              <w:t>Adjusted EBITDA</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31,985</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24,435</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32,040</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15,100</w:t>
            </w:r>
          </w:p>
        </w:tc>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16,979</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15,385</w:t>
            </w:r>
          </w:p>
        </w:tc>
        <w:tc>
          <w:tcPr>
            <w:tcW w:w="200" w:type="dxa"/>
            <w:vAlign w:val="bottom"/>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14,786</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6,446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22</w:t>
            </w:r>
          </w:p>
        </w:tc>
      </w:tr>
    </w:tbl>
    <w:p>
      <w:pPr>
        <w:sectPr>
          <w:pgSz w:w="11900" w:h="16838" w:orient="portrait"/>
          <w:cols w:equalWidth="0" w:num="1">
            <w:col w:w="11300"/>
          </w:cols>
          <w:pgMar w:left="300" w:top="130" w:right="299" w:bottom="1440" w:gutter="0" w:footer="0" w:header="0"/>
        </w:sectPr>
      </w:pPr>
    </w:p>
    <w:bookmarkStart w:id="62" w:name="page63"/>
    <w:bookmarkEnd w:id="62"/>
    <w:p>
      <w:pPr>
        <w:spacing w:after="0"/>
        <w:rPr>
          <w:sz w:val="20"/>
          <w:szCs w:val="20"/>
          <w:color w:val="auto"/>
        </w:rPr>
      </w:pPr>
      <w:r>
        <w:rPr>
          <w:rFonts w:ascii="Arial" w:cs="Arial" w:eastAsia="Arial" w:hAnsi="Arial"/>
          <w:sz w:val="29"/>
          <w:szCs w:val="29"/>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Assets Under Management (“AUM”)</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0"/>
          <w:szCs w:val="10"/>
          <w:color w:val="424242"/>
        </w:rPr>
        <w:t>AUM represents the total capital for which we provide investment management services. AUM is generally composed of (a) third party capital managed by the Company and its affiliates, including capital that is not yet fee earning, or not subject to fees and/or carried interest; and (b) assets invested using the Company's own balance sheet capital and managed on behalf of the Company's stockholders (composed of the Company's fund investments as GP affiliate, warehoused investments, and as of December 31, 2023, the Company's interest in portfolio companies previously in the Operating segment). Third party AUM is based upon invested capital as of the reporting date, including capital funded through third party financing, and committed capital for funds in their commitment stage. Balance sheet AUM is based upon the carrying value of the Company's balance sheet investments as of the reporting date (at December 31, 2022 prior to deconsolidation, on an undepreciated basis as it relates to the Company's interest in portfolio companies previously consolidated in the Operating segment).</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Fee-Earning Equity Under Management (“FEEUM”)</w:t>
      </w:r>
    </w:p>
    <w:p>
      <w:pPr>
        <w:spacing w:after="0" w:line="12"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424242"/>
        </w:rPr>
        <w:t>FEEUM represents the total capital managed by the Company and its affiliates which earns management fees and/or incentive fees or carried interest. FEEUM may be based upon committed capital, invested capital, net asset value ("NAV") or gross asset value ("GAV"), pursuant to the terms of each underlying investment management agreement.The Company's calculations of FEEUM may differ materially from the calculations of other asset managers, and as a result, this measure may not be comparable to similar measures presented by other asset managers.</w:t>
      </w:r>
    </w:p>
    <w:p>
      <w:pPr>
        <w:spacing w:after="0" w:line="138"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IM Fee Related Earnings Margin % ("IM FRE Margin %")</w:t>
      </w:r>
    </w:p>
    <w:p>
      <w:pPr>
        <w:spacing w:after="0" w:line="12" w:lineRule="exact"/>
        <w:rPr>
          <w:sz w:val="20"/>
          <w:szCs w:val="20"/>
          <w:color w:val="auto"/>
        </w:rPr>
      </w:pPr>
    </w:p>
    <w:p>
      <w:pPr>
        <w:spacing w:after="0"/>
        <w:rPr>
          <w:sz w:val="20"/>
          <w:szCs w:val="20"/>
          <w:color w:val="auto"/>
        </w:rPr>
      </w:pPr>
      <w:r>
        <w:rPr>
          <w:rFonts w:ascii="Arial" w:cs="Arial" w:eastAsia="Arial" w:hAnsi="Arial"/>
          <w:sz w:val="10"/>
          <w:szCs w:val="10"/>
          <w:color w:val="424242"/>
        </w:rPr>
        <w:t>IM FRE Margin % represents IM FRE divided by management fee revenues, excluding one-time catch-up fees and/or incentives fees.</w:t>
      </w:r>
    </w:p>
    <w:p>
      <w:pPr>
        <w:spacing w:after="0" w:line="163"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Operating Company ("DBRG OP")</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424242"/>
        </w:rPr>
        <w:t>DigitalBridge Operating Company, LLC, the operating partnership through which the Company conducts all of its activities and holds substantially all of its assets and liabilities. DBRG OP share excludes noncontrolling interests in investment entities.</w:t>
      </w:r>
    </w:p>
    <w:p>
      <w:pPr>
        <w:spacing w:after="0" w:line="163"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424242"/>
        </w:rPr>
        <w:t>UPB:</w:t>
      </w:r>
      <w:r>
        <w:rPr>
          <w:rFonts w:ascii="Arial" w:cs="Arial" w:eastAsia="Arial" w:hAnsi="Arial"/>
          <w:sz w:val="10"/>
          <w:szCs w:val="10"/>
          <w:b w:val="1"/>
          <w:bCs w:val="1"/>
          <w:color w:val="424242"/>
        </w:rPr>
        <w:t xml:space="preserve"> </w:t>
      </w:r>
      <w:r>
        <w:rPr>
          <w:rFonts w:ascii="Arial" w:cs="Arial" w:eastAsia="Arial" w:hAnsi="Arial"/>
          <w:sz w:val="10"/>
          <w:szCs w:val="10"/>
          <w:color w:val="424242"/>
        </w:rPr>
        <w:t>Unpaid Principal Balance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4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00497F"/>
              </w:rPr>
              <w:t xml:space="preserve">DigitalBridge </w:t>
            </w:r>
            <w:r>
              <w:rPr>
                <w:rFonts w:ascii="Arial" w:cs="Arial" w:eastAsia="Arial" w:hAnsi="Arial"/>
                <w:sz w:val="10"/>
                <w:szCs w:val="10"/>
                <w:color w:val="000000"/>
              </w:rPr>
              <w:t>| Supplemental Financial Report</w:t>
            </w:r>
          </w:p>
        </w:tc>
        <w:tc>
          <w:tcPr>
            <w:tcW w:w="4860" w:type="dxa"/>
            <w:vAlign w:val="bottom"/>
            <w:tcBorders>
              <w:top w:val="single" w:sz="8" w:color="auto"/>
            </w:tcBorders>
          </w:tcPr>
          <w:p>
            <w:pPr>
              <w:jc w:val="right"/>
              <w:ind w:right="368"/>
              <w:spacing w:after="0"/>
              <w:rPr>
                <w:sz w:val="20"/>
                <w:szCs w:val="20"/>
                <w:color w:val="auto"/>
              </w:rPr>
            </w:pPr>
            <w:r>
              <w:rPr>
                <w:rFonts w:ascii="Arial" w:cs="Arial" w:eastAsia="Arial" w:hAnsi="Arial"/>
                <w:sz w:val="10"/>
                <w:szCs w:val="10"/>
                <w:color w:val="auto"/>
              </w:rPr>
              <w:t>23</w:t>
            </w:r>
          </w:p>
        </w:tc>
      </w:tr>
    </w:tbl>
    <w:p>
      <w:pPr>
        <w:spacing w:after="0" w:line="1" w:lineRule="exact"/>
        <w:rPr>
          <w:sz w:val="20"/>
          <w:szCs w:val="20"/>
          <w:color w:val="auto"/>
        </w:rPr>
      </w:pPr>
    </w:p>
    <w:sectPr>
      <w:pgSz w:w="11900" w:h="16838" w:orient="portrait"/>
      <w:cols w:equalWidth="0" w:num="1">
        <w:col w:w="11300"/>
      </w:cols>
      <w:pgMar w:left="300" w:top="1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upperLetter"/>
      <w:start w:val="9"/>
    </w:lvl>
    <w:lvl w:ilvl="1">
      <w:lvlJc w:val="left"/>
      <w:lvlText w:val="%2."/>
      <w:numFmt w:val="lowerLetter"/>
      <w:start w:val="1"/>
    </w:lvl>
  </w:abstractNum>
  <w:abstractNum w:abstractNumId="3">
    <w:nsid w:val="515F007C"/>
    <w:multiLevelType w:val="hybridMultilevel"/>
    <w:lvl w:ilvl="0">
      <w:lvlJc w:val="left"/>
      <w:lvlText w:val="%1."/>
      <w:numFmt w:val="upperLetter"/>
      <w:start w:val="35"/>
    </w:lvl>
    <w:lvl w:ilvl="1">
      <w:lvlJc w:val="left"/>
      <w:lvlText w:val="%2."/>
      <w:numFmt w:val="lowerLetter"/>
      <w:start w:val="1"/>
    </w:lvl>
  </w:abstractNum>
  <w:abstractNum w:abstractNumId="4">
    <w:nsid w:val="5BD062C2"/>
    <w:multiLevelType w:val="hybridMultilevel"/>
    <w:lvl w:ilvl="0">
      <w:lvlJc w:val="left"/>
      <w:lvlText w:val="%1."/>
      <w:numFmt w:val="upperLetter"/>
      <w:start w:val="61"/>
    </w:lvl>
    <w:lvl w:ilvl="1">
      <w:lvlJc w:val="left"/>
      <w:lvlText w:val="%2."/>
      <w:numFmt w:val="lowerLetter"/>
      <w:start w:val="1"/>
    </w:lvl>
  </w:abstractNum>
  <w:abstractNum w:abstractNumId="5">
    <w:nsid w:val="12200854"/>
    <w:multiLevelType w:val="hybridMultilevel"/>
    <w:lvl w:ilvl="0">
      <w:lvlJc w:val="left"/>
      <w:lvlText w:val="%1."/>
      <w:numFmt w:val="upperLetter"/>
      <w:start w:val="22"/>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2024-02-20T05:36:07Z</dcterms:created>
  <dcterms:modified xsi:type="dcterms:W3CDTF">2024-02-20T05:36:07Z</dcterms:modified>
</cp:coreProperties>
</file>