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20"/>
          </w:cols>
          <w:pgMar w:left="460" w:top="216" w:right="37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Curtin Nancy Ann</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DigitalBridge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DBRG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Borders>
              <w:top w:val="single" w:sz="8" w:color="0000EE"/>
            </w:tcBorders>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04/15/2026</w:t>
            </w:r>
          </w:p>
        </w:tc>
        <w:tc>
          <w:tcPr>
            <w:tcW w:w="1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DIGITALBRIDGE GROUP, INC.,</w:t>
            </w: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750 PARK OF COMMERCE DRIVE, SUITE 210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60"/>
          </w:cols>
          <w:pgMar w:left="460" w:top="216" w:right="37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BOCA RATON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33487</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780"/>
          </w:cols>
          <w:pgMar w:left="460" w:top="216" w:right="3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6"/>
        </w:trPr>
        <w:tc>
          <w:tcPr>
            <w:tcW w:w="7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r>
    </w:tbl>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7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Deferred</w:t>
            </w:r>
          </w:p>
        </w:tc>
        <w:tc>
          <w:tcPr>
            <w:tcW w:w="66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(2)</w:t>
            </w:r>
          </w:p>
        </w:tc>
        <w:tc>
          <w:tcPr>
            <w:tcW w:w="1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0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0000FF"/>
              </w:rPr>
              <w:t>79</w:t>
            </w: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7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660" w:type="dxa"/>
            <w:vAlign w:val="bottom"/>
            <w:vMerge w:val="restart"/>
          </w:tcPr>
          <w:p>
            <w:pPr>
              <w:jc w:val="right"/>
              <w:ind w:right="715"/>
              <w:spacing w:after="0"/>
              <w:rPr>
                <w:sz w:val="20"/>
                <w:szCs w:val="20"/>
                <w:color w:val="auto"/>
              </w:rPr>
            </w:pPr>
            <w:r>
              <w:rPr>
                <w:rFonts w:ascii="Times New Roman" w:cs="Times New Roman" w:eastAsia="Times New Roman" w:hAnsi="Times New Roman"/>
                <w:sz w:val="13"/>
                <w:szCs w:val="13"/>
                <w:color w:val="0000FF"/>
              </w:rPr>
              <w:t>04/15/2026</w:t>
            </w:r>
          </w:p>
        </w:tc>
        <w:tc>
          <w:tcPr>
            <w:tcW w:w="116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J</w:t>
            </w:r>
          </w:p>
        </w:tc>
        <w:tc>
          <w:tcPr>
            <w:tcW w:w="880" w:type="dxa"/>
            <w:vAlign w:val="bottom"/>
            <w:vMerge w:val="restart"/>
          </w:tcPr>
          <w:p>
            <w:pPr>
              <w:jc w:val="right"/>
              <w:ind w:right="335"/>
              <w:spacing w:after="0"/>
              <w:rPr>
                <w:sz w:val="20"/>
                <w:szCs w:val="20"/>
                <w:color w:val="auto"/>
              </w:rPr>
            </w:pPr>
            <w:r>
              <w:rPr>
                <w:rFonts w:ascii="Times New Roman" w:cs="Times New Roman" w:eastAsia="Times New Roman" w:hAnsi="Times New Roman"/>
                <w:sz w:val="13"/>
                <w:szCs w:val="13"/>
                <w:color w:val="0000FF"/>
              </w:rPr>
              <w:t>79</w:t>
            </w:r>
          </w:p>
        </w:tc>
        <w:tc>
          <w:tcPr>
            <w:tcW w:w="84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00" w:type="dxa"/>
            <w:vAlign w:val="bottom"/>
            <w:vMerge w:val="continue"/>
          </w:tcPr>
          <w:p>
            <w:pPr>
              <w:spacing w:after="0"/>
              <w:rPr>
                <w:sz w:val="4"/>
                <w:szCs w:val="4"/>
                <w:color w:val="auto"/>
              </w:rPr>
            </w:pPr>
          </w:p>
        </w:tc>
        <w:tc>
          <w:tcPr>
            <w:tcW w:w="760" w:type="dxa"/>
            <w:vAlign w:val="bottom"/>
            <w:vMerge w:val="restart"/>
          </w:tcPr>
          <w:p>
            <w:pPr>
              <w:jc w:val="right"/>
              <w:ind w:right="14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15.58</w:t>
            </w:r>
          </w:p>
        </w:tc>
        <w:tc>
          <w:tcPr>
            <w:tcW w:w="940" w:type="dxa"/>
            <w:vAlign w:val="bottom"/>
            <w:vMerge w:val="restart"/>
          </w:tcPr>
          <w:p>
            <w:pPr>
              <w:jc w:val="right"/>
              <w:ind w:right="235"/>
              <w:spacing w:after="0"/>
              <w:rPr>
                <w:sz w:val="20"/>
                <w:szCs w:val="20"/>
                <w:color w:val="auto"/>
              </w:rPr>
            </w:pPr>
            <w:r>
              <w:rPr>
                <w:rFonts w:ascii="Times New Roman" w:cs="Times New Roman" w:eastAsia="Times New Roman" w:hAnsi="Times New Roman"/>
                <w:sz w:val="13"/>
                <w:szCs w:val="13"/>
                <w:color w:val="0000FF"/>
              </w:rPr>
              <w:t>121,793</w:t>
            </w:r>
          </w:p>
        </w:tc>
        <w:tc>
          <w:tcPr>
            <w:tcW w:w="3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w w:val="84"/>
              </w:rPr>
              <w:t>D</w:t>
            </w:r>
          </w:p>
        </w:tc>
        <w:tc>
          <w:tcPr>
            <w:tcW w:w="0" w:type="dxa"/>
            <w:vAlign w:val="bottom"/>
          </w:tcPr>
          <w:p>
            <w:pPr>
              <w:spacing w:after="0"/>
              <w:rPr>
                <w:sz w:val="1"/>
                <w:szCs w:val="1"/>
                <w:color w:val="auto"/>
              </w:rPr>
            </w:pPr>
          </w:p>
        </w:tc>
      </w:tr>
      <w:tr>
        <w:trPr>
          <w:trHeight w:val="89"/>
        </w:trPr>
        <w:tc>
          <w:tcPr>
            <w:tcW w:w="720" w:type="dxa"/>
            <w:vAlign w:val="bottom"/>
            <w:vMerge w:val="restart"/>
          </w:tcPr>
          <w:p>
            <w:pPr>
              <w:spacing w:after="0" w:line="110" w:lineRule="exact"/>
              <w:rPr>
                <w:sz w:val="20"/>
                <w:szCs w:val="20"/>
                <w:color w:val="auto"/>
              </w:rPr>
            </w:pPr>
            <w:r>
              <w:rPr>
                <w:rFonts w:ascii="Times New Roman" w:cs="Times New Roman" w:eastAsia="Times New Roman" w:hAnsi="Times New Roman"/>
                <w:sz w:val="9"/>
                <w:szCs w:val="9"/>
                <w:color w:val="0000FF"/>
              </w:rPr>
              <w:t>Stock</w:t>
            </w:r>
            <w:r>
              <w:rPr>
                <w:rFonts w:ascii="Times New Roman" w:cs="Times New Roman" w:eastAsia="Times New Roman" w:hAnsi="Times New Roman"/>
                <w:sz w:val="12"/>
                <w:szCs w:val="12"/>
                <w:color w:val="008000"/>
                <w:vertAlign w:val="superscript"/>
              </w:rPr>
              <w:t>(1)</w:t>
            </w:r>
          </w:p>
        </w:tc>
        <w:tc>
          <w:tcPr>
            <w:tcW w:w="6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2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40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stock units ("Deferred Stock") granted pursuant to dividend equivalent rights on Deferred Stock previously granted by the Issuer in respect of the reporting person's election to defer equity compensation payable in accordance with the Issuer's non-executive director compensation policy, 10 of which are scheduled to vest on May 30, 2026.</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has no expiration date and is payable in the Issuer's Class A Common Stock, on a one-for-one basis, after the reporting person's separation from service with the Issuer.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Blake Clardy, as Attorney-</w:t>
            </w:r>
          </w:p>
        </w:tc>
        <w:tc>
          <w:tcPr>
            <w:tcW w:w="8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04/16/2026</w:t>
            </w:r>
          </w:p>
        </w:tc>
        <w:tc>
          <w:tcPr>
            <w:tcW w:w="0" w:type="dxa"/>
            <w:vAlign w:val="bottom"/>
          </w:tcPr>
          <w:p>
            <w:pPr>
              <w:spacing w:after="0"/>
              <w:rPr>
                <w:sz w:val="1"/>
                <w:szCs w:val="1"/>
                <w:color w:val="auto"/>
              </w:rPr>
            </w:pPr>
          </w:p>
        </w:tc>
      </w:tr>
      <w:tr>
        <w:trPr>
          <w:trHeight w:val="84"/>
        </w:trPr>
        <w:tc>
          <w:tcPr>
            <w:tcW w:w="44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4"/>
              </w:rPr>
              <w:t>in-fact</w:t>
            </w:r>
          </w:p>
        </w:tc>
        <w:tc>
          <w:tcPr>
            <w:tcW w:w="16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4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1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15735" TargetMode="External"/><Relationship Id="rId14" Type="http://schemas.openxmlformats.org/officeDocument/2006/relationships/hyperlink" Target="http://www.sec.gov/cgi-bin/browse-edgar?action=getcompany&amp;CIK=0001679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2026-04-16T16:06:03Z</dcterms:created>
  <dcterms:modified xsi:type="dcterms:W3CDTF">2026-04-16T16:06:03Z</dcterms:modified>
</cp:coreProperties>
</file>