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8426.xml.htm"/>
      <w:bookmarkStart w:id="1" w:name="kswkform4_17909784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Ganzi Marc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 750 PARK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OF COMMERCE DRIVE,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DigitalBridge Group, Inc.</w:t>
              </w:r>
            </w:hyperlink>
            <w:r>
              <w:rPr/>
              <w:t xml:space="preserve"> [ </w:t>
            </w:r>
            <w:r>
              <w:rPr>
                <w:rFonts w:ascii="Times;serif" w:hAnsi="Times;serif"/>
                <w:color w:val="0000FF"/>
                <w:sz w:val="24"/>
                <w:shd w:fill="FFFFFF" w:val="clear"/>
              </w:rPr>
              <w:t>DBRG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1142"/>
        <w:gridCol w:w="446"/>
        <w:gridCol w:w="609"/>
        <w:gridCol w:w="1183"/>
        <w:gridCol w:w="988"/>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2,779,201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rFonts w:ascii="Times;serif" w:hAnsi="Times;serif"/>
                <w:color w:val="008000"/>
                <w:position w:val="7"/>
                <w:sz w:val="16"/>
                <w:sz w:val="20"/>
                <w:shd w:fill="FFFFFF" w:val="clear"/>
              </w:rPr>
              <w:t>(1)</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357,860</w:t>
            </w:r>
            <w:r>
              <w:rPr>
                <w:rFonts w:ascii="Times;serif" w:hAnsi="Times;serif"/>
                <w:color w:val="008000"/>
                <w:position w:val="7"/>
                <w:sz w:val="16"/>
                <w:sz w:val="20"/>
                <w:shd w:fill="FFFFFF" w:val="clear"/>
              </w:rPr>
              <w:t>(2)</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pursuant to an Agreement and Plan of Merger, dated as of December 29, 2025 (the "Merger Agreement"), by and among DigitalBridge Group, Inc. (the "Issuer"), Duncan Holdco LLC, Duncan Sub I Inc. ("Merger Sub I"), Duncan Sub II LLC ("Merger Sub II") and DigitalBridge Operating Company, LLC (the "OP"), among other things, (i) Merger Sub I merged with and into the Issuer (the "Company Merger") with the Issuer surviving the Company Merger and (ii) Merger Sub II merged with and into the OP (the "OP Merger") with the OP surviving the OP Merger. At the effective time of the Company Merger (the "Company Merger Effective Time"), each issued and outstanding share of the Issuer's common stock, par value $0.01 per share, (other than certain excluded shares) automatically converted into the right to receive $16.00 per share in cash, without interest and less any applicable withholding tax (the "Per Share Merger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unvested shares of restricted Class A Common Stock held by the reporting person that remained outstanding following the Company Merger Effective Time subject to the same terms and conditions (including vesting) as applied as of immediately prior to the Company Merger Effective Time.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Blake Clardy,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7264" TargetMode="External"/><Relationship Id="rId5" Type="http://schemas.openxmlformats.org/officeDocument/2006/relationships/hyperlink" Target="http://www.sec.gov/cgi-bin/browse-edgar?action=getcompany&amp;CIK=0001679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774</Words>
  <Characters>4170</Characters>
  <CharactersWithSpaces>4874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