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52"/>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wp:posOffset>
            </wp:positionH>
            <wp:positionV relativeFrom="paragraph">
              <wp:posOffset>132715</wp:posOffset>
            </wp:positionV>
            <wp:extent cx="709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spacing w:after="0" w:line="296" w:lineRule="exact"/>
        <w:rPr>
          <w:sz w:val="24"/>
          <w:szCs w:val="24"/>
          <w:color w:val="auto"/>
        </w:rPr>
      </w:pPr>
    </w:p>
    <w:p>
      <w:pPr>
        <w:jc w:val="center"/>
        <w:ind w:right="-52"/>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wp:posOffset>
            </wp:positionH>
            <wp:positionV relativeFrom="paragraph">
              <wp:posOffset>43180</wp:posOffset>
            </wp:positionV>
            <wp:extent cx="7091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pacing w:after="0" w:line="266"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CURRENT REPORT</w:t>
      </w:r>
    </w:p>
    <w:p>
      <w:pPr>
        <w:spacing w:after="0" w:line="29"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7" w:lineRule="exact"/>
        <w:rPr>
          <w:sz w:val="24"/>
          <w:szCs w:val="24"/>
          <w:color w:val="auto"/>
        </w:rPr>
      </w:pPr>
    </w:p>
    <w:p>
      <w:pPr>
        <w:jc w:val="center"/>
        <w:ind w:right="-52"/>
        <w:spacing w:after="0"/>
        <w:rPr>
          <w:sz w:val="20"/>
          <w:szCs w:val="20"/>
          <w:color w:val="auto"/>
        </w:rPr>
      </w:pPr>
      <w:r>
        <w:rPr>
          <w:rFonts w:ascii="Arial" w:cs="Arial" w:eastAsia="Arial" w:hAnsi="Arial"/>
          <w:sz w:val="17"/>
          <w:szCs w:val="17"/>
          <w:b w:val="1"/>
          <w:bCs w:val="1"/>
          <w:color w:val="auto"/>
        </w:rPr>
        <w:t>Date of Report (Date of earliest event reported): March 11, 2021</w:t>
      </w:r>
    </w:p>
    <w:p>
      <w:pPr>
        <w:spacing w:after="0" w:line="130" w:lineRule="exact"/>
        <w:rPr>
          <w:sz w:val="24"/>
          <w:szCs w:val="24"/>
          <w:color w:val="auto"/>
        </w:rPr>
      </w:pPr>
    </w:p>
    <w:p>
      <w:pPr>
        <w:jc w:val="center"/>
        <w:ind w:right="-12"/>
        <w:spacing w:after="0"/>
        <w:rPr>
          <w:sz w:val="20"/>
          <w:szCs w:val="20"/>
          <w:color w:val="auto"/>
        </w:rPr>
      </w:pPr>
      <w:r>
        <w:rPr>
          <w:rFonts w:ascii="Arial" w:cs="Arial" w:eastAsia="Arial" w:hAnsi="Arial"/>
          <w:sz w:val="36"/>
          <w:szCs w:val="36"/>
          <w:b w:val="1"/>
          <w:bCs w:val="1"/>
          <w:color w:val="auto"/>
        </w:rPr>
        <w:t>COLONY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-241935</wp:posOffset>
            </wp:positionV>
            <wp:extent cx="7116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9" w:lineRule="exact"/>
        <w:rPr>
          <w:sz w:val="24"/>
          <w:szCs w:val="24"/>
          <w:color w:val="auto"/>
        </w:rPr>
      </w:pPr>
    </w:p>
    <w:p>
      <w:pPr>
        <w:jc w:val="center"/>
        <w:ind w:right="-12"/>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9525</wp:posOffset>
            </wp:positionV>
            <wp:extent cx="7116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ectPr>
          <w:pgSz w:w="11900" w:h="16838" w:orient="portrait"/>
          <w:cols w:equalWidth="0" w:num="1">
            <w:col w:w="11273"/>
          </w:cols>
          <w:pgMar w:left="287" w:top="1088" w:right="339" w:bottom="1440" w:gutter="0" w:footer="0" w:header="0"/>
        </w:sectPr>
      </w:pPr>
    </w:p>
    <w:p>
      <w:pPr>
        <w:spacing w:after="0" w:line="131" w:lineRule="exact"/>
        <w:rPr>
          <w:sz w:val="24"/>
          <w:szCs w:val="24"/>
          <w:color w:val="auto"/>
        </w:rPr>
      </w:pPr>
    </w:p>
    <w:p>
      <w:pPr>
        <w:jc w:val="center"/>
        <w:ind w:right="1367"/>
        <w:spacing w:after="0"/>
        <w:rPr>
          <w:sz w:val="20"/>
          <w:szCs w:val="20"/>
          <w:color w:val="auto"/>
        </w:rPr>
      </w:pPr>
      <w:r>
        <w:rPr>
          <w:rFonts w:ascii="Arial" w:cs="Arial" w:eastAsia="Arial" w:hAnsi="Arial"/>
          <w:sz w:val="16"/>
          <w:szCs w:val="16"/>
          <w:b w:val="1"/>
          <w:bCs w:val="1"/>
          <w:color w:val="auto"/>
        </w:rPr>
        <w:t>Maryland</w:t>
      </w:r>
    </w:p>
    <w:p>
      <w:pPr>
        <w:spacing w:after="0" w:line="79" w:lineRule="exact"/>
        <w:rPr>
          <w:sz w:val="24"/>
          <w:szCs w:val="24"/>
          <w:color w:val="auto"/>
        </w:rPr>
      </w:pPr>
    </w:p>
    <w:p>
      <w:pPr>
        <w:ind w:left="593"/>
        <w:spacing w:after="0"/>
        <w:rPr>
          <w:sz w:val="20"/>
          <w:szCs w:val="20"/>
          <w:color w:val="auto"/>
        </w:rPr>
      </w:pPr>
      <w:r>
        <w:rPr>
          <w:rFonts w:ascii="Arial" w:cs="Arial" w:eastAsia="Arial" w:hAnsi="Arial"/>
          <w:sz w:val="12"/>
          <w:szCs w:val="12"/>
          <w:b w:val="1"/>
          <w:bCs w:val="1"/>
          <w:color w:val="auto"/>
        </w:rPr>
        <w:t>(State or Other Jurisdiction of</w:t>
      </w:r>
    </w:p>
    <w:p>
      <w:pPr>
        <w:ind w:left="593"/>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001-37980</w:t>
            </w:r>
          </w:p>
        </w:tc>
        <w:tc>
          <w:tcPr>
            <w:tcW w:w="2580" w:type="dxa"/>
            <w:vAlign w:val="bottom"/>
          </w:tcPr>
          <w:p>
            <w:pPr>
              <w:jc w:val="center"/>
              <w:ind w:left="1452"/>
              <w:spacing w:after="0"/>
              <w:rPr>
                <w:sz w:val="20"/>
                <w:szCs w:val="20"/>
                <w:color w:val="auto"/>
              </w:rPr>
            </w:pPr>
            <w:r>
              <w:rPr>
                <w:rFonts w:ascii="Arial" w:cs="Arial" w:eastAsia="Arial" w:hAnsi="Arial"/>
                <w:sz w:val="16"/>
                <w:szCs w:val="16"/>
                <w:b w:val="1"/>
                <w:bCs w:val="1"/>
                <w:color w:val="auto"/>
              </w:rPr>
              <w:t>46-4591526</w:t>
            </w:r>
          </w:p>
        </w:tc>
      </w:tr>
      <w:tr>
        <w:trPr>
          <w:trHeight w:val="180"/>
        </w:trPr>
        <w:tc>
          <w:tcPr>
            <w:tcW w:w="2300" w:type="dxa"/>
            <w:vAlign w:val="bottom"/>
          </w:tcPr>
          <w:p>
            <w:pPr>
              <w:spacing w:after="0"/>
              <w:rPr>
                <w:sz w:val="20"/>
                <w:szCs w:val="20"/>
                <w:color w:val="auto"/>
              </w:rPr>
            </w:pPr>
            <w:r>
              <w:rPr>
                <w:rFonts w:ascii="Arial" w:cs="Arial" w:eastAsia="Arial" w:hAnsi="Arial"/>
                <w:sz w:val="12"/>
                <w:szCs w:val="12"/>
                <w:b w:val="1"/>
                <w:bCs w:val="1"/>
                <w:color w:val="auto"/>
              </w:rPr>
              <w:t>(Commission</w:t>
            </w:r>
          </w:p>
        </w:tc>
        <w:tc>
          <w:tcPr>
            <w:tcW w:w="2580" w:type="dxa"/>
            <w:vAlign w:val="bottom"/>
          </w:tcPr>
          <w:p>
            <w:pPr>
              <w:jc w:val="center"/>
              <w:ind w:left="1472"/>
              <w:spacing w:after="0"/>
              <w:rPr>
                <w:sz w:val="20"/>
                <w:szCs w:val="20"/>
                <w:color w:val="auto"/>
              </w:rPr>
            </w:pPr>
            <w:r>
              <w:rPr>
                <w:rFonts w:ascii="Arial" w:cs="Arial" w:eastAsia="Arial" w:hAnsi="Arial"/>
                <w:sz w:val="12"/>
                <w:szCs w:val="12"/>
                <w:b w:val="1"/>
                <w:bCs w:val="1"/>
                <w:color w:val="auto"/>
              </w:rPr>
              <w:t>(I.R.S. Employer</w:t>
            </w:r>
          </w:p>
        </w:tc>
      </w:tr>
      <w:tr>
        <w:trPr>
          <w:trHeight w:val="163"/>
        </w:trPr>
        <w:tc>
          <w:tcPr>
            <w:tcW w:w="2300" w:type="dxa"/>
            <w:vAlign w:val="bottom"/>
          </w:tcPr>
          <w:p>
            <w:pPr>
              <w:ind w:left="20"/>
              <w:spacing w:after="0"/>
              <w:rPr>
                <w:sz w:val="20"/>
                <w:szCs w:val="20"/>
                <w:color w:val="auto"/>
              </w:rPr>
            </w:pPr>
            <w:r>
              <w:rPr>
                <w:rFonts w:ascii="Arial" w:cs="Arial" w:eastAsia="Arial" w:hAnsi="Arial"/>
                <w:sz w:val="12"/>
                <w:szCs w:val="12"/>
                <w:b w:val="1"/>
                <w:bCs w:val="1"/>
                <w:color w:val="auto"/>
              </w:rPr>
              <w:t>File Number)</w:t>
            </w:r>
          </w:p>
        </w:tc>
        <w:tc>
          <w:tcPr>
            <w:tcW w:w="2580" w:type="dxa"/>
            <w:vAlign w:val="bottom"/>
          </w:tcPr>
          <w:p>
            <w:pPr>
              <w:jc w:val="center"/>
              <w:ind w:left="1452"/>
              <w:spacing w:after="0"/>
              <w:rPr>
                <w:sz w:val="20"/>
                <w:szCs w:val="20"/>
                <w:color w:val="auto"/>
              </w:rPr>
            </w:pPr>
            <w:r>
              <w:rPr>
                <w:rFonts w:ascii="Arial" w:cs="Arial" w:eastAsia="Arial" w:hAnsi="Arial"/>
                <w:sz w:val="12"/>
                <w:szCs w:val="12"/>
                <w:b w:val="1"/>
                <w:bCs w:val="1"/>
                <w:color w:val="auto"/>
              </w:rPr>
              <w:t>Identification No.)</w:t>
            </w:r>
          </w:p>
        </w:tc>
      </w:tr>
    </w:tbl>
    <w:p>
      <w:pPr>
        <w:spacing w:after="0" w:line="194" w:lineRule="exact"/>
        <w:rPr>
          <w:sz w:val="24"/>
          <w:szCs w:val="24"/>
          <w:color w:val="auto"/>
        </w:rPr>
      </w:pPr>
    </w:p>
    <w:p>
      <w:pPr>
        <w:sectPr>
          <w:pgSz w:w="11900" w:h="16838" w:orient="portrait"/>
          <w:cols w:equalWidth="0" w:num="2">
            <w:col w:w="4353" w:space="720"/>
            <w:col w:w="6200"/>
          </w:cols>
          <w:pgMar w:left="287" w:top="1088" w:right="339" w:bottom="1440" w:gutter="0" w:footer="0" w:header="0"/>
          <w:type w:val="continuous"/>
        </w:sectPr>
      </w:pPr>
    </w:p>
    <w:p>
      <w:pPr>
        <w:jc w:val="center"/>
        <w:ind w:right="-32"/>
        <w:spacing w:after="0"/>
        <w:rPr>
          <w:sz w:val="20"/>
          <w:szCs w:val="20"/>
          <w:color w:val="auto"/>
        </w:rPr>
      </w:pPr>
      <w:r>
        <w:rPr>
          <w:rFonts w:ascii="Arial" w:cs="Arial" w:eastAsia="Arial" w:hAnsi="Arial"/>
          <w:sz w:val="16"/>
          <w:szCs w:val="16"/>
          <w:b w:val="1"/>
          <w:bCs w:val="1"/>
          <w:color w:val="auto"/>
        </w:rPr>
        <w:t>750 Park of Commerce Drive, Suite 210</w:t>
      </w:r>
    </w:p>
    <w:p>
      <w:pPr>
        <w:spacing w:after="0" w:line="23"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Boca Raton, Florida 33487</w:t>
      </w:r>
    </w:p>
    <w:p>
      <w:pPr>
        <w:spacing w:after="0" w:line="6" w:lineRule="exact"/>
        <w:rPr>
          <w:sz w:val="24"/>
          <w:szCs w:val="24"/>
          <w:color w:val="auto"/>
        </w:rPr>
      </w:pPr>
    </w:p>
    <w:p>
      <w:pPr>
        <w:jc w:val="center"/>
        <w:ind w:right="-32"/>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(561) 544-7475</w:t>
      </w:r>
    </w:p>
    <w:p>
      <w:pPr>
        <w:spacing w:after="0" w:line="23"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1"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32"/>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107315</wp:posOffset>
            </wp:positionV>
            <wp:extent cx="7116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33" w:right="380"/>
        <w:spacing w:after="0" w:line="25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 CFR 240.14a-12)</w:t>
      </w:r>
    </w:p>
    <w:p>
      <w:pPr>
        <w:spacing w:after="0" w:line="114" w:lineRule="exact"/>
        <w:rPr>
          <w:rFonts w:ascii="MS PGothic" w:cs="MS PGothic" w:eastAsia="MS PGothic" w:hAnsi="MS PGothic"/>
          <w:sz w:val="16"/>
          <w:szCs w:val="16"/>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128905</wp:posOffset>
            </wp:positionV>
            <wp:extent cx="7116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391" w:lineRule="exact"/>
        <w:rPr>
          <w:sz w:val="24"/>
          <w:szCs w:val="24"/>
          <w:color w:val="auto"/>
        </w:rPr>
      </w:pPr>
    </w:p>
    <w:tbl>
      <w:tblPr>
        <w:tblLayout w:type="fixed"/>
        <w:tblInd w:w="113" w:type="dxa"/>
        <w:tblCellMar>
          <w:top w:w="0" w:type="dxa"/>
          <w:left w:w="0" w:type="dxa"/>
          <w:bottom w:w="0" w:type="dxa"/>
          <w:right w:w="0" w:type="dxa"/>
        </w:tblCellMar>
      </w:tblPr>
      <w:tr>
        <w:trPr>
          <w:trHeight w:val="163"/>
        </w:trPr>
        <w:tc>
          <w:tcPr>
            <w:tcW w:w="8380" w:type="dxa"/>
            <w:vAlign w:val="bottom"/>
            <w:gridSpan w:val="4"/>
          </w:tcPr>
          <w:p>
            <w:pPr>
              <w:ind w:left="3820"/>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 of Class</w:t>
            </w:r>
          </w:p>
        </w:tc>
        <w:tc>
          <w:tcPr>
            <w:tcW w:w="100" w:type="dxa"/>
            <w:vAlign w:val="bottom"/>
            <w:vMerge w:val="restart"/>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Trading Symbol(s)</w:t>
            </w:r>
          </w:p>
        </w:tc>
        <w:tc>
          <w:tcPr>
            <w:tcW w:w="120" w:type="dxa"/>
            <w:vAlign w:val="bottom"/>
            <w:vMerge w:val="restart"/>
          </w:tcPr>
          <w:p>
            <w:pPr>
              <w:spacing w:after="0"/>
              <w:rPr>
                <w:sz w:val="12"/>
                <w:szCs w:val="12"/>
                <w:color w:val="auto"/>
              </w:rPr>
            </w:pPr>
          </w:p>
        </w:tc>
        <w:tc>
          <w:tcPr>
            <w:tcW w:w="2700" w:type="dxa"/>
            <w:vAlign w:val="bottom"/>
          </w:tcPr>
          <w:p>
            <w:pPr>
              <w:jc w:val="center"/>
              <w:spacing w:after="0"/>
              <w:rPr>
                <w:sz w:val="20"/>
                <w:szCs w:val="20"/>
                <w:color w:val="auto"/>
              </w:rPr>
            </w:pPr>
            <w:r>
              <w:rPr>
                <w:rFonts w:ascii="Arial" w:cs="Arial" w:eastAsia="Arial" w:hAnsi="Arial"/>
                <w:sz w:val="12"/>
                <w:szCs w:val="12"/>
                <w:b w:val="1"/>
                <w:bCs w:val="1"/>
                <w:color w:val="auto"/>
              </w:rPr>
              <w:t>Name of Each Exchange on Which</w:t>
            </w:r>
          </w:p>
        </w:tc>
        <w:tc>
          <w:tcPr>
            <w:tcW w:w="0" w:type="dxa"/>
            <w:vAlign w:val="bottom"/>
          </w:tcPr>
          <w:p>
            <w:pPr>
              <w:spacing w:after="0"/>
              <w:rPr>
                <w:sz w:val="1"/>
                <w:szCs w:val="1"/>
                <w:color w:val="auto"/>
              </w:rPr>
            </w:pPr>
          </w:p>
        </w:tc>
      </w:tr>
      <w:tr>
        <w:trPr>
          <w:trHeight w:val="169"/>
        </w:trPr>
        <w:tc>
          <w:tcPr>
            <w:tcW w:w="6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Registered</w:t>
            </w:r>
          </w:p>
        </w:tc>
        <w:tc>
          <w:tcPr>
            <w:tcW w:w="0" w:type="dxa"/>
            <w:vAlign w:val="bottom"/>
          </w:tcPr>
          <w:p>
            <w:pPr>
              <w:spacing w:after="0"/>
              <w:rPr>
                <w:sz w:val="1"/>
                <w:szCs w:val="1"/>
                <w:color w:val="auto"/>
              </w:rPr>
            </w:pPr>
          </w:p>
        </w:tc>
      </w:tr>
      <w:tr>
        <w:trPr>
          <w:trHeight w:val="208"/>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Class A Common Stock, $0.01 par value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rPr>
              <w:t>CLNY</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4"/>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Preferred Stock, 7.50% Series G Cumulative Redeemable, $0.01 par value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CLNY.PRG</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4"/>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Preferred Stock, 7.125% Series H Cumulative Redeemable, $0.01 par value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CLNY.PRH</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4"/>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CLNY.PRI</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4"/>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Preferred Stock, 7.125% Series J Cumulative Redeemable, $0.01 par value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CLNY.PRJ</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53" w:right="260"/>
        <w:spacing w:after="0" w:line="22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tbl>
      <w:tblPr>
        <w:tblLayout w:type="fixed"/>
        <w:tblInd w:w="33" w:type="dxa"/>
        <w:tblCellMar>
          <w:top w:w="0" w:type="dxa"/>
          <w:left w:w="0" w:type="dxa"/>
          <w:bottom w:w="0" w:type="dxa"/>
          <w:right w:w="0" w:type="dxa"/>
        </w:tblCellMar>
      </w:tblPr>
      <w:tr>
        <w:trPr>
          <w:trHeight w:val="280"/>
        </w:trPr>
        <w:tc>
          <w:tcPr>
            <w:tcW w:w="8600" w:type="dxa"/>
            <w:vAlign w:val="bottom"/>
          </w:tcPr>
          <w:p>
            <w:pPr>
              <w:ind w:left="300"/>
              <w:spacing w:after="0"/>
              <w:rPr>
                <w:sz w:val="20"/>
                <w:szCs w:val="20"/>
                <w:color w:val="auto"/>
              </w:rPr>
            </w:pPr>
            <w:r>
              <w:rPr>
                <w:rFonts w:ascii="Arial" w:cs="Arial" w:eastAsia="Arial" w:hAnsi="Arial"/>
                <w:sz w:val="14"/>
                <w:szCs w:val="14"/>
                <w:color w:val="auto"/>
              </w:rPr>
              <w:t>Emerging growth company</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187"/>
        </w:trPr>
        <w:tc>
          <w:tcPr>
            <w:tcW w:w="8600" w:type="dxa"/>
            <w:vAlign w:val="bottom"/>
          </w:tcPr>
          <w:p>
            <w:pPr>
              <w:ind w:left="30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171"/>
        </w:trPr>
        <w:tc>
          <w:tcPr>
            <w:tcW w:w="8600" w:type="dxa"/>
            <w:vAlign w:val="bottom"/>
          </w:tcPr>
          <w:p>
            <w:pPr>
              <w:ind w:left="300"/>
              <w:spacing w:after="0"/>
              <w:rPr>
                <w:sz w:val="20"/>
                <w:szCs w:val="20"/>
                <w:color w:val="auto"/>
              </w:rPr>
            </w:pPr>
            <w:r>
              <w:rPr>
                <w:rFonts w:ascii="Arial" w:cs="Arial" w:eastAsia="Arial" w:hAnsi="Arial"/>
                <w:sz w:val="14"/>
                <w:szCs w:val="14"/>
                <w:color w:val="auto"/>
              </w:rPr>
              <w:t>complying with any new or revised financial accounting standards provided pursuant to Section 13(a) of the Exchange Act.</w:t>
            </w:r>
          </w:p>
        </w:tc>
        <w:tc>
          <w:tcPr>
            <w:tcW w:w="2640" w:type="dxa"/>
            <w:vAlign w:val="bottom"/>
          </w:tcPr>
          <w:p>
            <w:pPr>
              <w:spacing w:after="0"/>
              <w:rPr>
                <w:sz w:val="14"/>
                <w:szCs w:val="14"/>
                <w:color w:val="auto"/>
              </w:rPr>
            </w:pPr>
          </w:p>
        </w:tc>
      </w:tr>
      <w:tr>
        <w:trPr>
          <w:trHeight w:val="1197"/>
        </w:trPr>
        <w:tc>
          <w:tcPr>
            <w:tcW w:w="8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7150100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-16510</wp:posOffset>
            </wp:positionV>
            <wp:extent cx="8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73"/>
          </w:cols>
          <w:pgMar w:left="287" w:top="108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information in Item 2.01 of this Current Report on Form 8-K regarding the Amendment is hereby incorporated by reference herein to this Item 1.01.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7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March 11, 2021, the CLNY Seller Entities (as defined below), each affiliates of Colony Capital, Inc. (the “Company”), completed the sale of two of the Company's six hospitality portfolios (the "Two-Pack Sale") to Silverplate Capital Partners LLC, a Delaware limited liability company and an affiliate of Highgate (the “Purchaser”), consisting of all of the MIA Seller Entities' and the NEP Seller Entities’ respective interests (the “MIA/NEP Interests”) in the Miami Airport Portfolio and New England Portfolio, respectively, consisting of an aggregate of approximately 1,842 rooms across 12 hotel properties in the U.S. The sale was completed pursuant to the previously announced Agreement of Purchase and Sale, dated September 22, 2020 (as amended from time to time, the “Sale Agreement”) with the Purchaser, pursuant to which the CLNY Seller Entities agreed to sell all of the CLNY Seller Entities’ interests (the “Hospitality Interests”) in the Company’s six hospitality portfolios. The Company indirectly held 100% of the MIA/NEP Interests and received aggregate gross proceeds of $9.0 million for the Two-Pack Sale.</w:t>
      </w:r>
    </w:p>
    <w:p>
      <w:pPr>
        <w:spacing w:after="0" w:line="22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connection with the Two-Pack Sale, on March 11, 2021, the CLNY Seller Entities entered into a third amendment (the “Amendment”) to the Sale Agreement. The Amendment reflects the agreement by the parties to complete the sale by the CLNY Seller Entities of all of its interests in the CBM Portfolio, the Miami Airport Portfolio and the New England Portfolio by no later than March 16, 2021; provided that, the closing date will be automatically extended to March 31, 2021, with no requirement by the Purchaser to make any additional deposit of funds, as a result of the closing of the Two-Pack Sale on March 11, 2021. The Amendment also modifies the gross aggregate purchase price to $12.0 million, as may be further adjusted pursuant to the Sale Agreement, which reflects the purchase price to be paid by the Purchaser for the CBM Portfolio, the Miami Airport Portfolio and the New England Portfolio only. There can be no assurance that the sale of the CBM Portfolio will close in the timeframe contemplated or on the terms anticipated, if at all.</w:t>
      </w:r>
    </w:p>
    <w:p>
      <w:pPr>
        <w:spacing w:after="0" w:line="23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CMP I Owner-T, LLC, a Delaware limited liability company ("CMP I Owner"), CMP I CAM2-T, LLC, a Delaware limited liability company ("CMP I CAM2," and together with CMP I Owner, the "CMP Seller Entities"), Grand Prix Mezz Borrower Fixed LLC, a Delaware limited liability company, INK Acquisition LLC, a Delaware limited liability company, INK Acquisition III LLC, a Delaware limited liability company, Castleblack Owner Holdings, LLC, a Delaware limited liability company, Castleblack Operator Holdings, LLC, a Delaware limited liability company, MC Owner MB1-T, LLC, a Delaware limited liability company ("MC Owner"), MC OPS MB1-T, LLC, a Delaware limited liability company ("MC OPS," and together with MC Owner, the "MIA Seller Entities"), NEP Owner MB2-T, LLC, a Delaware limited liability company ("NEP Owner"), NEP OPS MB2-T, LLC, a Delaware limited liability company ("NEP OPS," together with NEP Owner, the "NEP Seller Entities"), CNI THL Propco Holdings, LLC, a Delaware limited liability company, and CNI THL Opco Holdings, LLC, a Delaware limited liability company, are collectively referred to herein as the “CLNY Seller Entities.”</w:t>
      </w:r>
    </w:p>
    <w:p>
      <w:pPr>
        <w:spacing w:after="0" w:line="23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a copy of which is attached to this Current Report on Form 8-K as Exhibit 10.1.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Pro forma financial information.</w:t>
      </w:r>
    </w:p>
    <w:p>
      <w:pPr>
        <w:spacing w:after="0" w:line="26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pro forma effects of the Two-Pack Sale assume the Two-Pack Sale had closed on December 31, 2020 for purposes of the consolidated balance sheet.</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Giving effect to the Two-Pack Sale, the Company’s total assets at December 31, 2020 of $20.2 billion would be reduced by $315 million, reflecting the carrying value of assets disposed, net of approximately $7.3 million of net cash proceeds received; and total liabilities at December 31, 2020 of $12.9 billion would be reduced by $266 million, reflecting the assumption of underlying mortgage debt and other liabilities by the buyer. The assets disposed and associated liabilities were previously presented within assets held for disposition and liabilities related to assets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548640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974" w:right="359" w:bottom="1440" w:gutter="0" w:footer="0" w:header="0"/>
        </w:sectPr>
      </w:pPr>
    </w:p>
    <w:bookmarkStart w:id="2" w:name="page3"/>
    <w:bookmarkEnd w:id="2"/>
    <w:p>
      <w:pPr>
        <w:ind w:right="260"/>
        <w:spacing w:after="0" w:line="255" w:lineRule="auto"/>
        <w:rPr>
          <w:sz w:val="20"/>
          <w:szCs w:val="20"/>
          <w:color w:val="auto"/>
        </w:rPr>
      </w:pPr>
      <w:r>
        <w:rPr>
          <w:rFonts w:ascii="Arial" w:cs="Arial" w:eastAsia="Arial" w:hAnsi="Arial"/>
          <w:sz w:val="18"/>
          <w:szCs w:val="18"/>
          <w:color w:val="auto"/>
        </w:rPr>
        <w:t>for disposition, respectively, on the Company’s consolidated balance sheet at December 31, 2020, included in the Company’s Annual Report on Form 10-K for the year ended December 31, 2020.</w:t>
      </w:r>
    </w:p>
    <w:p>
      <w:pPr>
        <w:spacing w:after="0" w:line="230"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The pro forma effects of the Two-Pack Sale are illustrative only and are not intended to represent or be indicative of the effects of the Two-Pack Sale on the Company’s financial position or results of operations had the Two-Pack Sale been completed as of the beginning of the earliest period presented, nor are they indicative of the Company’s future financial condition or results of operations.</w:t>
      </w:r>
    </w:p>
    <w:p>
      <w:pPr>
        <w:spacing w:after="0" w:line="23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consolidated statements of operations for each of the three years in the period ended December 31, 2020 reflecting the disposition of the hotel business as discontinued operations were included in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1500" w:type="dxa"/>
            <w:vAlign w:val="bottom"/>
            <w:gridSpan w:val="2"/>
          </w:tcPr>
          <w:p>
            <w:pPr>
              <w:ind w:left="260"/>
              <w:spacing w:after="0"/>
              <w:rPr>
                <w:sz w:val="20"/>
                <w:szCs w:val="20"/>
                <w:color w:val="auto"/>
              </w:rPr>
            </w:pPr>
            <w:r>
              <w:rPr>
                <w:rFonts w:ascii="Arial" w:cs="Arial" w:eastAsia="Arial" w:hAnsi="Arial"/>
                <w:sz w:val="12"/>
                <w:szCs w:val="12"/>
                <w:b w:val="1"/>
                <w:bCs w:val="1"/>
                <w:color w:val="auto"/>
              </w:rPr>
              <w:t>Exhibit No.</w:t>
            </w:r>
          </w:p>
        </w:tc>
        <w:tc>
          <w:tcPr>
            <w:tcW w:w="9600" w:type="dxa"/>
            <w:vAlign w:val="bottom"/>
          </w:tcPr>
          <w:p>
            <w:pPr>
              <w:ind w:left="260"/>
              <w:spacing w:after="0"/>
              <w:rPr>
                <w:sz w:val="20"/>
                <w:szCs w:val="20"/>
                <w:color w:val="auto"/>
              </w:rPr>
            </w:pPr>
            <w:r>
              <w:rPr>
                <w:rFonts w:ascii="Arial" w:cs="Arial" w:eastAsia="Arial" w:hAnsi="Arial"/>
                <w:sz w:val="12"/>
                <w:szCs w:val="12"/>
                <w:b w:val="1"/>
                <w:bCs w:val="1"/>
                <w:color w:val="auto"/>
              </w:rPr>
              <w:t>Description</w:t>
            </w:r>
          </w:p>
        </w:tc>
      </w:tr>
      <w:tr>
        <w:trPr>
          <w:trHeight w:val="209"/>
        </w:trPr>
        <w:tc>
          <w:tcPr>
            <w:tcW w:w="138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9600" w:type="dxa"/>
            <w:vAlign w:val="bottom"/>
            <w:tcBorders>
              <w:top w:val="single" w:sz="8" w:color="auto"/>
            </w:tcBorders>
          </w:tcPr>
          <w:p>
            <w:pPr>
              <w:ind w:left="26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Third Amendment to Agreement of Purchase and Sale, dated March 11, 2021, among the CLNY Seller Entities and the Purchaser</w:t>
              </w:r>
            </w:hyperlink>
          </w:p>
        </w:tc>
      </w:tr>
      <w:tr>
        <w:trPr>
          <w:trHeight w:val="214"/>
        </w:trPr>
        <w:tc>
          <w:tcPr>
            <w:tcW w:w="1380" w:type="dxa"/>
            <w:vAlign w:val="bottom"/>
          </w:tcPr>
          <w:p>
            <w:pPr>
              <w:ind w:left="26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4968875</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902" w:right="239" w:bottom="1440" w:gutter="0" w:footer="0" w:header="0"/>
        </w:sectPr>
      </w:pPr>
    </w:p>
    <w:bookmarkStart w:id="3" w:name="page4"/>
    <w:bookmarkEnd w:id="3"/>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560" w:firstLine="402"/>
        <w:spacing w:after="0" w:line="25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260"/>
              <w:spacing w:after="0"/>
              <w:rPr>
                <w:sz w:val="20"/>
                <w:szCs w:val="20"/>
                <w:color w:val="auto"/>
              </w:rPr>
            </w:pPr>
            <w:r>
              <w:rPr>
                <w:rFonts w:ascii="Arial" w:cs="Arial" w:eastAsia="Arial" w:hAnsi="Arial"/>
                <w:sz w:val="18"/>
                <w:szCs w:val="18"/>
                <w:color w:val="auto"/>
              </w:rPr>
              <w:t>March 17, 2021</w:t>
            </w:r>
          </w:p>
        </w:tc>
        <w:tc>
          <w:tcPr>
            <w:tcW w:w="412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COLONY CAPITAL, INC.</w:t>
            </w:r>
          </w:p>
        </w:tc>
        <w:tc>
          <w:tcPr>
            <w:tcW w:w="2920" w:type="dxa"/>
            <w:vAlign w:val="bottom"/>
          </w:tcPr>
          <w:p>
            <w:pPr>
              <w:spacing w:after="0"/>
              <w:rPr>
                <w:sz w:val="20"/>
                <w:szCs w:val="20"/>
                <w:color w:val="auto"/>
              </w:rPr>
            </w:pPr>
          </w:p>
        </w:tc>
      </w:tr>
      <w:tr>
        <w:trPr>
          <w:trHeight w:val="510"/>
        </w:trPr>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2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2920" w:type="dxa"/>
            <w:vAlign w:val="bottom"/>
          </w:tcPr>
          <w:p>
            <w:pPr>
              <w:jc w:val="center"/>
              <w:ind w:right="1575"/>
              <w:spacing w:after="0"/>
              <w:rPr>
                <w:sz w:val="20"/>
                <w:szCs w:val="20"/>
                <w:color w:val="auto"/>
              </w:rPr>
            </w:pPr>
            <w:r>
              <w:rPr>
                <w:rFonts w:ascii="Arial" w:cs="Arial" w:eastAsia="Arial" w:hAnsi="Arial"/>
                <w:sz w:val="18"/>
                <w:szCs w:val="18"/>
                <w:color w:val="auto"/>
                <w:w w:val="99"/>
              </w:rPr>
              <w:t>/s/ Jacky Wu</w:t>
            </w:r>
          </w:p>
        </w:tc>
      </w:tr>
      <w:tr>
        <w:trPr>
          <w:trHeight w:val="208"/>
        </w:trPr>
        <w:tc>
          <w:tcPr>
            <w:tcW w:w="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ind w:right="1575"/>
              <w:spacing w:after="0"/>
              <w:rPr>
                <w:sz w:val="20"/>
                <w:szCs w:val="20"/>
                <w:color w:val="auto"/>
              </w:rPr>
            </w:pPr>
            <w:r>
              <w:rPr>
                <w:rFonts w:ascii="Arial" w:cs="Arial" w:eastAsia="Arial" w:hAnsi="Arial"/>
                <w:sz w:val="16"/>
                <w:szCs w:val="16"/>
                <w:b w:val="1"/>
                <w:bCs w:val="1"/>
                <w:color w:val="auto"/>
              </w:rPr>
              <w:t>Jacky Wu</w:t>
            </w:r>
          </w:p>
        </w:tc>
      </w:tr>
    </w:tbl>
    <w:p>
      <w:pPr>
        <w:ind w:left="6960"/>
        <w:spacing w:after="0"/>
        <w:rPr>
          <w:sz w:val="20"/>
          <w:szCs w:val="20"/>
          <w:color w:val="auto"/>
        </w:rPr>
      </w:pPr>
      <w:r>
        <w:rPr>
          <w:rFonts w:ascii="Arial" w:cs="Arial" w:eastAsia="Arial" w:hAnsi="Arial"/>
          <w:sz w:val="16"/>
          <w:szCs w:val="16"/>
          <w:b w:val="1"/>
          <w:bCs w:val="1"/>
          <w:color w:val="auto"/>
        </w:rPr>
        <w:t>Executive Vice President and Chief Financial Officer</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t>Exhibit 10.1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AMENDMENT TO AGREEMENT OF PURCHASE AND SALE (Sale of Membership Interests in the Owners of Hotel Portfolios Consisting of One Hundred Ninety-Seven (197) Hotel Properties)</w:t>
      </w:r>
    </w:p>
    <w:p>
      <w:pPr>
        <w:spacing w:after="0" w:line="374" w:lineRule="exact"/>
        <w:rPr>
          <w:sz w:val="20"/>
          <w:szCs w:val="20"/>
          <w:color w:val="auto"/>
        </w:rPr>
      </w:pPr>
    </w:p>
    <w:p>
      <w:pPr>
        <w:jc w:val="both"/>
        <w:ind w:firstLine="643"/>
        <w:spacing w:after="0" w:line="225"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THIRD AMENDMENT TO AGREEMENT OF PURCHASE AND SALE</w:t>
      </w:r>
      <w:r>
        <w:rPr>
          <w:rFonts w:ascii="Arial" w:cs="Arial" w:eastAsia="Arial" w:hAnsi="Arial"/>
          <w:sz w:val="21"/>
          <w:szCs w:val="21"/>
          <w:color w:val="auto"/>
        </w:rPr>
        <w:t xml:space="preserve"> (this “</w:t>
      </w:r>
      <w:r>
        <w:rPr>
          <w:rFonts w:ascii="Arial" w:cs="Arial" w:eastAsia="Arial" w:hAnsi="Arial"/>
          <w:sz w:val="21"/>
          <w:szCs w:val="21"/>
          <w:b w:val="1"/>
          <w:bCs w:val="1"/>
          <w:color w:val="auto"/>
        </w:rPr>
        <w:t>Amendment</w:t>
      </w:r>
      <w:r>
        <w:rPr>
          <w:rFonts w:ascii="Arial" w:cs="Arial" w:eastAsia="Arial" w:hAnsi="Arial"/>
          <w:sz w:val="21"/>
          <w:szCs w:val="21"/>
          <w:color w:val="auto"/>
        </w:rPr>
        <w:t>”), is made and effective as of March 11, 2021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among </w:t>
      </w:r>
      <w:r>
        <w:rPr>
          <w:rFonts w:ascii="Arial" w:cs="Arial" w:eastAsia="Arial" w:hAnsi="Arial"/>
          <w:sz w:val="21"/>
          <w:szCs w:val="21"/>
          <w:b w:val="1"/>
          <w:bCs w:val="1"/>
          <w:color w:val="auto"/>
        </w:rPr>
        <w:t>CBM SELLER, INNKEEPERS SELLER, K-PARTNERS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SELLER, MIAMI SELLER, NEP SELLER, and THL SELLER </w:t>
      </w:r>
      <w:r>
        <w:rPr>
          <w:rFonts w:ascii="Arial" w:cs="Arial" w:eastAsia="Arial" w:hAnsi="Arial"/>
          <w:sz w:val="21"/>
          <w:szCs w:val="21"/>
          <w:color w:val="auto"/>
        </w:rPr>
        <w:t>(each, a “</w:t>
      </w:r>
      <w:r>
        <w:rPr>
          <w:rFonts w:ascii="Arial" w:cs="Arial" w:eastAsia="Arial" w:hAnsi="Arial"/>
          <w:sz w:val="21"/>
          <w:szCs w:val="21"/>
          <w:b w:val="1"/>
          <w:bCs w:val="1"/>
          <w:color w:val="auto"/>
        </w:rPr>
        <w:t>Selling Entity</w:t>
      </w:r>
      <w:r>
        <w:rPr>
          <w:rFonts w:ascii="Arial" w:cs="Arial" w:eastAsia="Arial" w:hAnsi="Arial"/>
          <w:sz w:val="21"/>
          <w:szCs w:val="21"/>
          <w:color w:val="auto"/>
        </w:rPr>
        <w:t>” and collectively, “</w:t>
      </w:r>
      <w:r>
        <w:rPr>
          <w:rFonts w:ascii="Arial" w:cs="Arial" w:eastAsia="Arial" w:hAnsi="Arial"/>
          <w:sz w:val="21"/>
          <w:szCs w:val="21"/>
          <w:b w:val="1"/>
          <w:bCs w:val="1"/>
          <w:color w:val="auto"/>
        </w:rPr>
        <w:t>Seller</w:t>
      </w:r>
      <w:r>
        <w:rPr>
          <w:rFonts w:ascii="Arial" w:cs="Arial" w:eastAsia="Arial" w:hAnsi="Arial"/>
          <w:sz w:val="21"/>
          <w:szCs w:val="21"/>
          <w:color w:val="auto"/>
        </w:rPr>
        <w:t>”), and</w:t>
      </w:r>
      <w:r>
        <w:rPr>
          <w:rFonts w:ascii="Arial" w:cs="Arial" w:eastAsia="Arial" w:hAnsi="Arial"/>
          <w:sz w:val="21"/>
          <w:szCs w:val="21"/>
          <w:b w:val="1"/>
          <w:bCs w:val="1"/>
          <w:color w:val="auto"/>
        </w:rPr>
        <w:t xml:space="preserve"> SILVERPLATE CAPITAL PARTNERS LLC</w:t>
      </w:r>
      <w:r>
        <w:rPr>
          <w:rFonts w:ascii="Arial" w:cs="Arial" w:eastAsia="Arial" w:hAnsi="Arial"/>
          <w:sz w:val="21"/>
          <w:szCs w:val="21"/>
          <w:color w:val="auto"/>
        </w:rPr>
        <w:t>, a Delaware limited liability company (“</w:t>
      </w:r>
      <w:r>
        <w:rPr>
          <w:rFonts w:ascii="Arial" w:cs="Arial" w:eastAsia="Arial" w:hAnsi="Arial"/>
          <w:sz w:val="21"/>
          <w:szCs w:val="21"/>
          <w:b w:val="1"/>
          <w:bCs w:val="1"/>
          <w:color w:val="auto"/>
        </w:rPr>
        <w:t>Buyer</w:t>
      </w:r>
      <w:r>
        <w:rPr>
          <w:rFonts w:ascii="Arial" w:cs="Arial" w:eastAsia="Arial" w:hAnsi="Arial"/>
          <w:sz w:val="21"/>
          <w:szCs w:val="21"/>
          <w:color w:val="auto"/>
        </w:rPr>
        <w:t>”, Buyer and Seller are sometimes</w:t>
      </w:r>
      <w:r>
        <w:rPr>
          <w:rFonts w:ascii="Arial" w:cs="Arial" w:eastAsia="Arial" w:hAnsi="Arial"/>
          <w:sz w:val="21"/>
          <w:szCs w:val="21"/>
          <w:b w:val="1"/>
          <w:bCs w:val="1"/>
          <w:color w:val="auto"/>
        </w:rPr>
        <w:t xml:space="preserve"> </w:t>
      </w:r>
      <w:r>
        <w:rPr>
          <w:rFonts w:ascii="Arial" w:cs="Arial" w:eastAsia="Arial" w:hAnsi="Arial"/>
          <w:sz w:val="21"/>
          <w:szCs w:val="21"/>
          <w:color w:val="auto"/>
        </w:rPr>
        <w:t>referred to in this Amendment, each,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r>
        <w:rPr>
          <w:rFonts w:ascii="Arial" w:cs="Arial" w:eastAsia="Arial" w:hAnsi="Arial"/>
          <w:sz w:val="21"/>
          <w:szCs w:val="21"/>
          <w:b w:val="1"/>
          <w:bCs w:val="1"/>
          <w:color w:val="auto"/>
        </w:rPr>
        <w:t>:</w:t>
      </w:r>
    </w:p>
    <w:p>
      <w:pPr>
        <w:spacing w:after="0" w:line="193" w:lineRule="exact"/>
        <w:rPr>
          <w:sz w:val="20"/>
          <w:szCs w:val="20"/>
          <w:color w:val="auto"/>
        </w:rPr>
      </w:pPr>
    </w:p>
    <w:p>
      <w:pPr>
        <w:jc w:val="both"/>
        <w:ind w:firstLine="650"/>
        <w:spacing w:after="0" w:line="247" w:lineRule="auto"/>
        <w:tabs>
          <w:tab w:leader="none" w:pos="1172" w:val="left"/>
        </w:tabs>
        <w:numPr>
          <w:ilvl w:val="0"/>
          <w:numId w:val="2"/>
        </w:numPr>
        <w:rPr>
          <w:rFonts w:ascii="Arial" w:cs="Arial" w:eastAsia="Arial" w:hAnsi="Arial"/>
          <w:sz w:val="19"/>
          <w:szCs w:val="19"/>
          <w:b w:val="1"/>
          <w:bCs w:val="1"/>
          <w:color w:val="auto"/>
        </w:rPr>
      </w:pPr>
      <w:r>
        <w:rPr>
          <w:rFonts w:ascii="Arial" w:cs="Arial" w:eastAsia="Arial" w:hAnsi="Arial"/>
          <w:sz w:val="19"/>
          <w:szCs w:val="19"/>
          <w:color w:val="auto"/>
        </w:rPr>
        <w:t>Seller and Buyer entered into that certain Agreement of Purchase and Sale, dated as of September 22, 2020 (the “</w:t>
      </w:r>
      <w:r>
        <w:rPr>
          <w:rFonts w:ascii="Arial" w:cs="Arial" w:eastAsia="Arial" w:hAnsi="Arial"/>
          <w:sz w:val="19"/>
          <w:szCs w:val="19"/>
          <w:b w:val="1"/>
          <w:bCs w:val="1"/>
          <w:color w:val="auto"/>
        </w:rPr>
        <w:t>Initial PSA</w:t>
      </w:r>
      <w:r>
        <w:rPr>
          <w:rFonts w:ascii="Arial" w:cs="Arial" w:eastAsia="Arial" w:hAnsi="Arial"/>
          <w:sz w:val="19"/>
          <w:szCs w:val="19"/>
          <w:color w:val="auto"/>
        </w:rPr>
        <w:t>”), as amended by that certain First Amendment to Agreement of Purchase and Sale, dated as of October 9, 2020 (the “</w:t>
      </w:r>
      <w:r>
        <w:rPr>
          <w:rFonts w:ascii="Arial" w:cs="Arial" w:eastAsia="Arial" w:hAnsi="Arial"/>
          <w:sz w:val="19"/>
          <w:szCs w:val="19"/>
          <w:b w:val="1"/>
          <w:bCs w:val="1"/>
          <w:color w:val="auto"/>
        </w:rPr>
        <w:t>First Amendment</w:t>
      </w:r>
      <w:r>
        <w:rPr>
          <w:rFonts w:ascii="Arial" w:cs="Arial" w:eastAsia="Arial" w:hAnsi="Arial"/>
          <w:sz w:val="19"/>
          <w:szCs w:val="19"/>
          <w:color w:val="auto"/>
        </w:rPr>
        <w:t>”), and as further amended by that certain Second Amendment to Agreement of Purchase and Sale, dated as of February 28, 2021 (the “</w:t>
      </w:r>
      <w:r>
        <w:rPr>
          <w:rFonts w:ascii="Arial" w:cs="Arial" w:eastAsia="Arial" w:hAnsi="Arial"/>
          <w:sz w:val="19"/>
          <w:szCs w:val="19"/>
          <w:b w:val="1"/>
          <w:bCs w:val="1"/>
          <w:color w:val="auto"/>
        </w:rPr>
        <w:t>Second Amendment</w:t>
      </w:r>
      <w:r>
        <w:rPr>
          <w:rFonts w:ascii="Arial" w:cs="Arial" w:eastAsia="Arial" w:hAnsi="Arial"/>
          <w:sz w:val="19"/>
          <w:szCs w:val="19"/>
          <w:color w:val="auto"/>
        </w:rPr>
        <w:t>”, and, together with the Initial PSA and the First Amendment, the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PSA</w:t>
      </w:r>
      <w:r>
        <w:rPr>
          <w:rFonts w:ascii="Arial" w:cs="Arial" w:eastAsia="Arial" w:hAnsi="Arial"/>
          <w:sz w:val="19"/>
          <w:szCs w:val="19"/>
          <w:color w:val="auto"/>
        </w:rPr>
        <w:t>”), pursuant to which, among other things, Seller agreed to sell to Buyer, and Buyer agreed to purchase from Seller,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Membership Interests listed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thereto (the “</w:t>
      </w:r>
      <w:r>
        <w:rPr>
          <w:rFonts w:ascii="Arial" w:cs="Arial" w:eastAsia="Arial" w:hAnsi="Arial"/>
          <w:sz w:val="19"/>
          <w:szCs w:val="19"/>
          <w:b w:val="1"/>
          <w:bCs w:val="1"/>
          <w:color w:val="auto"/>
        </w:rPr>
        <w:t>Property</w:t>
      </w:r>
      <w:r>
        <w:rPr>
          <w:rFonts w:ascii="Arial" w:cs="Arial" w:eastAsia="Arial" w:hAnsi="Arial"/>
          <w:sz w:val="19"/>
          <w:szCs w:val="19"/>
          <w:color w:val="auto"/>
        </w:rPr>
        <w:t>”), as more particularly described in the Original PSA.</w:t>
      </w:r>
    </w:p>
    <w:p>
      <w:pPr>
        <w:spacing w:after="0" w:line="150" w:lineRule="exact"/>
        <w:rPr>
          <w:rFonts w:ascii="Arial" w:cs="Arial" w:eastAsia="Arial" w:hAnsi="Arial"/>
          <w:sz w:val="19"/>
          <w:szCs w:val="19"/>
          <w:b w:val="1"/>
          <w:bCs w:val="1"/>
          <w:color w:val="auto"/>
        </w:rPr>
      </w:pPr>
    </w:p>
    <w:p>
      <w:pPr>
        <w:ind w:left="1060" w:hanging="410"/>
        <w:spacing w:after="0"/>
        <w:tabs>
          <w:tab w:leader="none" w:pos="1060" w:val="left"/>
        </w:tabs>
        <w:numPr>
          <w:ilvl w:val="0"/>
          <w:numId w:val="2"/>
        </w:numPr>
        <w:rPr>
          <w:rFonts w:ascii="Arial" w:cs="Arial" w:eastAsia="Arial" w:hAnsi="Arial"/>
          <w:sz w:val="21"/>
          <w:szCs w:val="21"/>
          <w:b w:val="1"/>
          <w:bCs w:val="1"/>
          <w:color w:val="auto"/>
        </w:rPr>
      </w:pPr>
      <w:r>
        <w:rPr>
          <w:rFonts w:ascii="Arial" w:cs="Arial" w:eastAsia="Arial" w:hAnsi="Arial"/>
          <w:sz w:val="21"/>
          <w:szCs w:val="21"/>
          <w:color w:val="auto"/>
        </w:rPr>
        <w:t>The Parties now wish to amend the Original PSA as more particularly set forth herein.</w:t>
      </w:r>
    </w:p>
    <w:p>
      <w:pPr>
        <w:spacing w:after="0" w:line="177" w:lineRule="exact"/>
        <w:rPr>
          <w:rFonts w:ascii="Arial" w:cs="Arial" w:eastAsia="Arial" w:hAnsi="Arial"/>
          <w:sz w:val="21"/>
          <w:szCs w:val="21"/>
          <w:b w:val="1"/>
          <w:bCs w:val="1"/>
          <w:color w:val="auto"/>
        </w:rPr>
      </w:pPr>
    </w:p>
    <w:p>
      <w:pPr>
        <w:ind w:left="1240" w:hanging="590"/>
        <w:spacing w:after="0"/>
        <w:tabs>
          <w:tab w:leader="none" w:pos="1240" w:val="left"/>
        </w:tabs>
        <w:numPr>
          <w:ilvl w:val="0"/>
          <w:numId w:val="2"/>
        </w:numPr>
        <w:rPr>
          <w:rFonts w:ascii="Arial" w:cs="Arial" w:eastAsia="Arial" w:hAnsi="Arial"/>
          <w:sz w:val="21"/>
          <w:szCs w:val="21"/>
          <w:b w:val="1"/>
          <w:bCs w:val="1"/>
          <w:color w:val="auto"/>
        </w:rPr>
      </w:pPr>
      <w:r>
        <w:rPr>
          <w:rFonts w:ascii="Arial" w:cs="Arial" w:eastAsia="Arial" w:hAnsi="Arial"/>
          <w:sz w:val="21"/>
          <w:szCs w:val="21"/>
          <w:color w:val="auto"/>
        </w:rPr>
        <w:t>The Original PSA, as modified by this Amendment, shall be referred to herein collectively as the “</w:t>
      </w:r>
      <w:r>
        <w:rPr>
          <w:rFonts w:ascii="Arial" w:cs="Arial" w:eastAsia="Arial" w:hAnsi="Arial"/>
          <w:sz w:val="21"/>
          <w:szCs w:val="21"/>
          <w:b w:val="1"/>
          <w:bCs w:val="1"/>
          <w:color w:val="auto"/>
        </w:rPr>
        <w:t>Purchase</w:t>
      </w:r>
    </w:p>
    <w:p>
      <w:pPr>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63"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recitals (which are incorporated into the operative provisions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by this reference), the mutual promises, obligations and agreements contained herein, and other good and valuable consideration, the receipt, adequacy, and sufficiency of which are hereby acknowledged, the Parties hereto, intending to be legally bound, do hereby agree as follows:</w:t>
      </w:r>
    </w:p>
    <w:p>
      <w:pPr>
        <w:spacing w:after="0" w:line="180" w:lineRule="exact"/>
        <w:rPr>
          <w:sz w:val="20"/>
          <w:szCs w:val="20"/>
          <w:color w:val="auto"/>
        </w:rPr>
      </w:pPr>
    </w:p>
    <w:p>
      <w:pPr>
        <w:ind w:left="1020" w:hanging="370"/>
        <w:spacing w:after="0"/>
        <w:tabs>
          <w:tab w:leader="none" w:pos="102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Amendments</w:t>
      </w:r>
      <w:r>
        <w:rPr>
          <w:rFonts w:ascii="Arial" w:cs="Arial" w:eastAsia="Arial" w:hAnsi="Arial"/>
          <w:sz w:val="21"/>
          <w:szCs w:val="21"/>
          <w:color w:val="auto"/>
        </w:rPr>
        <w:t>.</w:t>
      </w:r>
    </w:p>
    <w:p>
      <w:pPr>
        <w:spacing w:after="0" w:line="233" w:lineRule="exact"/>
        <w:rPr>
          <w:rFonts w:ascii="Arial" w:cs="Arial" w:eastAsia="Arial" w:hAnsi="Arial"/>
          <w:sz w:val="21"/>
          <w:szCs w:val="21"/>
          <w:b w:val="1"/>
          <w:bCs w:val="1"/>
          <w:color w:val="auto"/>
        </w:rPr>
      </w:pPr>
    </w:p>
    <w:p>
      <w:pPr>
        <w:ind w:firstLine="1293"/>
        <w:spacing w:after="0" w:line="284" w:lineRule="auto"/>
        <w:tabs>
          <w:tab w:leader="none" w:pos="1747" w:val="left"/>
        </w:tabs>
        <w:numPr>
          <w:ilvl w:val="1"/>
          <w:numId w:val="3"/>
        </w:numPr>
        <w:rPr>
          <w:rFonts w:ascii="Arial" w:cs="Arial" w:eastAsia="Arial" w:hAnsi="Arial"/>
          <w:sz w:val="21"/>
          <w:szCs w:val="21"/>
          <w:color w:val="auto"/>
        </w:rPr>
      </w:pPr>
      <w:r>
        <w:rPr>
          <w:rFonts w:ascii="Arial" w:cs="Arial" w:eastAsia="Arial" w:hAnsi="Arial"/>
          <w:sz w:val="21"/>
          <w:szCs w:val="21"/>
          <w:color w:val="auto"/>
        </w:rPr>
        <w:t>The follow key term in the Summary of Terms in the Purchase Agreement is hereby deleted in its entirety and replaced with the following modified key term:</w:t>
      </w:r>
    </w:p>
    <w:p>
      <w:pPr>
        <w:spacing w:after="0" w:line="152" w:lineRule="exact"/>
        <w:rPr>
          <w:sz w:val="20"/>
          <w:szCs w:val="20"/>
          <w:color w:val="auto"/>
        </w:rPr>
      </w:pPr>
    </w:p>
    <w:p>
      <w:pPr>
        <w:jc w:val="both"/>
        <w:ind w:left="3580" w:hanging="1927"/>
        <w:spacing w:after="0" w:line="309" w:lineRule="auto"/>
        <w:tabs>
          <w:tab w:leader="none" w:pos="3560" w:val="left"/>
        </w:tabs>
        <w:rPr>
          <w:sz w:val="20"/>
          <w:szCs w:val="20"/>
          <w:color w:val="auto"/>
        </w:rPr>
      </w:pPr>
      <w:r>
        <w:rPr>
          <w:rFonts w:ascii="Arial" w:cs="Arial" w:eastAsia="Arial" w:hAnsi="Arial"/>
          <w:sz w:val="21"/>
          <w:szCs w:val="21"/>
          <w:color w:val="auto"/>
        </w:rPr>
        <w:t>“Purchase Price:</w:t>
      </w:r>
      <w:r>
        <w:rPr>
          <w:sz w:val="20"/>
          <w:szCs w:val="20"/>
          <w:color w:val="auto"/>
        </w:rPr>
        <w:tab/>
      </w:r>
      <w:r>
        <w:rPr>
          <w:rFonts w:ascii="Arial" w:cs="Arial" w:eastAsia="Arial" w:hAnsi="Arial"/>
          <w:sz w:val="19"/>
          <w:szCs w:val="19"/>
          <w:color w:val="auto"/>
        </w:rPr>
        <w:t>Twelve Million and No/100 Dollars ($12,000,000.00), subject to adjustment as agreed to by the Parties or as otherwise provided under this Agreement, or, with respect to any Hotel Portfolio Membership Interest, the Allocated Portfolio Interest Purchase Price.”</w:t>
      </w:r>
    </w:p>
    <w:p>
      <w:pPr>
        <w:sectPr>
          <w:pgSz w:w="11900" w:h="16838" w:orient="portrait"/>
          <w:cols w:equalWidth="0" w:num="1">
            <w:col w:w="11240"/>
          </w:cols>
          <w:pgMar w:left="320" w:top="100" w:right="339" w:bottom="1440" w:gutter="0" w:footer="0" w:header="0"/>
        </w:sectPr>
      </w:pPr>
    </w:p>
    <w:bookmarkStart w:id="5" w:name="page6"/>
    <w:bookmarkEnd w:id="5"/>
    <w:p>
      <w:pPr>
        <w:ind w:left="820" w:right="740" w:hanging="647"/>
        <w:spacing w:after="0" w:line="465" w:lineRule="auto"/>
        <w:tabs>
          <w:tab w:leader="none" w:pos="637"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following new term is hereby added to the Purchase Agreement in appropriate alphabetical order: “</w:t>
      </w:r>
      <w:r>
        <w:rPr>
          <w:rFonts w:ascii="Arial" w:cs="Arial" w:eastAsia="Arial" w:hAnsi="Arial"/>
          <w:sz w:val="21"/>
          <w:szCs w:val="21"/>
          <w:b w:val="1"/>
          <w:bCs w:val="1"/>
          <w:color w:val="auto"/>
        </w:rPr>
        <w:t>Third Amendment Date</w:t>
      </w:r>
      <w:r>
        <w:rPr>
          <w:rFonts w:ascii="Arial" w:cs="Arial" w:eastAsia="Arial" w:hAnsi="Arial"/>
          <w:sz w:val="21"/>
          <w:szCs w:val="21"/>
          <w:color w:val="auto"/>
        </w:rPr>
        <w:t>” means March 11, 2021.</w:t>
      </w:r>
    </w:p>
    <w:p>
      <w:pPr>
        <w:spacing w:after="0" w:line="1" w:lineRule="exact"/>
        <w:rPr>
          <w:rFonts w:ascii="Arial" w:cs="Arial" w:eastAsia="Arial" w:hAnsi="Arial"/>
          <w:sz w:val="21"/>
          <w:szCs w:val="21"/>
          <w:color w:val="auto"/>
        </w:rPr>
      </w:pPr>
    </w:p>
    <w:p>
      <w:pPr>
        <w:jc w:val="both"/>
        <w:ind w:left="-1120" w:firstLine="1293"/>
        <w:spacing w:after="0" w:line="267" w:lineRule="auto"/>
        <w:tabs>
          <w:tab w:leader="none" w:pos="623"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Pursuant to and in accordance with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Purchase Agreement (as amended by </w:t>
      </w:r>
      <w:r>
        <w:rPr>
          <w:rFonts w:ascii="Arial" w:cs="Arial" w:eastAsia="Arial" w:hAnsi="Arial"/>
          <w:sz w:val="20"/>
          <w:szCs w:val="20"/>
          <w:u w:val="single" w:color="auto"/>
          <w:color w:val="auto"/>
        </w:rPr>
        <w:t>Section 1(c)</w:t>
      </w:r>
      <w:r>
        <w:rPr>
          <w:rFonts w:ascii="Arial" w:cs="Arial" w:eastAsia="Arial" w:hAnsi="Arial"/>
          <w:sz w:val="20"/>
          <w:szCs w:val="20"/>
          <w:color w:val="auto"/>
        </w:rPr>
        <w:t xml:space="preserve"> of the Second Amendment), Seller and Buyer have mutually agreed to accelerate the Closing Date for the Membership Interests in the Hotel Owners and the Operating Tenant of the CBM Hotel Portfolio, the Miami Hotel Portfolio, and the NEP Hotel Portfolio (collectively, the “</w:t>
      </w:r>
      <w:r>
        <w:rPr>
          <w:rFonts w:ascii="Arial" w:cs="Arial" w:eastAsia="Arial" w:hAnsi="Arial"/>
          <w:sz w:val="20"/>
          <w:szCs w:val="20"/>
          <w:b w:val="1"/>
          <w:bCs w:val="1"/>
          <w:color w:val="auto"/>
        </w:rPr>
        <w:t>Accelerated Hotel Portfolios</w:t>
      </w:r>
      <w:r>
        <w:rPr>
          <w:rFonts w:ascii="Arial" w:cs="Arial" w:eastAsia="Arial" w:hAnsi="Arial"/>
          <w:sz w:val="20"/>
          <w:szCs w:val="20"/>
          <w:color w:val="auto"/>
        </w:rPr>
        <w:t>”) to occur no later than March 16, 2021 (the “</w:t>
      </w:r>
      <w:r>
        <w:rPr>
          <w:rFonts w:ascii="Arial" w:cs="Arial" w:eastAsia="Arial" w:hAnsi="Arial"/>
          <w:sz w:val="20"/>
          <w:szCs w:val="20"/>
          <w:b w:val="1"/>
          <w:bCs w:val="1"/>
          <w:color w:val="auto"/>
        </w:rPr>
        <w:t>Accelerated Closing Date</w:t>
      </w:r>
      <w:r>
        <w:rPr>
          <w:rFonts w:ascii="Arial" w:cs="Arial" w:eastAsia="Arial" w:hAnsi="Arial"/>
          <w:sz w:val="20"/>
          <w:szCs w:val="20"/>
          <w:color w:val="auto"/>
        </w:rPr>
        <w:t xml:space="preserve">”) in anticipation of all of the closing conditions set forth in </w:t>
      </w:r>
      <w:r>
        <w:rPr>
          <w:rFonts w:ascii="Arial" w:cs="Arial" w:eastAsia="Arial" w:hAnsi="Arial"/>
          <w:sz w:val="20"/>
          <w:szCs w:val="20"/>
          <w:u w:val="single" w:color="auto"/>
          <w:color w:val="auto"/>
        </w:rPr>
        <w:t>Sections 5.2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of the Purchase Agreement being satisfied for such Membership Interests on or prior to the Accelerated Closing Date notwithstanding that the closing conditions set forth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5.2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of the Purchase Agreement are not anticipated to be satisfied for the Membership Interests in the Hotel Owners and the Operating Tenants of all of the Hotel Portfolios as of the Accelerated Closing Date. Accordingly, the Parties anticipate that the Closing for the Accelerated Hotel Portfolios shall occur on or prior to the Accelerated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the Membership Interests in the Hotel Owners and the Operating Tenant of the CBM Hotel Portfolio, if the Loan Release and Modification has not been issued by any CBM Lender as of the Accelerated Closing Date, then the Accelerated Closing Date for the CBM Hotel Portfolio shall be automatically extended until the earliest date that both (i) each CBM Lender issues the applicable Loan Release and Modification, and (ii) each CBM Lender notifies the Parties that it is ready to proceed to the Closing (but subject, in all events,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Purchase Agreement (as amended by </w:t>
      </w:r>
      <w:r>
        <w:rPr>
          <w:rFonts w:ascii="Arial" w:cs="Arial" w:eastAsia="Arial" w:hAnsi="Arial"/>
          <w:sz w:val="20"/>
          <w:szCs w:val="20"/>
          <w:u w:val="single" w:color="auto"/>
          <w:color w:val="auto"/>
        </w:rPr>
        <w:t>Section 1(c)</w:t>
      </w:r>
      <w:r>
        <w:rPr>
          <w:rFonts w:ascii="Arial" w:cs="Arial" w:eastAsia="Arial" w:hAnsi="Arial"/>
          <w:sz w:val="20"/>
          <w:szCs w:val="20"/>
          <w:color w:val="auto"/>
        </w:rPr>
        <w:t xml:space="preserve"> of the Second Amendment and by </w:t>
      </w:r>
      <w:r>
        <w:rPr>
          <w:rFonts w:ascii="Arial" w:cs="Arial" w:eastAsia="Arial" w:hAnsi="Arial"/>
          <w:sz w:val="20"/>
          <w:szCs w:val="20"/>
          <w:u w:val="single" w:color="auto"/>
          <w:color w:val="auto"/>
        </w:rPr>
        <w:t>Section 1(d)</w:t>
      </w:r>
      <w:r>
        <w:rPr>
          <w:rFonts w:ascii="Arial" w:cs="Arial" w:eastAsia="Arial" w:hAnsi="Arial"/>
          <w:sz w:val="20"/>
          <w:szCs w:val="20"/>
          <w:color w:val="auto"/>
        </w:rPr>
        <w:t>)). Notwithstanding the foregoing and/or anything to the contrary set forth in this Amendment or in the Original PSA, no portion of the Deposit (including the Allocated Portfolio Interest Deposits) will be credited to Buyer, applied against the Purchase Price, nor paid to Seller at the Closing for the Accelerated Hotel Portfolios. Instead, the entire Deposit will only be credited to Buyer, applied against the Purchase Price, and paid to Seller at the Closing for the Membership Interests in the Hotel Owners and the Operating Tenant(s) of the last Hotel Portfolio(s) to close under the terms of the Purchase Agreement (as modified by this Amendment) (the “</w:t>
      </w:r>
      <w:r>
        <w:rPr>
          <w:rFonts w:ascii="Arial" w:cs="Arial" w:eastAsia="Arial" w:hAnsi="Arial"/>
          <w:sz w:val="20"/>
          <w:szCs w:val="20"/>
          <w:b w:val="1"/>
          <w:bCs w:val="1"/>
          <w:color w:val="auto"/>
        </w:rPr>
        <w:t>Remaining Hotel Portfolio(s)</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1120" w:firstLine="1293"/>
        <w:spacing w:after="0" w:line="263" w:lineRule="auto"/>
        <w:tabs>
          <w:tab w:leader="none" w:pos="652" w:val="left"/>
        </w:tabs>
        <w:numPr>
          <w:ilvl w:val="0"/>
          <w:numId w:val="4"/>
        </w:numPr>
        <w:rPr>
          <w:rFonts w:ascii="Arial" w:cs="Arial" w:eastAsia="Arial" w:hAnsi="Arial"/>
          <w:sz w:val="21"/>
          <w:szCs w:val="21"/>
          <w:color w:val="auto"/>
        </w:rPr>
      </w:pPr>
      <w:r>
        <w:rPr>
          <w:rFonts w:ascii="Arial" w:cs="Arial" w:eastAsia="Arial" w:hAnsi="Arial"/>
          <w:sz w:val="21"/>
          <w:szCs w:val="21"/>
          <w:color w:val="auto"/>
        </w:rPr>
        <w:t>If the Closing for at least two (2) of the three (3) Accelerated Hotel Portfolios shall have occurred on or prior to the Consent Approval Date (i.e., on or prior to March 15, 2021), then the Closing Date shall automatically be extended to the Extended Consent Approval Date, Seller shall waive the requirement that Buyer deliver to Seller the Extension Notice and to deliver to Escrow Agent the Extension Deposit.</w:t>
      </w:r>
    </w:p>
    <w:p>
      <w:pPr>
        <w:spacing w:after="0" w:line="173" w:lineRule="exact"/>
        <w:rPr>
          <w:rFonts w:ascii="Arial" w:cs="Arial" w:eastAsia="Arial" w:hAnsi="Arial"/>
          <w:sz w:val="21"/>
          <w:szCs w:val="21"/>
          <w:color w:val="auto"/>
        </w:rPr>
      </w:pPr>
    </w:p>
    <w:p>
      <w:pPr>
        <w:jc w:val="both"/>
        <w:ind w:left="-1120" w:firstLine="1293"/>
        <w:spacing w:after="0" w:line="260"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Pursuant to and in accordance with </w:t>
      </w:r>
      <w:r>
        <w:rPr>
          <w:rFonts w:ascii="Arial" w:cs="Arial" w:eastAsia="Arial" w:hAnsi="Arial"/>
          <w:sz w:val="21"/>
          <w:szCs w:val="21"/>
          <w:u w:val="single" w:color="auto"/>
          <w:color w:val="auto"/>
        </w:rPr>
        <w:t>Section 1(g)(i)</w:t>
      </w:r>
      <w:r>
        <w:rPr>
          <w:rFonts w:ascii="Arial" w:cs="Arial" w:eastAsia="Arial" w:hAnsi="Arial"/>
          <w:sz w:val="21"/>
          <w:szCs w:val="21"/>
          <w:color w:val="auto"/>
        </w:rPr>
        <w:t xml:space="preserve"> of the Second Amendment, Seller shall receive a credit at the Closing for the Innkeepers Portfolio in an amount equal to Five Hundred Thousand and No/100 Dollars ($500,000.00) (such credit, the “</w:t>
      </w:r>
      <w:r>
        <w:rPr>
          <w:rFonts w:ascii="Arial" w:cs="Arial" w:eastAsia="Arial" w:hAnsi="Arial"/>
          <w:sz w:val="21"/>
          <w:szCs w:val="21"/>
          <w:b w:val="1"/>
          <w:bCs w:val="1"/>
          <w:color w:val="auto"/>
        </w:rPr>
        <w:t>Third Amendment Innkeepers Credit</w:t>
      </w:r>
      <w:r>
        <w:rPr>
          <w:rFonts w:ascii="Arial" w:cs="Arial" w:eastAsia="Arial" w:hAnsi="Arial"/>
          <w:sz w:val="21"/>
          <w:szCs w:val="21"/>
          <w:color w:val="auto"/>
        </w:rPr>
        <w:t>”) in respect of one or more payments of certain shortfalls for the Innkeepers Hotel Portfolio representing an amount equal to One Million and No/100 Dollars ($1,000,000.00) made by Seller or its Affiliates prior to the Third Amendment Date. Seller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0" w:lineRule="exact"/>
        <w:rPr>
          <w:rFonts w:ascii="Arial" w:cs="Arial" w:eastAsia="Arial" w:hAnsi="Arial"/>
          <w:sz w:val="21"/>
          <w:szCs w:val="21"/>
          <w:color w:val="auto"/>
        </w:rPr>
      </w:pPr>
    </w:p>
    <w:p>
      <w:pPr>
        <w:ind w:left="4460" w:hanging="119"/>
        <w:spacing w:after="0"/>
        <w:tabs>
          <w:tab w:leader="none" w:pos="4460" w:val="left"/>
        </w:tabs>
        <w:numPr>
          <w:ilvl w:val="1"/>
          <w:numId w:val="4"/>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0120"/>
          </w:cols>
          <w:pgMar w:left="1440" w:top="1417"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21"/>
          <w:szCs w:val="21"/>
          <w:color w:val="auto"/>
        </w:rPr>
        <w:t>represents and warrants to Buyer that, since the Second Amendment Date and through the Third Amendment Date, that Seller or its Affiliates have made payments for certain shortfalls in an amount equal to One Million and No/100 Dollars ($1,000,000.00), and Seller has or will provide to Buyer one or more cash flow statements to evidence payment of such shortfall(s). For the avoidance of doubt, the Third Amendment Innkeepers Credit shall be in addition to (i) the credits to be received by Seller at the Closing for the Innkeepers Portfolio in the aggregate amount of Five Million Eight Hundred Thousand and No/100 Dollars ($5,800,000.00) pursuant to the terms of the First Amendment and (ii) the credit to be received by Seller at the Closing for the Innkeepers Portfolio in the aggregate amount of Six Million Five Hundred Fifty Thousand and No/100 Dollars ($6,550,000.00) pursuant to the terms of the Second Amendment.</w:t>
      </w:r>
    </w:p>
    <w:p>
      <w:pPr>
        <w:spacing w:after="0" w:line="181" w:lineRule="exact"/>
        <w:rPr>
          <w:sz w:val="20"/>
          <w:szCs w:val="20"/>
          <w:color w:val="auto"/>
        </w:rPr>
      </w:pPr>
    </w:p>
    <w:p>
      <w:pPr>
        <w:jc w:val="both"/>
        <w:ind w:firstLine="1293"/>
        <w:spacing w:after="0" w:line="269" w:lineRule="auto"/>
        <w:tabs>
          <w:tab w:leader="none" w:pos="1833" w:val="left"/>
        </w:tabs>
        <w:numPr>
          <w:ilvl w:val="1"/>
          <w:numId w:val="5"/>
        </w:numPr>
        <w:rPr>
          <w:rFonts w:ascii="Arial" w:cs="Arial" w:eastAsia="Arial" w:hAnsi="Arial"/>
          <w:sz w:val="20"/>
          <w:szCs w:val="20"/>
          <w:color w:val="auto"/>
        </w:rPr>
      </w:pPr>
      <w:r>
        <w:rPr>
          <w:rFonts w:ascii="Arial" w:cs="Arial" w:eastAsia="Arial" w:hAnsi="Arial"/>
          <w:sz w:val="20"/>
          <w:szCs w:val="20"/>
          <w:color w:val="auto"/>
        </w:rPr>
        <w:t xml:space="preserve">The Parties acknowledge and agree that Seller shall have the right to deliver a Post-Closing Guaranty in accordance with the terms of </w:t>
      </w:r>
      <w:r>
        <w:rPr>
          <w:rFonts w:ascii="Arial" w:cs="Arial" w:eastAsia="Arial" w:hAnsi="Arial"/>
          <w:sz w:val="20"/>
          <w:szCs w:val="20"/>
          <w:u w:val="single" w:color="auto"/>
          <w:color w:val="auto"/>
        </w:rPr>
        <w:t>Section 6.3(c)</w:t>
      </w:r>
      <w:r>
        <w:rPr>
          <w:rFonts w:ascii="Arial" w:cs="Arial" w:eastAsia="Arial" w:hAnsi="Arial"/>
          <w:sz w:val="20"/>
          <w:szCs w:val="20"/>
          <w:color w:val="auto"/>
        </w:rPr>
        <w:t xml:space="preserve"> of the Purchase Agreement in which the Maximum Amount guaranteed thereunder with respect to Seller’s obligations under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of the Purchase Agreement equals the pro rata portion of the Maximum Amount based on the ratio of the Allocated Portfolio Interest Purchase Price for the Accelerated Hotel Portfolios that are the subject of such Post-Closing Guaranty to the Purchase Price. Upon the Closing of any Remaining Hotel Portfolio(s), whether in one or a series of Closings, Seller shall deliver an additional Post-Closing Guaranty at each such Closing in accordance with the terms of </w:t>
      </w:r>
      <w:r>
        <w:rPr>
          <w:rFonts w:ascii="Arial" w:cs="Arial" w:eastAsia="Arial" w:hAnsi="Arial"/>
          <w:sz w:val="20"/>
          <w:szCs w:val="20"/>
          <w:u w:val="single" w:color="auto"/>
          <w:color w:val="auto"/>
        </w:rPr>
        <w:t>Section 6.3(c)</w:t>
      </w:r>
      <w:r>
        <w:rPr>
          <w:rFonts w:ascii="Arial" w:cs="Arial" w:eastAsia="Arial" w:hAnsi="Arial"/>
          <w:sz w:val="20"/>
          <w:szCs w:val="20"/>
          <w:color w:val="auto"/>
        </w:rPr>
        <w:t xml:space="preserve"> of the Purchase Agreement in which the Maximum Amount guaranteed thereunder with respect to Seller’s obligations under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of the Purchase Agreement equals the pro rata portion of the Maximum Amount based on the Allocated Portfolio Interest Purchase Price of the Remaining Hotel Portfolio(s) that are the subject of each such Post-Closing Guaranty;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delivery by Seller of any additional Post-Closing Guaranty in connection with any Closing of a Remaining Hotel Portfolio, Buyer shall have the right to recover Claims under any Post-Closing Guaranty up to the aggregate Maximum Amount of all outstanding Post-Closing Guarantees notwithstanding the Hotel Portfolio to which the Claim relates. The survival period for Claims for each Hotel Portfolio shall expire six (6) months from the applicable Closing Date.</w:t>
      </w:r>
    </w:p>
    <w:p>
      <w:pPr>
        <w:spacing w:after="0" w:line="164" w:lineRule="exact"/>
        <w:rPr>
          <w:rFonts w:ascii="Arial" w:cs="Arial" w:eastAsia="Arial" w:hAnsi="Arial"/>
          <w:sz w:val="20"/>
          <w:szCs w:val="20"/>
          <w:color w:val="auto"/>
        </w:rPr>
      </w:pPr>
    </w:p>
    <w:p>
      <w:pPr>
        <w:ind w:left="1020" w:hanging="370"/>
        <w:spacing w:after="0"/>
        <w:tabs>
          <w:tab w:leader="none" w:pos="1020"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233" w:lineRule="exact"/>
        <w:rPr>
          <w:rFonts w:ascii="Arial" w:cs="Arial" w:eastAsia="Arial" w:hAnsi="Arial"/>
          <w:sz w:val="21"/>
          <w:szCs w:val="21"/>
          <w:b w:val="1"/>
          <w:bCs w:val="1"/>
          <w:color w:val="auto"/>
        </w:rPr>
      </w:pPr>
    </w:p>
    <w:p>
      <w:pPr>
        <w:jc w:val="both"/>
        <w:ind w:firstLine="1293"/>
        <w:spacing w:after="0" w:line="268" w:lineRule="auto"/>
        <w:tabs>
          <w:tab w:leader="none" w:pos="1740" w:val="left"/>
        </w:tabs>
        <w:numPr>
          <w:ilvl w:val="1"/>
          <w:numId w:val="6"/>
        </w:numPr>
        <w:rPr>
          <w:rFonts w:ascii="Arial" w:cs="Arial" w:eastAsia="Arial" w:hAnsi="Arial"/>
          <w:sz w:val="21"/>
          <w:szCs w:val="21"/>
          <w:color w:val="auto"/>
        </w:rPr>
      </w:pPr>
      <w:r>
        <w:rPr>
          <w:rFonts w:ascii="Arial" w:cs="Arial" w:eastAsia="Arial" w:hAnsi="Arial"/>
          <w:sz w:val="21"/>
          <w:szCs w:val="21"/>
          <w:color w:val="auto"/>
        </w:rPr>
        <w:t>Capitalized terms used and not otherwise defined in this Amendment shall have the respective meanings given to such terms in the Original PSA. Section references in this Amendment shall refer to such sections in the Original PSA unless specifically noted as referring to another agreement.</w:t>
      </w:r>
    </w:p>
    <w:p>
      <w:pPr>
        <w:spacing w:after="0" w:line="168" w:lineRule="exact"/>
        <w:rPr>
          <w:rFonts w:ascii="Arial" w:cs="Arial" w:eastAsia="Arial" w:hAnsi="Arial"/>
          <w:sz w:val="21"/>
          <w:szCs w:val="21"/>
          <w:color w:val="auto"/>
        </w:rPr>
      </w:pPr>
    </w:p>
    <w:p>
      <w:pPr>
        <w:jc w:val="both"/>
        <w:ind w:firstLine="1293"/>
        <w:spacing w:after="0" w:line="259" w:lineRule="auto"/>
        <w:tabs>
          <w:tab w:leader="none" w:pos="1760" w:val="left"/>
        </w:tabs>
        <w:numPr>
          <w:ilvl w:val="1"/>
          <w:numId w:val="6"/>
        </w:numPr>
        <w:rPr>
          <w:rFonts w:ascii="Arial" w:cs="Arial" w:eastAsia="Arial" w:hAnsi="Arial"/>
          <w:sz w:val="21"/>
          <w:szCs w:val="21"/>
          <w:color w:val="auto"/>
        </w:rPr>
      </w:pPr>
      <w:r>
        <w:rPr>
          <w:rFonts w:ascii="Arial" w:cs="Arial" w:eastAsia="Arial" w:hAnsi="Arial"/>
          <w:sz w:val="21"/>
          <w:szCs w:val="21"/>
          <w:color w:val="auto"/>
        </w:rPr>
        <w:t>This Amendment may be executed in any number of counterparts with the same effect as if all signing parties had signed the same document. All counterparts when executed and delivered shall be construed together and constitute the same instrument. Counterparts may be delivered electronically. The exchange of copies of this Amendment, any amendments hereto, any signature pages required hereunder or any other documents required or contemplated hereunder by facsimile or Portable Document Format (“</w:t>
      </w:r>
      <w:r>
        <w:rPr>
          <w:rFonts w:ascii="Arial" w:cs="Arial" w:eastAsia="Arial" w:hAnsi="Arial"/>
          <w:sz w:val="21"/>
          <w:szCs w:val="21"/>
          <w:b w:val="1"/>
          <w:bCs w:val="1"/>
          <w:color w:val="auto"/>
        </w:rPr>
        <w:t>PDF</w:t>
      </w:r>
      <w:r>
        <w:rPr>
          <w:rFonts w:ascii="Arial" w:cs="Arial" w:eastAsia="Arial" w:hAnsi="Arial"/>
          <w:sz w:val="21"/>
          <w:szCs w:val="21"/>
          <w:color w:val="auto"/>
        </w:rPr>
        <w:t>”) transmission shall constitute effective execution and delivery of same as to the Parties thereto and may be used in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9" w:lineRule="exact"/>
        <w:rPr>
          <w:rFonts w:ascii="Arial" w:cs="Arial" w:eastAsia="Arial" w:hAnsi="Arial"/>
          <w:sz w:val="21"/>
          <w:szCs w:val="21"/>
          <w:color w:val="auto"/>
        </w:rPr>
      </w:pPr>
    </w:p>
    <w:p>
      <w:pPr>
        <w:ind w:left="5580" w:hanging="119"/>
        <w:spacing w:after="0"/>
        <w:tabs>
          <w:tab w:leader="none" w:pos="5580" w:val="left"/>
        </w:tabs>
        <w:numPr>
          <w:ilvl w:val="2"/>
          <w:numId w:val="6"/>
        </w:numPr>
        <w:rPr>
          <w:rFonts w:ascii="Arial" w:cs="Arial" w:eastAsia="Arial" w:hAnsi="Arial"/>
          <w:sz w:val="20"/>
          <w:szCs w:val="20"/>
          <w:color w:val="auto"/>
        </w:rPr>
      </w:pPr>
      <w:r>
        <w:rPr>
          <w:rFonts w:ascii="Arial" w:cs="Arial" w:eastAsia="Arial" w:hAnsi="Arial"/>
          <w:sz w:val="20"/>
          <w:szCs w:val="20"/>
          <w:color w:val="auto"/>
        </w:rPr>
        <w:t>3 -</w:t>
      </w:r>
    </w:p>
    <w:p>
      <w:pPr>
        <w:sectPr>
          <w:pgSz w:w="11900" w:h="16838" w:orient="portrait"/>
          <w:cols w:equalWidth="0" w:num="1">
            <w:col w:w="11240"/>
          </w:cols>
          <w:pgMar w:left="320" w:top="1417" w:right="3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21"/>
          <w:szCs w:val="21"/>
          <w:color w:val="auto"/>
        </w:rPr>
        <w:t>lieu of the original documents for all purposes. Signatures transmitted by facsimile or PDF shall be deemed to be original signatures for all purposes.</w:t>
      </w:r>
    </w:p>
    <w:p>
      <w:pPr>
        <w:spacing w:after="0" w:line="152" w:lineRule="exact"/>
        <w:rPr>
          <w:sz w:val="20"/>
          <w:szCs w:val="20"/>
          <w:color w:val="auto"/>
        </w:rPr>
      </w:pPr>
    </w:p>
    <w:p>
      <w:pPr>
        <w:jc w:val="both"/>
        <w:ind w:firstLine="1293"/>
        <w:spacing w:after="0" w:line="259" w:lineRule="auto"/>
        <w:tabs>
          <w:tab w:leader="none" w:pos="1819" w:val="left"/>
        </w:tabs>
        <w:numPr>
          <w:ilvl w:val="0"/>
          <w:numId w:val="7"/>
        </w:numPr>
        <w:rPr>
          <w:rFonts w:ascii="Arial" w:cs="Arial" w:eastAsia="Arial" w:hAnsi="Arial"/>
          <w:sz w:val="21"/>
          <w:szCs w:val="21"/>
          <w:color w:val="auto"/>
        </w:rPr>
      </w:pPr>
      <w:r>
        <w:rPr>
          <w:rFonts w:ascii="Arial" w:cs="Arial" w:eastAsia="Arial" w:hAnsi="Arial"/>
          <w:sz w:val="21"/>
          <w:szCs w:val="21"/>
          <w:color w:val="auto"/>
        </w:rPr>
        <w:t>THIS AMENDMENT WILL BE GOVERNED BY AND CONSTRUED IN ACCORDANCE WITH THE LAWS OF THE STATE OF NEW YORK, EXCEPT AS TO REAL PROPERTY MATTERS DIRECTLY RELATED TO A SINGLE INDIVIDUAL HOTEL, WHICH MATTERS SHALL BE GOVERNED BY THE LAWS OF THE STATE IN WHICH THE RESPECTIVE REAL PROPERTY OF SUCH HOTEL IS LOCATED, EXCLUDING ANY CONFLICT-OF-LAWS RULE OR PRINCIPLE THAT MIGHT REFER THE GOVERNANCE OR THE CONSTRUCTION OF THIS AMENDMENT TO THE LAW OF ANOTHER JURISDICTION.</w:t>
      </w:r>
    </w:p>
    <w:p>
      <w:pPr>
        <w:spacing w:after="0" w:line="177" w:lineRule="exact"/>
        <w:rPr>
          <w:rFonts w:ascii="Arial" w:cs="Arial" w:eastAsia="Arial" w:hAnsi="Arial"/>
          <w:sz w:val="21"/>
          <w:szCs w:val="21"/>
          <w:color w:val="auto"/>
        </w:rPr>
      </w:pPr>
    </w:p>
    <w:p>
      <w:pPr>
        <w:ind w:left="1980" w:hanging="687"/>
        <w:spacing w:after="0"/>
        <w:tabs>
          <w:tab w:leader="none" w:pos="1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Each Party hereby represents that its undersigned representatives are duly authorized to execute this</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Amendment.</w:t>
      </w:r>
    </w:p>
    <w:p>
      <w:pPr>
        <w:spacing w:after="0" w:line="209" w:lineRule="exact"/>
        <w:rPr>
          <w:rFonts w:ascii="Arial" w:cs="Arial" w:eastAsia="Arial" w:hAnsi="Arial"/>
          <w:sz w:val="20"/>
          <w:szCs w:val="20"/>
          <w:color w:val="auto"/>
        </w:rPr>
      </w:pPr>
    </w:p>
    <w:p>
      <w:pPr>
        <w:ind w:firstLine="1293"/>
        <w:spacing w:after="0" w:line="310" w:lineRule="auto"/>
        <w:tabs>
          <w:tab w:leader="none" w:pos="1756" w:val="left"/>
        </w:tabs>
        <w:numPr>
          <w:ilvl w:val="0"/>
          <w:numId w:val="7"/>
        </w:numPr>
        <w:rPr>
          <w:rFonts w:ascii="Arial" w:cs="Arial" w:eastAsia="Arial" w:hAnsi="Arial"/>
          <w:sz w:val="20"/>
          <w:szCs w:val="20"/>
          <w:color w:val="auto"/>
        </w:rPr>
      </w:pPr>
      <w:r>
        <w:rPr>
          <w:rFonts w:ascii="Arial" w:cs="Arial" w:eastAsia="Arial" w:hAnsi="Arial"/>
          <w:sz w:val="20"/>
          <w:szCs w:val="20"/>
          <w:color w:val="auto"/>
        </w:rPr>
        <w:t>No person who is not a signatory to this Amendment shall be permitted to rely upon or otherwise enforce any provision contained in this Amendment on the grounds that such person is a third party beneficiary of this Amendment.</w:t>
      </w:r>
    </w:p>
    <w:p>
      <w:pPr>
        <w:spacing w:after="0" w:line="128" w:lineRule="exact"/>
        <w:rPr>
          <w:rFonts w:ascii="Arial" w:cs="Arial" w:eastAsia="Arial" w:hAnsi="Arial"/>
          <w:sz w:val="20"/>
          <w:szCs w:val="20"/>
          <w:color w:val="auto"/>
        </w:rPr>
      </w:pPr>
    </w:p>
    <w:p>
      <w:pPr>
        <w:ind w:left="1740" w:hanging="447"/>
        <w:spacing w:after="0"/>
        <w:tabs>
          <w:tab w:leader="none" w:pos="17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Except as expressly amended by this Amendment, the Original PSA remains unmodified and in full force and</w:t>
      </w:r>
    </w:p>
    <w:p>
      <w:pPr>
        <w:spacing w:after="0" w:line="5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effect.</w:t>
      </w:r>
    </w:p>
    <w:p>
      <w:pPr>
        <w:spacing w:after="0" w:line="209" w:lineRule="exact"/>
        <w:rPr>
          <w:rFonts w:ascii="Arial" w:cs="Arial" w:eastAsia="Arial" w:hAnsi="Arial"/>
          <w:sz w:val="19"/>
          <w:szCs w:val="19"/>
          <w:color w:val="auto"/>
        </w:rPr>
      </w:pPr>
    </w:p>
    <w:p>
      <w:pPr>
        <w:jc w:val="both"/>
        <w:ind w:firstLine="1293"/>
        <w:spacing w:after="0" w:line="274" w:lineRule="auto"/>
        <w:tabs>
          <w:tab w:leader="none" w:pos="1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References herein and in the Original PSA and any instrument or document delivered pursuant to the Original PSA to “the Agreement” or “this Agreement” shall mean the Original PSA, as modified by this Amendment, which shall constitute the entire agreement among the Parties pertaining to the subject matter hereof and shall supersede all prior agreements, understandings, negotiations and discussions, whether oral or written, of the Parties. Except as modified by this Amendment, the Original PSA is hereby ratified and confirmed in all respects. Nothing herein shall be held to alter, vary or otherwise affect the terms, conditions and provisions of the Original PSA, other than as contemplated herein.</w:t>
      </w:r>
    </w:p>
    <w:p>
      <w:pPr>
        <w:spacing w:after="0" w:line="165" w:lineRule="exact"/>
        <w:rPr>
          <w:rFonts w:ascii="Arial" w:cs="Arial" w:eastAsia="Arial" w:hAnsi="Arial"/>
          <w:sz w:val="20"/>
          <w:szCs w:val="20"/>
          <w:color w:val="auto"/>
        </w:rPr>
      </w:pPr>
    </w:p>
    <w:p>
      <w:pPr>
        <w:jc w:val="both"/>
        <w:ind w:firstLine="1293"/>
        <w:spacing w:after="0" w:line="263" w:lineRule="auto"/>
        <w:tabs>
          <w:tab w:leader="none" w:pos="1889" w:val="left"/>
        </w:tabs>
        <w:numPr>
          <w:ilvl w:val="0"/>
          <w:numId w:val="7"/>
        </w:numPr>
        <w:rPr>
          <w:rFonts w:ascii="Arial" w:cs="Arial" w:eastAsia="Arial" w:hAnsi="Arial"/>
          <w:sz w:val="21"/>
          <w:szCs w:val="21"/>
          <w:color w:val="auto"/>
        </w:rPr>
      </w:pPr>
      <w:r>
        <w:rPr>
          <w:rFonts w:ascii="Arial" w:cs="Arial" w:eastAsia="Arial" w:hAnsi="Arial"/>
          <w:sz w:val="21"/>
          <w:szCs w:val="21"/>
          <w:color w:val="auto"/>
        </w:rPr>
        <w:t>All Section, clause or paragraph references shall, unless the context expressly requires otherwise, be to sections, clauses or paragraphs of this Amendment. The terms “hereto,” “herein,” “hereof,” “hereunder” and words of similar import refer to this Amendment generally, unless otherwise specifically provided. The term “including” shall mean “including, without limitation,” except where the context otherwise requires.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240"/>
          </w:cols>
          <w:pgMar w:left="320" w:top="1417" w:right="339" w:bottom="1440" w:gutter="0" w:footer="0" w:header="0"/>
        </w:sectPr>
      </w:pPr>
    </w:p>
    <w:bookmarkStart w:id="8" w:name="page9"/>
    <w:bookmarkEnd w:id="8"/>
    <w:p>
      <w:pPr>
        <w:ind w:firstLine="643"/>
        <w:spacing w:after="0" w:line="25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Buyer and Seller have caused this Amendment to be executed and delivered by their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representatives as of the Effective Date written above.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6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00" w:lineRule="exact"/>
        <w:rPr>
          <w:sz w:val="20"/>
          <w:szCs w:val="20"/>
          <w:color w:val="auto"/>
        </w:rPr>
      </w:pPr>
    </w:p>
    <w:p>
      <w:pPr>
        <w:ind w:left="3860"/>
        <w:spacing w:after="0"/>
        <w:rPr>
          <w:sz w:val="20"/>
          <w:szCs w:val="20"/>
          <w:color w:val="auto"/>
        </w:rPr>
      </w:pPr>
      <w:r>
        <w:rPr>
          <w:rFonts w:ascii="Arial" w:cs="Arial" w:eastAsia="Arial" w:hAnsi="Arial"/>
          <w:sz w:val="21"/>
          <w:szCs w:val="21"/>
          <w:b w:val="1"/>
          <w:bCs w:val="1"/>
          <w:u w:val="single" w:color="auto"/>
          <w:color w:val="auto"/>
        </w:rPr>
        <w:t>CBM SELLER</w:t>
      </w:r>
      <w:r>
        <w:rPr>
          <w:rFonts w:ascii="Arial" w:cs="Arial" w:eastAsia="Arial" w:hAnsi="Arial"/>
          <w:sz w:val="21"/>
          <w:szCs w:val="21"/>
          <w:b w:val="1"/>
          <w:bCs w:val="1"/>
          <w:color w:val="auto"/>
        </w:rPr>
        <w:t>:</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CMP I OWNER-T, LLC</w:t>
      </w:r>
      <w:r>
        <w:rPr>
          <w:rFonts w:ascii="Arial" w:cs="Arial" w:eastAsia="Arial" w:hAnsi="Arial"/>
          <w:sz w:val="21"/>
          <w:szCs w:val="21"/>
          <w:color w:val="auto"/>
        </w:rPr>
        <w:t>,</w:t>
      </w:r>
    </w:p>
    <w:p>
      <w:pPr>
        <w:ind w:left="386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CMP I Holdings-T, LLC,</w:t>
      </w:r>
    </w:p>
    <w:p>
      <w:pPr>
        <w:ind w:left="450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386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CMP I CAM2-T, LLC</w:t>
      </w:r>
      <w:r>
        <w:rPr>
          <w:rFonts w:ascii="Arial" w:cs="Arial" w:eastAsia="Arial" w:hAnsi="Arial"/>
          <w:sz w:val="21"/>
          <w:szCs w:val="21"/>
          <w:color w:val="auto"/>
        </w:rPr>
        <w:t>,</w:t>
      </w:r>
    </w:p>
    <w:p>
      <w:pPr>
        <w:ind w:left="386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CMP I Holdings-T, LLC,</w:t>
      </w:r>
    </w:p>
    <w:p>
      <w:pPr>
        <w:ind w:left="450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386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Title: Vice President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Third Amendment to Agreement of Purchase and Sale]</w:t>
      </w:r>
    </w:p>
    <w:p>
      <w:pPr>
        <w:sectPr>
          <w:pgSz w:w="11900" w:h="16838" w:orient="portrait"/>
          <w:cols w:equalWidth="0" w:num="1">
            <w:col w:w="11240"/>
          </w:cols>
          <w:pgMar w:left="320" w:top="1384" w:right="339" w:bottom="1440" w:gutter="0" w:footer="0" w:header="0"/>
        </w:sectPr>
      </w:pPr>
    </w:p>
    <w:bookmarkStart w:id="9" w:name="page10"/>
    <w:bookmarkEnd w:id="9"/>
    <w:p>
      <w:pPr>
        <w:ind w:left="2740"/>
        <w:spacing w:after="0"/>
        <w:rPr>
          <w:sz w:val="20"/>
          <w:szCs w:val="20"/>
          <w:color w:val="auto"/>
        </w:rPr>
      </w:pPr>
      <w:r>
        <w:rPr>
          <w:rFonts w:ascii="Arial" w:cs="Arial" w:eastAsia="Arial" w:hAnsi="Arial"/>
          <w:sz w:val="21"/>
          <w:szCs w:val="21"/>
          <w:b w:val="1"/>
          <w:bCs w:val="1"/>
          <w:u w:val="single" w:color="auto"/>
          <w:color w:val="auto"/>
        </w:rPr>
        <w:t>INNKEEPERS SELLER</w:t>
      </w:r>
      <w:r>
        <w:rPr>
          <w:rFonts w:ascii="Arial" w:cs="Arial" w:eastAsia="Arial" w:hAnsi="Arial"/>
          <w:sz w:val="21"/>
          <w:szCs w:val="21"/>
          <w:b w:val="1"/>
          <w:bCs w:val="1"/>
          <w:color w:val="auto"/>
        </w:rPr>
        <w:t>:</w:t>
      </w:r>
    </w:p>
    <w:p>
      <w:pPr>
        <w:spacing w:after="0" w:line="214" w:lineRule="exact"/>
        <w:rPr>
          <w:sz w:val="20"/>
          <w:szCs w:val="20"/>
          <w:color w:val="auto"/>
        </w:rPr>
      </w:pPr>
    </w:p>
    <w:p>
      <w:pPr>
        <w:ind w:left="2740" w:right="1619"/>
        <w:spacing w:after="0" w:line="250" w:lineRule="auto"/>
        <w:rPr>
          <w:sz w:val="20"/>
          <w:szCs w:val="20"/>
          <w:color w:val="auto"/>
        </w:rPr>
      </w:pPr>
      <w:r>
        <w:rPr>
          <w:rFonts w:ascii="Arial" w:cs="Arial" w:eastAsia="Arial" w:hAnsi="Arial"/>
          <w:sz w:val="21"/>
          <w:szCs w:val="21"/>
          <w:b w:val="1"/>
          <w:bCs w:val="1"/>
          <w:color w:val="auto"/>
        </w:rPr>
        <w:t>GRAND PRIX MEZZ BORROWER FIXED LLC</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 Delaware limited liability company</w:t>
      </w:r>
    </w:p>
    <w:p>
      <w:pPr>
        <w:spacing w:after="0" w:line="163"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tab/>
        <w:t>INK Acquisition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Platform Member-T,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INK ACQUISITION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Platform Member-T,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INK ACQUISITION III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Platform Member Holdings-T CAM2,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Third Amendment to Agreement of Purchase and Sale]</w:t>
      </w:r>
    </w:p>
    <w:p>
      <w:pPr>
        <w:sectPr>
          <w:pgSz w:w="11900" w:h="16838" w:orient="portrait"/>
          <w:cols w:equalWidth="0" w:num="1">
            <w:col w:w="9019"/>
          </w:cols>
          <w:pgMar w:left="1440" w:top="1384" w:right="1440" w:bottom="1440" w:gutter="0" w:footer="0" w:header="0"/>
        </w:sectPr>
      </w:pPr>
    </w:p>
    <w:bookmarkStart w:id="10" w:name="page11"/>
    <w:bookmarkEnd w:id="10"/>
    <w:p>
      <w:pPr>
        <w:ind w:left="2740"/>
        <w:spacing w:after="0"/>
        <w:rPr>
          <w:sz w:val="20"/>
          <w:szCs w:val="20"/>
          <w:color w:val="auto"/>
        </w:rPr>
      </w:pPr>
      <w:r>
        <w:rPr>
          <w:rFonts w:ascii="Arial" w:cs="Arial" w:eastAsia="Arial" w:hAnsi="Arial"/>
          <w:sz w:val="21"/>
          <w:szCs w:val="21"/>
          <w:b w:val="1"/>
          <w:bCs w:val="1"/>
          <w:u w:val="single" w:color="auto"/>
          <w:color w:val="auto"/>
        </w:rPr>
        <w:t>K-PARTNERS SELLER</w:t>
      </w:r>
      <w:r>
        <w:rPr>
          <w:rFonts w:ascii="Arial" w:cs="Arial" w:eastAsia="Arial" w:hAnsi="Arial"/>
          <w:sz w:val="21"/>
          <w:szCs w:val="21"/>
          <w:b w:val="1"/>
          <w:bCs w:val="1"/>
          <w:color w:val="auto"/>
        </w:rPr>
        <w:t>:</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CASTLEBLACK OWNER HOLDINGS,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Castleblack Holdings-T,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managing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31" w:lineRule="exact"/>
        <w:rPr>
          <w:sz w:val="20"/>
          <w:szCs w:val="20"/>
          <w:color w:val="auto"/>
        </w:rPr>
      </w:pPr>
    </w:p>
    <w:p>
      <w:pPr>
        <w:ind w:left="2740" w:right="1599"/>
        <w:spacing w:after="0" w:line="250" w:lineRule="auto"/>
        <w:rPr>
          <w:sz w:val="20"/>
          <w:szCs w:val="20"/>
          <w:color w:val="auto"/>
        </w:rPr>
      </w:pPr>
      <w:r>
        <w:rPr>
          <w:rFonts w:ascii="Arial" w:cs="Arial" w:eastAsia="Arial" w:hAnsi="Arial"/>
          <w:sz w:val="21"/>
          <w:szCs w:val="21"/>
          <w:b w:val="1"/>
          <w:bCs w:val="1"/>
          <w:color w:val="auto"/>
        </w:rPr>
        <w:t>CASTLEBLACK OPERATOR HOLDINGS, LLC</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 Delaware limited liability company</w:t>
      </w:r>
    </w:p>
    <w:p>
      <w:pPr>
        <w:spacing w:after="0" w:line="163"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Castleblack-T CAM2,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managing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Third Amendment to Agreement of Purchase and Sale]</w:t>
      </w:r>
    </w:p>
    <w:p>
      <w:pPr>
        <w:sectPr>
          <w:pgSz w:w="11900" w:h="16838" w:orient="portrait"/>
          <w:cols w:equalWidth="0" w:num="1">
            <w:col w:w="9019"/>
          </w:cols>
          <w:pgMar w:left="1440" w:top="1384" w:right="1440" w:bottom="1440" w:gutter="0" w:footer="0" w:header="0"/>
        </w:sectPr>
      </w:pPr>
    </w:p>
    <w:bookmarkStart w:id="11" w:name="page12"/>
    <w:bookmarkEnd w:id="11"/>
    <w:p>
      <w:pPr>
        <w:ind w:left="2740"/>
        <w:spacing w:after="0"/>
        <w:rPr>
          <w:sz w:val="20"/>
          <w:szCs w:val="20"/>
          <w:color w:val="auto"/>
        </w:rPr>
      </w:pPr>
      <w:r>
        <w:rPr>
          <w:rFonts w:ascii="Arial" w:cs="Arial" w:eastAsia="Arial" w:hAnsi="Arial"/>
          <w:sz w:val="21"/>
          <w:szCs w:val="21"/>
          <w:b w:val="1"/>
          <w:bCs w:val="1"/>
          <w:u w:val="single" w:color="auto"/>
          <w:color w:val="auto"/>
        </w:rPr>
        <w:t>MIAMI SELLER</w:t>
      </w:r>
      <w:r>
        <w:rPr>
          <w:rFonts w:ascii="Arial" w:cs="Arial" w:eastAsia="Arial" w:hAnsi="Arial"/>
          <w:sz w:val="21"/>
          <w:szCs w:val="21"/>
          <w:b w:val="1"/>
          <w:bCs w:val="1"/>
          <w:color w:val="auto"/>
        </w:rPr>
        <w:t>:</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MC OWNER MB1-T,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MC Holdings-T,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MC OPS MB1-T,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tab/>
        <w:t>MC CAM2-T,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Third Amendment to Agreement of Purchase and Sale]</w:t>
      </w:r>
    </w:p>
    <w:p>
      <w:pPr>
        <w:sectPr>
          <w:pgSz w:w="11900" w:h="16838" w:orient="portrait"/>
          <w:cols w:equalWidth="0" w:num="1">
            <w:col w:w="9019"/>
          </w:cols>
          <w:pgMar w:left="1440" w:top="1384" w:right="1440" w:bottom="1440" w:gutter="0" w:footer="0" w:header="0"/>
        </w:sectPr>
      </w:pPr>
    </w:p>
    <w:bookmarkStart w:id="12" w:name="page13"/>
    <w:bookmarkEnd w:id="12"/>
    <w:p>
      <w:pPr>
        <w:ind w:left="2740"/>
        <w:spacing w:after="0"/>
        <w:rPr>
          <w:sz w:val="20"/>
          <w:szCs w:val="20"/>
          <w:color w:val="auto"/>
        </w:rPr>
      </w:pPr>
      <w:r>
        <w:rPr>
          <w:rFonts w:ascii="Arial" w:cs="Arial" w:eastAsia="Arial" w:hAnsi="Arial"/>
          <w:sz w:val="21"/>
          <w:szCs w:val="21"/>
          <w:b w:val="1"/>
          <w:bCs w:val="1"/>
          <w:u w:val="single" w:color="auto"/>
          <w:color w:val="auto"/>
        </w:rPr>
        <w:t>NEP SELLER</w:t>
      </w:r>
      <w:r>
        <w:rPr>
          <w:rFonts w:ascii="Arial" w:cs="Arial" w:eastAsia="Arial" w:hAnsi="Arial"/>
          <w:sz w:val="21"/>
          <w:szCs w:val="21"/>
          <w:b w:val="1"/>
          <w:bCs w:val="1"/>
          <w:color w:val="auto"/>
        </w:rPr>
        <w:t>:</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NEP OWNER MB2-T,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NEP Owner-T,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NEP OPS MB2-T,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NEP CAM2-T,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Third Amendment to Agreement of Purchase and Sale]</w:t>
      </w:r>
    </w:p>
    <w:p>
      <w:pPr>
        <w:sectPr>
          <w:pgSz w:w="11900" w:h="16838" w:orient="portrait"/>
          <w:cols w:equalWidth="0" w:num="1">
            <w:col w:w="9019"/>
          </w:cols>
          <w:pgMar w:left="1440" w:top="1384" w:right="1440" w:bottom="1440" w:gutter="0" w:footer="0" w:header="0"/>
        </w:sectPr>
      </w:pPr>
    </w:p>
    <w:bookmarkStart w:id="13" w:name="page14"/>
    <w:bookmarkEnd w:id="13"/>
    <w:p>
      <w:pPr>
        <w:ind w:left="2740"/>
        <w:spacing w:after="0"/>
        <w:rPr>
          <w:sz w:val="20"/>
          <w:szCs w:val="20"/>
          <w:color w:val="auto"/>
        </w:rPr>
      </w:pPr>
      <w:r>
        <w:rPr>
          <w:rFonts w:ascii="Arial" w:cs="Arial" w:eastAsia="Arial" w:hAnsi="Arial"/>
          <w:sz w:val="21"/>
          <w:szCs w:val="21"/>
          <w:b w:val="1"/>
          <w:bCs w:val="1"/>
          <w:u w:val="single" w:color="auto"/>
          <w:color w:val="auto"/>
        </w:rPr>
        <w:t>THL SELLER</w:t>
      </w:r>
      <w:r>
        <w:rPr>
          <w:rFonts w:ascii="Arial" w:cs="Arial" w:eastAsia="Arial" w:hAnsi="Arial"/>
          <w:sz w:val="21"/>
          <w:szCs w:val="21"/>
          <w:b w:val="1"/>
          <w:bCs w:val="1"/>
          <w:color w:val="auto"/>
        </w:rPr>
        <w:t>:</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CNI THL PROPCO HOLDINGS,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CFI RE Holdco,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CNI THL OPCO HOLDINGS,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CC RE Holdco Corporation LLC,</w:t>
      </w:r>
    </w:p>
    <w:p>
      <w:pPr>
        <w:ind w:left="3380"/>
        <w:spacing w:after="0" w:line="212" w:lineRule="auto"/>
        <w:rPr>
          <w:sz w:val="20"/>
          <w:szCs w:val="20"/>
          <w:color w:val="auto"/>
        </w:rPr>
      </w:pPr>
      <w:r>
        <w:rPr>
          <w:rFonts w:ascii="Arial" w:cs="Arial" w:eastAsia="Arial" w:hAnsi="Arial"/>
          <w:sz w:val="21"/>
          <w:szCs w:val="21"/>
          <w:color w:val="auto"/>
        </w:rPr>
        <w:t>a Delaware limited liability company,</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its sole member</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Donna Hansen</w:t>
      </w:r>
    </w:p>
    <w:p>
      <w:pPr>
        <w:ind w:left="2740"/>
        <w:spacing w:after="0" w:line="212" w:lineRule="auto"/>
        <w:rPr>
          <w:sz w:val="20"/>
          <w:szCs w:val="20"/>
          <w:color w:val="auto"/>
        </w:rPr>
      </w:pPr>
      <w:r>
        <w:rPr>
          <w:rFonts w:ascii="Arial" w:cs="Arial" w:eastAsia="Arial" w:hAnsi="Arial"/>
          <w:sz w:val="21"/>
          <w:szCs w:val="21"/>
          <w:color w:val="auto"/>
        </w:rPr>
        <w:t>Name: Donna Hansen</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Vice President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Third Amendment to Agreement of Purchase and Sale]</w:t>
      </w:r>
    </w:p>
    <w:p>
      <w:pPr>
        <w:sectPr>
          <w:pgSz w:w="11900" w:h="16838" w:orient="portrait"/>
          <w:cols w:equalWidth="0" w:num="1">
            <w:col w:w="9019"/>
          </w:cols>
          <w:pgMar w:left="1440" w:top="1384" w:right="1440" w:bottom="1440" w:gutter="0" w:footer="0" w:header="0"/>
        </w:sectPr>
      </w:pPr>
    </w:p>
    <w:bookmarkStart w:id="14" w:name="page15"/>
    <w:bookmarkEnd w:id="14"/>
    <w:p>
      <w:pPr>
        <w:ind w:left="2740"/>
        <w:spacing w:after="0"/>
        <w:rPr>
          <w:sz w:val="20"/>
          <w:szCs w:val="20"/>
          <w:color w:val="auto"/>
        </w:rPr>
      </w:pPr>
      <w:r>
        <w:rPr>
          <w:rFonts w:ascii="Arial" w:cs="Arial" w:eastAsia="Arial" w:hAnsi="Arial"/>
          <w:sz w:val="21"/>
          <w:szCs w:val="21"/>
          <w:b w:val="1"/>
          <w:bCs w:val="1"/>
          <w:color w:val="auto"/>
        </w:rPr>
        <w:t>BUYER:</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21"/>
          <w:szCs w:val="21"/>
          <w:b w:val="1"/>
          <w:bCs w:val="1"/>
          <w:color w:val="auto"/>
        </w:rPr>
        <w:t>SILVERPLATE CAPITAL PARTNERS LLC</w:t>
      </w:r>
      <w:r>
        <w:rPr>
          <w:rFonts w:ascii="Arial" w:cs="Arial" w:eastAsia="Arial" w:hAnsi="Arial"/>
          <w:sz w:val="21"/>
          <w:szCs w:val="21"/>
          <w:color w:val="auto"/>
        </w:rPr>
        <w:t>,</w:t>
      </w:r>
    </w:p>
    <w:p>
      <w:pPr>
        <w:ind w:left="2740"/>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28" w:lineRule="exact"/>
        <w:rPr>
          <w:sz w:val="20"/>
          <w:szCs w:val="20"/>
          <w:color w:val="auto"/>
        </w:rPr>
      </w:pPr>
    </w:p>
    <w:p>
      <w:pPr>
        <w:ind w:left="2740"/>
        <w:spacing w:after="0"/>
        <w:tabs>
          <w:tab w:leader="none" w:pos="33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Paul R. Womble</w:t>
      </w:r>
    </w:p>
    <w:p>
      <w:pPr>
        <w:ind w:left="2740"/>
        <w:spacing w:after="0" w:line="212" w:lineRule="auto"/>
        <w:rPr>
          <w:sz w:val="20"/>
          <w:szCs w:val="20"/>
          <w:color w:val="auto"/>
        </w:rPr>
      </w:pPr>
      <w:r>
        <w:rPr>
          <w:rFonts w:ascii="Arial" w:cs="Arial" w:eastAsia="Arial" w:hAnsi="Arial"/>
          <w:sz w:val="21"/>
          <w:szCs w:val="21"/>
          <w:color w:val="auto"/>
        </w:rPr>
        <w:t>Name: Paul R. Womble</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Title: Authorized Signatory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[End of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Third Amendment to Agreement of Purchase and Sale]</w:t>
      </w:r>
    </w:p>
    <w:sectPr>
      <w:pgSz w:w="11900" w:h="16838" w:orient="portrait"/>
      <w:cols w:equalWidth="0" w:num="1">
        <w:col w:w="9019"/>
      </w:cols>
      <w:pgMar w:left="144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lowerLetter"/>
      <w:start w:val="2"/>
    </w:lvl>
    <w:lvl w:ilvl="1">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5">
    <w:nsid w:val="2EB141F2"/>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2021-03-17T16:07:34Z</dcterms:created>
  <dcterms:modified xsi:type="dcterms:W3CDTF">2021-03-17T16:07:34Z</dcterms:modified>
</cp:coreProperties>
</file>