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before="60" w:after="120"/>
        <w:ind w:left="0" w:right="0" w:firstLine="720"/>
        <w:jc w:val="center"/>
        <w:rPr/>
      </w:pPr>
      <w:r>
        <w:rPr/>
      </w:r>
    </w:p>
    <w:p>
      <w:pPr>
        <w:pStyle w:val="TextBody"/>
        <w:bidi w:val="0"/>
        <w:spacing w:before="60" w:after="12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6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 xml:space="preserve">FORM 10-Q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20" w:after="120"/>
        <w:jc w:val="center"/>
        <w:rPr>
          <w:rFonts w:ascii="Arial;sans-serif" w:hAnsi="Arial;sans-serif"/>
          <w:b/>
          <w:color w:val="000000"/>
          <w:sz w:val="18"/>
        </w:rPr>
      </w:pPr>
      <w:r>
        <w:rPr>
          <w:rFonts w:ascii="Arial;sans-serif" w:hAnsi="Arial;sans-serif"/>
          <w:b/>
          <w:color w:val="000000"/>
          <w:sz w:val="18"/>
        </w:rPr>
        <w:t>Commission file number: 001-37980</w:t>
      </w:r>
    </w:p>
    <w:tbl>
      <w:tblPr>
        <w:tblW w:w="6033" w:type="dxa"/>
        <w:jc w:val="center"/>
        <w:tblInd w:w="0" w:type="dxa"/>
        <w:tblLayout w:type="fixed"/>
        <w:tblCellMar>
          <w:top w:w="28" w:type="dxa"/>
          <w:left w:w="28" w:type="dxa"/>
          <w:bottom w:w="28" w:type="dxa"/>
          <w:right w:w="28" w:type="dxa"/>
        </w:tblCellMar>
      </w:tblPr>
      <w:tblGrid>
        <w:gridCol w:w="324"/>
        <w:gridCol w:w="285"/>
        <w:gridCol w:w="285"/>
        <w:gridCol w:w="682"/>
        <w:gridCol w:w="682"/>
        <w:gridCol w:w="691"/>
        <w:gridCol w:w="285"/>
        <w:gridCol w:w="285"/>
        <w:gridCol w:w="285"/>
        <w:gridCol w:w="415"/>
        <w:gridCol w:w="415"/>
        <w:gridCol w:w="415"/>
        <w:gridCol w:w="285"/>
        <w:gridCol w:w="285"/>
        <w:gridCol w:w="414"/>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0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center"/>
              <w:rPr>
                <w:rFonts w:ascii="Arial;sans-serif" w:hAnsi="Arial;sans-serif"/>
                <w:b/>
                <w:color w:val="000000"/>
                <w:sz w:val="36"/>
              </w:rPr>
            </w:pPr>
            <w:r>
              <w:rPr>
                <w:rFonts w:ascii="Arial;sans-serif" w:hAnsi="Arial;sans-serif"/>
                <w:b/>
                <w:color w:val="000000"/>
                <w:sz w:val="36"/>
              </w:rPr>
              <w:t>DigitalBridge Group, Inc.</w:t>
            </w:r>
          </w:p>
        </w:tc>
      </w:tr>
      <w:tr>
        <w:trPr/>
        <w:tc>
          <w:tcPr>
            <w:tcW w:w="6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(Exact Name of Registrant as Specified in Its Charter)</w:t>
            </w:r>
          </w:p>
        </w:tc>
      </w:tr>
      <w:tr>
        <w:trPr/>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Maryland</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46-4591526</w:t>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(State or Other Jurisdiction of</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Incorporation or Organization)</w:t>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(I.R.S. Employer</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Identification No.)</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750 Park of Commerce Drive, Suite 210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Boca Raton, Florida 33487 </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(Address of Principal Executive Offices, Including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(561) 570-4644 </w:t>
      </w:r>
    </w:p>
    <w:p>
      <w:pPr>
        <w:pStyle w:val="TextBody"/>
        <w:bidi w:val="0"/>
        <w:spacing w:lineRule="auto" w:line="288" w:before="60" w:after="283"/>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1845"/>
        <w:gridCol w:w="1531"/>
        <w:gridCol w:w="1466"/>
        <w:gridCol w:w="280"/>
        <w:gridCol w:w="280"/>
        <w:gridCol w:w="280"/>
        <w:gridCol w:w="425"/>
        <w:gridCol w:w="425"/>
        <w:gridCol w:w="364"/>
        <w:gridCol w:w="280"/>
        <w:gridCol w:w="280"/>
        <w:gridCol w:w="280"/>
        <w:gridCol w:w="778"/>
        <w:gridCol w:w="736"/>
        <w:gridCol w:w="955"/>
      </w:tblGrid>
      <w:tr>
        <w:trPr/>
        <w:tc>
          <w:tcPr>
            <w:tcW w:w="18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80"/>
              <w:ind w:left="0" w:right="0" w:firstLine="360"/>
              <w:jc w:val="center"/>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4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Class</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4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 Common Stock, $0.01 par value</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48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7.125% Series H Cumulative Redeemable, $0.01 par value</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DBRG.PRH</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48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7.15% Series I Cumulative Redeemable, $0.01 par value</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DBRG.PRI</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48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7.125% Series J Cumulative Redeemable, $0.01 par value</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DBRG.PRJ</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120" w:after="80"/>
        <w:ind w:left="0" w:right="0" w:firstLine="360"/>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0" w:after="80"/>
        <w:ind w:left="0" w:right="0" w:firstLine="360"/>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No </w:t>
      </w:r>
      <w:r>
        <w:rPr>
          <w:color w:val="000000"/>
        </w:rPr>
        <w:t>☐</w:t>
      </w:r>
    </w:p>
    <w:p>
      <w:pPr>
        <w:pStyle w:val="TextBody"/>
        <w:bidi w:val="0"/>
        <w:spacing w:lineRule="auto" w:line="288" w:before="0" w:after="6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5481" w:type="dxa"/>
        <w:jc w:val="left"/>
        <w:tblInd w:w="0" w:type="dxa"/>
        <w:tblLayout w:type="fixed"/>
        <w:tblCellMar>
          <w:top w:w="28" w:type="dxa"/>
          <w:left w:w="28" w:type="dxa"/>
          <w:bottom w:w="28" w:type="dxa"/>
          <w:right w:w="28" w:type="dxa"/>
        </w:tblCellMar>
      </w:tblPr>
      <w:tblGrid>
        <w:gridCol w:w="733"/>
        <w:gridCol w:w="645"/>
        <w:gridCol w:w="646"/>
        <w:gridCol w:w="109"/>
        <w:gridCol w:w="109"/>
        <w:gridCol w:w="109"/>
        <w:gridCol w:w="109"/>
        <w:gridCol w:w="109"/>
        <w:gridCol w:w="109"/>
        <w:gridCol w:w="809"/>
        <w:gridCol w:w="809"/>
        <w:gridCol w:w="813"/>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40" w:after="80"/>
        <w:ind w:left="0" w:right="0" w:firstLine="36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pursuant to Section 13(a) of the Exchange Act. </w:t>
      </w:r>
      <w:r>
        <w:rPr>
          <w:color w:val="000000"/>
        </w:rPr>
        <w:t>☐</w:t>
      </w:r>
    </w:p>
    <w:p>
      <w:pPr>
        <w:pStyle w:val="TextBody"/>
        <w:bidi w:val="0"/>
        <w:spacing w:lineRule="auto" w:line="288" w:before="0" w:after="80"/>
        <w:ind w:left="0" w:right="0" w:firstLine="360"/>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0" w:after="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As of July 31, 2026, 187,495,281 shares of the Registrant's class A common stock were outstanding and no shares of class B common stock were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DigitalBridge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Table of Contents</w:t>
      </w:r>
    </w:p>
    <w:tbl>
      <w:tblPr>
        <w:tblW w:w="9665" w:type="dxa"/>
        <w:jc w:val="center"/>
        <w:tblInd w:w="0" w:type="dxa"/>
        <w:tblLayout w:type="fixed"/>
        <w:tblCellMar>
          <w:top w:w="28" w:type="dxa"/>
          <w:left w:w="28" w:type="dxa"/>
          <w:bottom w:w="28" w:type="dxa"/>
          <w:right w:w="28" w:type="dxa"/>
        </w:tblCellMar>
      </w:tblPr>
      <w:tblGrid>
        <w:gridCol w:w="342"/>
        <w:gridCol w:w="300"/>
        <w:gridCol w:w="236"/>
        <w:gridCol w:w="2613"/>
        <w:gridCol w:w="2613"/>
        <w:gridCol w:w="2618"/>
        <w:gridCol w:w="109"/>
        <w:gridCol w:w="109"/>
        <w:gridCol w:w="109"/>
        <w:gridCol w:w="180"/>
        <w:gridCol w:w="180"/>
        <w:gridCol w:w="25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 FINANCIAL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Page</w:t>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6">
              <w:r>
                <w:rPr>
                  <w:rStyle w:val="InternetLink"/>
                  <w:rFonts w:ascii="Arial;sans-serif" w:hAnsi="Arial;sans-serif"/>
                  <w:b w:val="false"/>
                  <w:color w:val="0000FF"/>
                  <w:sz w:val="20"/>
                  <w:u w:val="single"/>
                </w:rPr>
                <w:t>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2">
              <w:r>
                <w:rPr>
                  <w:rStyle w:val="InternetLink"/>
                  <w:rFonts w:ascii="Arial;sans-serif" w:hAnsi="Arial;sans-serif"/>
                  <w:b w:val="false"/>
                  <w:color w:val="3051F2"/>
                  <w:sz w:val="20"/>
                  <w:u w:val="single"/>
                </w:rPr>
                <w:t>4</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2">
              <w:r>
                <w:rPr>
                  <w:rStyle w:val="InternetLink"/>
                  <w:rFonts w:ascii="Arial;sans-serif" w:hAnsi="Arial;sans-serif"/>
                  <w:b w:val="false"/>
                  <w:color w:val="0000FF"/>
                  <w:sz w:val="20"/>
                  <w:u w:val="single"/>
                </w:rPr>
                <w:t>Consolidated Balance Sheets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2">
              <w:r>
                <w:rPr>
                  <w:rStyle w:val="InternetLink"/>
                  <w:rFonts w:ascii="Arial;sans-serif" w:hAnsi="Arial;sans-serif"/>
                  <w:b w:val="false"/>
                  <w:color w:val="3051F2"/>
                  <w:sz w:val="20"/>
                  <w:u w:val="single"/>
                </w:rPr>
                <w:t>4</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5">
              <w:r>
                <w:rPr>
                  <w:rStyle w:val="InternetLink"/>
                  <w:rFonts w:ascii="Arial;sans-serif" w:hAnsi="Arial;sans-serif"/>
                  <w:b w:val="false"/>
                  <w:color w:val="0000FF"/>
                  <w:sz w:val="20"/>
                  <w:u w:val="single"/>
                </w:rPr>
                <w:t>Consolidated Statements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5">
              <w:r>
                <w:rPr>
                  <w:rStyle w:val="InternetLink"/>
                  <w:rFonts w:ascii="Arial;sans-serif" w:hAnsi="Arial;sans-serif"/>
                  <w:b w:val="false"/>
                  <w:color w:val="3051F2"/>
                  <w:sz w:val="20"/>
                  <w:u w:val="single"/>
                </w:rPr>
                <w:t>5</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8">
              <w:r>
                <w:rPr>
                  <w:rStyle w:val="InternetLink"/>
                  <w:rFonts w:ascii="Arial;sans-serif" w:hAnsi="Arial;sans-serif"/>
                  <w:b w:val="false"/>
                  <w:color w:val="0000FF"/>
                  <w:sz w:val="20"/>
                  <w:u w:val="single"/>
                </w:rPr>
                <w:t>Consolidated Statements of Comprehensive Income (Loss)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8">
              <w:r>
                <w:rPr>
                  <w:rStyle w:val="InternetLink"/>
                  <w:rFonts w:ascii="Arial;sans-serif" w:hAnsi="Arial;sans-serif"/>
                  <w:b w:val="false"/>
                  <w:color w:val="3051F2"/>
                  <w:sz w:val="20"/>
                  <w:u w:val="single"/>
                </w:rPr>
                <w:t>6</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31">
              <w:r>
                <w:rPr>
                  <w:rStyle w:val="InternetLink"/>
                  <w:rFonts w:ascii="Arial;sans-serif" w:hAnsi="Arial;sans-serif"/>
                  <w:b w:val="false"/>
                  <w:color w:val="0000FF"/>
                  <w:sz w:val="20"/>
                  <w:u w:val="single"/>
                </w:rPr>
                <w:t>Consolidated Statements of Equity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31">
              <w:r>
                <w:rPr>
                  <w:rStyle w:val="InternetLink"/>
                  <w:rFonts w:ascii="Arial;sans-serif" w:hAnsi="Arial;sans-serif"/>
                  <w:b w:val="false"/>
                  <w:color w:val="3051F2"/>
                  <w:sz w:val="20"/>
                  <w:u w:val="single"/>
                </w:rPr>
                <w:t>7</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46">
              <w:r>
                <w:rPr>
                  <w:rStyle w:val="InternetLink"/>
                  <w:rFonts w:ascii="Arial;sans-serif" w:hAnsi="Arial;sans-serif"/>
                  <w:b w:val="false"/>
                  <w:color w:val="0000FF"/>
                  <w:sz w:val="20"/>
                  <w:u w:val="single"/>
                </w:rPr>
                <w:t>Consolidated Statements of Cash Flows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46">
              <w:r>
                <w:rPr>
                  <w:rStyle w:val="InternetLink"/>
                  <w:rFonts w:ascii="Arial;sans-serif" w:hAnsi="Arial;sans-serif"/>
                  <w:b w:val="false"/>
                  <w:color w:val="3051F2"/>
                  <w:sz w:val="20"/>
                  <w:u w:val="single"/>
                </w:rPr>
                <w:t>9</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55">
              <w:r>
                <w:rPr>
                  <w:rStyle w:val="InternetLink"/>
                  <w:rFonts w:ascii="Arial;sans-serif" w:hAnsi="Arial;sans-serif"/>
                  <w:b w:val="false"/>
                  <w:color w:val="0000FF"/>
                  <w:sz w:val="20"/>
                  <w:u w:val="single"/>
                </w:rPr>
                <w:t>Notes to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55">
              <w:r>
                <w:rPr>
                  <w:rStyle w:val="InternetLink"/>
                  <w:rFonts w:ascii="Arial;sans-serif" w:hAnsi="Arial;sans-serif"/>
                  <w:b w:val="false"/>
                  <w:color w:val="3051F2"/>
                  <w:sz w:val="20"/>
                  <w:u w:val="single"/>
                </w:rPr>
                <w:t>11</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58">
              <w:r>
                <w:rPr>
                  <w:rStyle w:val="InternetLink"/>
                  <w:rFonts w:ascii="Arial;sans-serif" w:hAnsi="Arial;sans-serif"/>
                  <w:b w:val="false"/>
                  <w:color w:val="0000FF"/>
                  <w:sz w:val="20"/>
                  <w:u w:val="single"/>
                </w:rPr>
                <w:t>1. Business and Organization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58">
              <w:r>
                <w:rPr>
                  <w:rStyle w:val="InternetLink"/>
                  <w:rFonts w:ascii="Arial;sans-serif" w:hAnsi="Arial;sans-serif"/>
                  <w:b w:val="false"/>
                  <w:color w:val="3051F2"/>
                  <w:sz w:val="20"/>
                  <w:u w:val="single"/>
                </w:rPr>
                <w:t>11</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61">
              <w:r>
                <w:rPr>
                  <w:rStyle w:val="InternetLink"/>
                  <w:rFonts w:ascii="Arial;sans-serif" w:hAnsi="Arial;sans-serif"/>
                  <w:b w:val="false"/>
                  <w:color w:val="0000FF"/>
                  <w:sz w:val="20"/>
                  <w:u w:val="single"/>
                </w:rPr>
                <w:t>2. Summary of Significant Accounting Policies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61">
              <w:r>
                <w:rPr>
                  <w:rStyle w:val="InternetLink"/>
                  <w:rFonts w:ascii="Arial;sans-serif" w:hAnsi="Arial;sans-serif"/>
                  <w:b w:val="false"/>
                  <w:color w:val="3051F2"/>
                  <w:sz w:val="20"/>
                  <w:u w:val="single"/>
                </w:rPr>
                <w:t>11</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67">
              <w:r>
                <w:rPr>
                  <w:rStyle w:val="InternetLink"/>
                  <w:rFonts w:ascii="Arial;sans-serif" w:hAnsi="Arial;sans-serif"/>
                  <w:b w:val="false"/>
                  <w:color w:val="0000FF"/>
                  <w:sz w:val="20"/>
                  <w:u w:val="single"/>
                </w:rPr>
                <w:t>3. Investments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67">
              <w:r>
                <w:rPr>
                  <w:rStyle w:val="InternetLink"/>
                  <w:rFonts w:ascii="Arial;sans-serif" w:hAnsi="Arial;sans-serif"/>
                  <w:b w:val="false"/>
                  <w:color w:val="3051F2"/>
                  <w:sz w:val="20"/>
                  <w:u w:val="single"/>
                </w:rPr>
                <w:t>14</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79">
              <w:r>
                <w:rPr>
                  <w:rStyle w:val="InternetLink"/>
                  <w:rFonts w:ascii="Arial;sans-serif" w:hAnsi="Arial;sans-serif"/>
                  <w:b w:val="false"/>
                  <w:color w:val="0000FF"/>
                  <w:sz w:val="20"/>
                  <w:u w:val="single"/>
                </w:rPr>
                <w:t>4. Intangible Assets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79">
              <w:r>
                <w:rPr>
                  <w:rStyle w:val="InternetLink"/>
                  <w:rFonts w:ascii="Arial;sans-serif" w:hAnsi="Arial;sans-serif"/>
                  <w:b w:val="false"/>
                  <w:color w:val="3051F2"/>
                  <w:sz w:val="20"/>
                  <w:u w:val="single"/>
                </w:rPr>
                <w:t>16</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82">
              <w:r>
                <w:rPr>
                  <w:rStyle w:val="InternetLink"/>
                  <w:rFonts w:ascii="Arial;sans-serif" w:hAnsi="Arial;sans-serif"/>
                  <w:b w:val="false"/>
                  <w:color w:val="0000FF"/>
                  <w:sz w:val="20"/>
                  <w:u w:val="single"/>
                </w:rPr>
                <w:t>5. Restricted Cash, Other Assets and Other Liabilities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82">
              <w:r>
                <w:rPr>
                  <w:rStyle w:val="InternetLink"/>
                  <w:rFonts w:ascii="Arial;sans-serif" w:hAnsi="Arial;sans-serif"/>
                  <w:b w:val="false"/>
                  <w:color w:val="3051F2"/>
                  <w:sz w:val="20"/>
                  <w:u w:val="single"/>
                </w:rPr>
                <w:t>17</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85">
              <w:r>
                <w:rPr>
                  <w:rStyle w:val="InternetLink"/>
                  <w:rFonts w:ascii="Arial;sans-serif" w:hAnsi="Arial;sans-serif"/>
                  <w:b w:val="false"/>
                  <w:color w:val="0000FF"/>
                  <w:sz w:val="20"/>
                  <w:u w:val="single"/>
                </w:rPr>
                <w:t>6. Debt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85">
              <w:r>
                <w:rPr>
                  <w:rStyle w:val="InternetLink"/>
                  <w:rFonts w:ascii="Arial;sans-serif" w:hAnsi="Arial;sans-serif"/>
                  <w:b w:val="false"/>
                  <w:color w:val="3051F2"/>
                  <w:sz w:val="20"/>
                  <w:u w:val="single"/>
                </w:rPr>
                <w:t>18</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91">
              <w:r>
                <w:rPr>
                  <w:rStyle w:val="InternetLink"/>
                  <w:rFonts w:ascii="Arial;sans-serif" w:hAnsi="Arial;sans-serif"/>
                  <w:b w:val="false"/>
                  <w:color w:val="0000FF"/>
                  <w:sz w:val="20"/>
                  <w:u w:val="single"/>
                </w:rPr>
                <w:t>7. Stockholders' Equity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91">
              <w:r>
                <w:rPr>
                  <w:rStyle w:val="InternetLink"/>
                  <w:rFonts w:ascii="Arial;sans-serif" w:hAnsi="Arial;sans-serif"/>
                  <w:b w:val="false"/>
                  <w:color w:val="3051F2"/>
                  <w:sz w:val="20"/>
                  <w:u w:val="single"/>
                </w:rPr>
                <w:t>20</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00">
              <w:r>
                <w:rPr>
                  <w:rStyle w:val="InternetLink"/>
                  <w:rFonts w:ascii="Arial;sans-serif" w:hAnsi="Arial;sans-serif"/>
                  <w:b w:val="false"/>
                  <w:color w:val="0000FF"/>
                  <w:sz w:val="20"/>
                  <w:u w:val="single"/>
                </w:rPr>
                <w:t>8. Noncontrolling Interests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00">
              <w:r>
                <w:rPr>
                  <w:rStyle w:val="InternetLink"/>
                  <w:rFonts w:ascii="Arial;sans-serif" w:hAnsi="Arial;sans-serif"/>
                  <w:b w:val="false"/>
                  <w:color w:val="3051F2"/>
                  <w:sz w:val="20"/>
                  <w:u w:val="single"/>
                </w:rPr>
                <w:t>21</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03">
              <w:r>
                <w:rPr>
                  <w:rStyle w:val="InternetLink"/>
                  <w:rFonts w:ascii="Arial;sans-serif" w:hAnsi="Arial;sans-serif"/>
                  <w:b w:val="false"/>
                  <w:color w:val="0000FF"/>
                  <w:sz w:val="20"/>
                  <w:u w:val="single"/>
                </w:rPr>
                <w:t>9. Fair Value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03">
              <w:r>
                <w:rPr>
                  <w:rStyle w:val="InternetLink"/>
                  <w:rFonts w:ascii="Arial;sans-serif" w:hAnsi="Arial;sans-serif"/>
                  <w:b w:val="false"/>
                  <w:color w:val="3051F2"/>
                  <w:sz w:val="20"/>
                  <w:u w:val="single"/>
                </w:rPr>
                <w:t>22</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12">
              <w:r>
                <w:rPr>
                  <w:rStyle w:val="InternetLink"/>
                  <w:rFonts w:ascii="Arial;sans-serif" w:hAnsi="Arial;sans-serif"/>
                  <w:b w:val="false"/>
                  <w:color w:val="0000FF"/>
                  <w:sz w:val="20"/>
                  <w:u w:val="single"/>
                </w:rPr>
                <w:t>10. Earnings per Share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12">
              <w:r>
                <w:rPr>
                  <w:rStyle w:val="InternetLink"/>
                  <w:rFonts w:ascii="Arial;sans-serif" w:hAnsi="Arial;sans-serif"/>
                  <w:b w:val="false"/>
                  <w:color w:val="3051F2"/>
                  <w:sz w:val="20"/>
                  <w:u w:val="single"/>
                </w:rPr>
                <w:t>24</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15">
              <w:r>
                <w:rPr>
                  <w:rStyle w:val="InternetLink"/>
                  <w:rFonts w:ascii="Arial;sans-serif" w:hAnsi="Arial;sans-serif"/>
                  <w:b w:val="false"/>
                  <w:color w:val="0000FF"/>
                  <w:sz w:val="20"/>
                  <w:u w:val="single"/>
                </w:rPr>
                <w:t>11. Fee Revenue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15">
              <w:r>
                <w:rPr>
                  <w:rStyle w:val="InternetLink"/>
                  <w:rFonts w:ascii="Arial;sans-serif" w:hAnsi="Arial;sans-serif"/>
                  <w:b w:val="false"/>
                  <w:color w:val="3051F2"/>
                  <w:sz w:val="20"/>
                  <w:u w:val="single"/>
                </w:rPr>
                <w:t>25</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18">
              <w:r>
                <w:rPr>
                  <w:rStyle w:val="InternetLink"/>
                  <w:rFonts w:ascii="Arial;sans-serif" w:hAnsi="Arial;sans-serif"/>
                  <w:b w:val="false"/>
                  <w:color w:val="0000FF"/>
                  <w:sz w:val="20"/>
                  <w:u w:val="single"/>
                </w:rPr>
                <w:t>12. Equity-Based Compensation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18">
              <w:r>
                <w:rPr>
                  <w:rStyle w:val="InternetLink"/>
                  <w:rFonts w:ascii="Arial;sans-serif" w:hAnsi="Arial;sans-serif"/>
                  <w:b w:val="false"/>
                  <w:color w:val="3051F2"/>
                  <w:sz w:val="20"/>
                  <w:u w:val="single"/>
                </w:rPr>
                <w:t>25</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21">
              <w:r>
                <w:rPr>
                  <w:rStyle w:val="InternetLink"/>
                  <w:rFonts w:ascii="Arial;sans-serif" w:hAnsi="Arial;sans-serif"/>
                  <w:b w:val="false"/>
                  <w:color w:val="0000FF"/>
                  <w:sz w:val="20"/>
                  <w:u w:val="single"/>
                </w:rPr>
                <w:t>13. Variable Interest Entities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21">
              <w:r>
                <w:rPr>
                  <w:rStyle w:val="InternetLink"/>
                  <w:rFonts w:ascii="Arial;sans-serif" w:hAnsi="Arial;sans-serif"/>
                  <w:b w:val="false"/>
                  <w:color w:val="3051F2"/>
                  <w:sz w:val="20"/>
                  <w:u w:val="single"/>
                </w:rPr>
                <w:t>27</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24">
              <w:r>
                <w:rPr>
                  <w:rStyle w:val="InternetLink"/>
                  <w:rFonts w:ascii="Arial;sans-serif" w:hAnsi="Arial;sans-serif"/>
                  <w:b w:val="false"/>
                  <w:color w:val="0000FF"/>
                  <w:sz w:val="20"/>
                  <w:u w:val="single"/>
                </w:rPr>
                <w:t>14. Transactions with Affiliates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24">
              <w:r>
                <w:rPr>
                  <w:rStyle w:val="InternetLink"/>
                  <w:rFonts w:ascii="Arial;sans-serif" w:hAnsi="Arial;sans-serif"/>
                  <w:b w:val="false"/>
                  <w:color w:val="3051F2"/>
                  <w:sz w:val="20"/>
                  <w:u w:val="single"/>
                </w:rPr>
                <w:t>28</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27">
              <w:r>
                <w:rPr>
                  <w:rStyle w:val="InternetLink"/>
                  <w:rFonts w:ascii="Arial;sans-serif" w:hAnsi="Arial;sans-serif"/>
                  <w:b w:val="false"/>
                  <w:color w:val="0000FF"/>
                  <w:sz w:val="20"/>
                  <w:u w:val="single"/>
                </w:rPr>
                <w:t>15. Segment Reporting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27">
              <w:r>
                <w:rPr>
                  <w:rStyle w:val="InternetLink"/>
                  <w:rFonts w:ascii="Arial;sans-serif" w:hAnsi="Arial;sans-serif"/>
                  <w:b w:val="false"/>
                  <w:color w:val="3051F2"/>
                  <w:sz w:val="20"/>
                  <w:u w:val="single"/>
                </w:rPr>
                <w:t>30</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42">
              <w:r>
                <w:rPr>
                  <w:rStyle w:val="InternetLink"/>
                  <w:rFonts w:ascii="Arial;sans-serif" w:hAnsi="Arial;sans-serif"/>
                  <w:b w:val="false"/>
                  <w:color w:val="0000FF"/>
                  <w:sz w:val="20"/>
                  <w:u w:val="single"/>
                </w:rPr>
                <w:t>16. Commitments and Contingencies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42">
              <w:r>
                <w:rPr>
                  <w:rStyle w:val="InternetLink"/>
                  <w:rFonts w:ascii="Arial;sans-serif" w:hAnsi="Arial;sans-serif"/>
                  <w:b w:val="false"/>
                  <w:color w:val="3051F2"/>
                  <w:sz w:val="20"/>
                  <w:u w:val="single"/>
                </w:rPr>
                <w:t>32</w:t>
              </w:r>
            </w:hyperlink>
          </w:p>
        </w:tc>
      </w:tr>
      <w:tr>
        <w:trPr/>
        <w:tc>
          <w:tcPr>
            <w:tcW w:w="878" w:type="dxa"/>
            <w:gridSpan w:val="3"/>
            <w:tcBorders/>
            <w:vAlign w:val="center"/>
          </w:tcPr>
          <w:p>
            <w:pPr>
              <w:pStyle w:val="TableContents"/>
              <w:bidi w:val="0"/>
              <w:spacing w:before="0" w:after="283"/>
              <w:jc w:val="left"/>
              <w:rPr>
                <w:sz w:val="4"/>
                <w:szCs w:val="4"/>
              </w:rPr>
            </w:pPr>
            <w:r>
              <w:rPr>
                <w:sz w:val="4"/>
                <w:szCs w:val="4"/>
              </w:rPr>
            </w:r>
          </w:p>
        </w:tc>
        <w:tc>
          <w:tcPr>
            <w:tcW w:w="7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45">
              <w:r>
                <w:rPr>
                  <w:rStyle w:val="InternetLink"/>
                  <w:rFonts w:ascii="Arial;sans-serif" w:hAnsi="Arial;sans-serif"/>
                  <w:b w:val="false"/>
                  <w:color w:val="0000FF"/>
                  <w:sz w:val="20"/>
                  <w:u w:val="single"/>
                </w:rPr>
                <w:t>17. Subsequent Events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45">
              <w:r>
                <w:rPr>
                  <w:rStyle w:val="InternetLink"/>
                  <w:rFonts w:ascii="Arial;sans-serif" w:hAnsi="Arial;sans-serif"/>
                  <w:b w:val="false"/>
                  <w:color w:val="3051F2"/>
                  <w:sz w:val="20"/>
                  <w:u w:val="single"/>
                </w:rPr>
                <w:t>33</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51">
              <w:r>
                <w:rPr>
                  <w:rStyle w:val="InternetLink"/>
                  <w:rFonts w:ascii="Arial;sans-serif" w:hAnsi="Arial;sans-serif"/>
                  <w:b w:val="false"/>
                  <w:color w:val="0000FF"/>
                  <w:sz w:val="20"/>
                  <w:u w:val="single"/>
                </w:rPr>
                <w:t>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51">
              <w:r>
                <w:rPr>
                  <w:rStyle w:val="InternetLink"/>
                  <w:rFonts w:ascii="Arial;sans-serif" w:hAnsi="Arial;sans-serif"/>
                  <w:b w:val="false"/>
                  <w:color w:val="3051F2"/>
                  <w:sz w:val="20"/>
                  <w:u w:val="single"/>
                </w:rPr>
                <w:t>36</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90">
              <w:r>
                <w:rPr>
                  <w:rStyle w:val="InternetLink"/>
                  <w:rFonts w:ascii="Arial;sans-serif" w:hAnsi="Arial;sans-serif"/>
                  <w:b w:val="false"/>
                  <w:color w:val="0000FF"/>
                  <w:sz w:val="20"/>
                  <w:u w:val="single"/>
                </w:rPr>
                <w:t>Quantitative and Qualitative Disclosures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90">
              <w:r>
                <w:rPr>
                  <w:rStyle w:val="InternetLink"/>
                  <w:rFonts w:ascii="Arial;sans-serif" w:hAnsi="Arial;sans-serif"/>
                  <w:b w:val="false"/>
                  <w:color w:val="3051F2"/>
                  <w:sz w:val="20"/>
                  <w:u w:val="single"/>
                </w:rPr>
                <w:t>51</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193">
              <w:r>
                <w:rPr>
                  <w:rStyle w:val="InternetLink"/>
                  <w:rFonts w:ascii="Arial;sans-serif" w:hAnsi="Arial;sans-serif"/>
                  <w:b w:val="false"/>
                  <w:color w:val="0000FF"/>
                  <w:sz w:val="20"/>
                  <w:u w:val="single"/>
                </w:rPr>
                <w:t>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193">
              <w:r>
                <w:rPr>
                  <w:rStyle w:val="InternetLink"/>
                  <w:rFonts w:ascii="Arial;sans-serif" w:hAnsi="Arial;sans-serif"/>
                  <w:b w:val="false"/>
                  <w:color w:val="3051F2"/>
                  <w:sz w:val="20"/>
                  <w:u w:val="single"/>
                </w:rPr>
                <w:t>53</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II. 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05">
              <w:r>
                <w:rPr>
                  <w:rStyle w:val="InternetLink"/>
                  <w:rFonts w:ascii="Arial;sans-serif" w:hAnsi="Arial;sans-serif"/>
                  <w:b w:val="false"/>
                  <w:color w:val="0000FF"/>
                  <w:sz w:val="20"/>
                  <w:u w:val="single"/>
                </w:rPr>
                <w:t>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05">
              <w:r>
                <w:rPr>
                  <w:rStyle w:val="InternetLink"/>
                  <w:rFonts w:ascii="Arial;sans-serif" w:hAnsi="Arial;sans-serif"/>
                  <w:b w:val="false"/>
                  <w:color w:val="3051F2"/>
                  <w:sz w:val="20"/>
                  <w:u w:val="single"/>
                </w:rPr>
                <w:t>54</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08">
              <w:r>
                <w:rPr>
                  <w:rStyle w:val="InternetLink"/>
                  <w:rFonts w:ascii="Arial;sans-serif" w:hAnsi="Arial;sans-serif"/>
                  <w:b w:val="false"/>
                  <w:color w:val="0000FF"/>
                  <w:sz w:val="20"/>
                  <w:u w:val="single"/>
                </w:rPr>
                <w:t>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08">
              <w:r>
                <w:rPr>
                  <w:rStyle w:val="InternetLink"/>
                  <w:rFonts w:ascii="Arial;sans-serif" w:hAnsi="Arial;sans-serif"/>
                  <w:b w:val="false"/>
                  <w:color w:val="3051F2"/>
                  <w:sz w:val="20"/>
                  <w:u w:val="single"/>
                </w:rPr>
                <w:t>54</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11">
              <w:r>
                <w:rPr>
                  <w:rStyle w:val="InternetLink"/>
                  <w:rFonts w:ascii="Arial;sans-serif" w:hAnsi="Arial;sans-serif"/>
                  <w:b w:val="false"/>
                  <w:color w:val="0000FF"/>
                  <w:sz w:val="20"/>
                  <w:u w:val="single"/>
                </w:rPr>
                <w:t>Unregistered Sales of Equity Securities and Use of Proceeds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11">
              <w:r>
                <w:rPr>
                  <w:rStyle w:val="InternetLink"/>
                  <w:rFonts w:ascii="Arial;sans-serif" w:hAnsi="Arial;sans-serif"/>
                  <w:b w:val="false"/>
                  <w:color w:val="3051F2"/>
                  <w:sz w:val="20"/>
                  <w:u w:val="single"/>
                </w:rPr>
                <w:t>55</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17">
              <w:r>
                <w:rPr>
                  <w:rStyle w:val="InternetLink"/>
                  <w:rFonts w:ascii="Arial;sans-serif" w:hAnsi="Arial;sans-serif"/>
                  <w:b w:val="false"/>
                  <w:color w:val="0000FF"/>
                  <w:sz w:val="20"/>
                  <w:u w:val="single"/>
                </w:rPr>
                <w:t>Defaults Upon Senior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17">
              <w:r>
                <w:rPr>
                  <w:rStyle w:val="InternetLink"/>
                  <w:rFonts w:ascii="Arial;sans-serif" w:hAnsi="Arial;sans-serif"/>
                  <w:b w:val="false"/>
                  <w:color w:val="3051F2"/>
                  <w:sz w:val="20"/>
                  <w:u w:val="single"/>
                </w:rPr>
                <w:t>55</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20">
              <w:r>
                <w:rPr>
                  <w:rStyle w:val="InternetLink"/>
                  <w:rFonts w:ascii="Arial;sans-serif" w:hAnsi="Arial;sans-serif"/>
                  <w:b w:val="false"/>
                  <w:color w:val="0000FF"/>
                  <w:sz w:val="20"/>
                  <w:u w:val="single"/>
                </w:rPr>
                <w:t>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20">
              <w:r>
                <w:rPr>
                  <w:rStyle w:val="InternetLink"/>
                  <w:rFonts w:ascii="Arial;sans-serif" w:hAnsi="Arial;sans-serif"/>
                  <w:b w:val="false"/>
                  <w:color w:val="3051F2"/>
                  <w:sz w:val="20"/>
                  <w:u w:val="single"/>
                </w:rPr>
                <w:t>55</w:t>
              </w:r>
            </w:hyperlink>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23">
              <w:r>
                <w:rPr>
                  <w:rStyle w:val="InternetLink"/>
                  <w:rFonts w:ascii="Arial;sans-serif" w:hAnsi="Arial;sans-serif"/>
                  <w:b w:val="false"/>
                  <w:color w:val="0000FF"/>
                  <w:sz w:val="20"/>
                  <w:u w:val="single"/>
                </w:rPr>
                <w:t>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23">
              <w:r>
                <w:rPr>
                  <w:rStyle w:val="InternetLink"/>
                  <w:rFonts w:ascii="Arial;sans-serif" w:hAnsi="Arial;sans-serif"/>
                  <w:b w:val="false"/>
                  <w:color w:val="3051F2"/>
                  <w:sz w:val="20"/>
                  <w:u w:val="single"/>
                </w:rPr>
                <w:t>55</w:t>
              </w:r>
            </w:hyperlink>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26">
              <w:r>
                <w:rPr>
                  <w:rStyle w:val="InternetLink"/>
                  <w:rFonts w:ascii="Arial;sans-serif" w:hAnsi="Arial;sans-serif"/>
                  <w:b w:val="false"/>
                  <w:color w:val="0000FF"/>
                  <w:sz w:val="20"/>
                  <w:u w:val="single"/>
                </w:rPr>
                <w:t>Exhibits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26">
              <w:r>
                <w:rPr>
                  <w:rStyle w:val="InternetLink"/>
                  <w:rFonts w:ascii="Arial;sans-serif" w:hAnsi="Arial;sans-serif"/>
                  <w:b w:val="false"/>
                  <w:color w:val="3051F2"/>
                  <w:sz w:val="20"/>
                  <w:u w:val="single"/>
                </w:rPr>
                <w:t>57</w:t>
              </w:r>
            </w:hyperlink>
          </w:p>
        </w:tc>
      </w:tr>
      <w:tr>
        <w:trPr/>
        <w:tc>
          <w:tcPr>
            <w:tcW w:w="872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c40b4c9789460d9dc097fd9b01d5ee_229">
              <w:r>
                <w:rPr>
                  <w:rStyle w:val="InternetLink"/>
                  <w:rFonts w:ascii="Arial;sans-serif" w:hAnsi="Arial;sans-serif"/>
                  <w:b w:val="false"/>
                  <w:color w:val="0000FF"/>
                  <w:sz w:val="20"/>
                  <w:u w:val="singl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c40b4c9789460d9dc097fd9b01d5ee_229">
              <w:r>
                <w:rPr>
                  <w:rStyle w:val="InternetLink"/>
                  <w:rFonts w:ascii="Arial;sans-serif" w:hAnsi="Arial;sans-serif"/>
                  <w:b w:val="false"/>
                  <w:color w:val="3051F2"/>
                  <w:sz w:val="20"/>
                  <w:u w:val="singl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Arial;sans-serif" w:hAnsi="Arial;sans-serif"/>
          <w:b/>
          <w:color w:val="000000"/>
          <w:sz w:val="20"/>
        </w:rPr>
      </w:pPr>
      <w:r>
        <w:rPr>
          <w:rFonts w:ascii="Arial;sans-serif" w:hAnsi="Arial;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DigitalBridge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659"/>
        <w:gridCol w:w="2101"/>
        <w:gridCol w:w="2132"/>
        <w:gridCol w:w="109"/>
        <w:gridCol w:w="109"/>
        <w:gridCol w:w="109"/>
        <w:gridCol w:w="211"/>
        <w:gridCol w:w="976"/>
        <w:gridCol w:w="109"/>
        <w:gridCol w:w="109"/>
        <w:gridCol w:w="109"/>
        <w:gridCol w:w="109"/>
        <w:gridCol w:w="214"/>
        <w:gridCol w:w="991"/>
        <w:gridCol w:w="158"/>
      </w:tblGrid>
      <w:tr>
        <w:trPr/>
        <w:tc>
          <w:tcPr>
            <w:tcW w:w="265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June 30, 2026</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382,508 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3,763,519 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3,419,182 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298,804 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968,959 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Preferred stock, $0.01 par value per share; $821,899 liquidation preference; 250,000 shares authorized; 32,876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794,670 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Common stock, $0.01 par value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Class A, 237,250 shares authorized; 186,671 and 182,643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Class B, 250 shares authorized; 0 and 0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8,066,683 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(6,547,204)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(6,761,498)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2,107,297 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Noncontrolling interests in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Noncontrolling interests in Operating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2,416,997 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Total liabilities, redeemable noncontrolling interests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3,763,519 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3,419,182 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form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DigitalBridge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45"/>
        <w:gridCol w:w="1201"/>
        <w:gridCol w:w="1207"/>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6"/>
      </w:tblGrid>
      <w:tr>
        <w:trPr/>
        <w:tc>
          <w:tcPr>
            <w:tcW w:w="174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Carried interest allocation (reversal)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expense—cash and equity-based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expense—incentive fee and carried interest allocation (reversal)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(loss) from discontinued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Net income (loss) attributable to DigitalBridge Group,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per share—basic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 per common share—basic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common stockholders per common share—basic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per share—diluted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 per common share—diluted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common stockholders per common share—diluted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Weighted average number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40" w:after="283"/>
        <w:ind w:left="0" w:right="0" w:hanging="270"/>
        <w:jc w:val="center"/>
        <w:rPr>
          <w:rFonts w:ascii="Arial;sans-serif" w:hAnsi="Arial;sans-serif"/>
          <w:b w:val="false"/>
          <w:color w:val="000000"/>
          <w:sz w:val="20"/>
        </w:rPr>
      </w:pPr>
      <w:r>
        <w:rPr>
          <w:rFonts w:ascii="Arial;sans-serif" w:hAnsi="Arial;sans-serif"/>
          <w:b w:val="false"/>
          <w:color w:val="000000"/>
          <w:sz w:val="20"/>
        </w:rPr>
        <w:t>The accompanying notes form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DigitalBridge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58"/>
        <w:gridCol w:w="1347"/>
        <w:gridCol w:w="1269"/>
        <w:gridCol w:w="109"/>
        <w:gridCol w:w="109"/>
        <w:gridCol w:w="109"/>
        <w:gridCol w:w="211"/>
        <w:gridCol w:w="826"/>
        <w:gridCol w:w="109"/>
        <w:gridCol w:w="109"/>
        <w:gridCol w:w="109"/>
        <w:gridCol w:w="109"/>
        <w:gridCol w:w="211"/>
        <w:gridCol w:w="763"/>
        <w:gridCol w:w="109"/>
        <w:gridCol w:w="109"/>
        <w:gridCol w:w="109"/>
        <w:gridCol w:w="109"/>
        <w:gridCol w:w="211"/>
        <w:gridCol w:w="826"/>
        <w:gridCol w:w="109"/>
        <w:gridCol w:w="109"/>
        <w:gridCol w:w="109"/>
        <w:gridCol w:w="109"/>
        <w:gridCol w:w="211"/>
        <w:gridCol w:w="763"/>
        <w:gridCol w:w="109"/>
        <w:gridCol w:w="109"/>
        <w:gridCol w:w="156"/>
      </w:tblGrid>
      <w:tr>
        <w:trPr/>
        <w:tc>
          <w:tcPr>
            <w:tcW w:w="155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accumulated other comprehensive income (loss)—foreign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form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DigitalBridge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4028" w:type="dxa"/>
        <w:jc w:val="left"/>
        <w:tblInd w:w="0" w:type="dxa"/>
        <w:tblLayout w:type="fixed"/>
        <w:tblCellMar>
          <w:top w:w="28" w:type="dxa"/>
          <w:left w:w="28" w:type="dxa"/>
          <w:bottom w:w="28" w:type="dxa"/>
          <w:right w:w="28" w:type="dxa"/>
        </w:tblCellMar>
      </w:tblPr>
      <w:tblGrid>
        <w:gridCol w:w="490"/>
        <w:gridCol w:w="377"/>
        <w:gridCol w:w="379"/>
        <w:gridCol w:w="109"/>
        <w:gridCol w:w="109"/>
        <w:gridCol w:w="109"/>
        <w:gridCol w:w="196"/>
        <w:gridCol w:w="736"/>
        <w:gridCol w:w="109"/>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249"/>
        <w:gridCol w:w="707"/>
        <w:gridCol w:w="140"/>
        <w:gridCol w:w="109"/>
        <w:gridCol w:w="109"/>
        <w:gridCol w:w="109"/>
        <w:gridCol w:w="196"/>
        <w:gridCol w:w="871"/>
        <w:gridCol w:w="109"/>
        <w:gridCol w:w="109"/>
        <w:gridCol w:w="109"/>
        <w:gridCol w:w="109"/>
        <w:gridCol w:w="196"/>
        <w:gridCol w:w="736"/>
        <w:gridCol w:w="109"/>
        <w:gridCol w:w="109"/>
        <w:gridCol w:w="109"/>
        <w:gridCol w:w="109"/>
        <w:gridCol w:w="213"/>
        <w:gridCol w:w="703"/>
        <w:gridCol w:w="120"/>
        <w:gridCol w:w="109"/>
        <w:gridCol w:w="109"/>
        <w:gridCol w:w="109"/>
        <w:gridCol w:w="196"/>
        <w:gridCol w:w="87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Preferred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Income (Loss)</w:t>
            </w:r>
          </w:p>
        </w:tc>
        <w:tc>
          <w:tcPr>
            <w:tcW w:w="327" w:type="dxa"/>
            <w:gridSpan w:val="3"/>
            <w:vMerge w:val="restart"/>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w:t>
            </w:r>
          </w:p>
        </w:tc>
        <w:tc>
          <w:tcPr>
            <w:tcW w:w="327" w:type="dxa"/>
            <w:gridSpan w:val="3"/>
            <w:vMerge w:val="restart"/>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in Investment Entities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in Operating Company</w:t>
            </w:r>
          </w:p>
        </w:tc>
        <w:tc>
          <w:tcPr>
            <w:tcW w:w="327" w:type="dxa"/>
            <w:gridSpan w:val="3"/>
            <w:vMerge w:val="restart"/>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1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22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7,999,165 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(6,837,502)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2,466,834 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(14,107)</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OP units for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7,155 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canceled for tax withholdings on vested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(5,037)</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2,897 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(2,883)</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Common stock dividends declared ($0.01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Reallocation of equity (Notes 2 and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8,001,880 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(6,840,143)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2,440,665 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(59,785)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(27,081)</w:t>
            </w:r>
          </w:p>
        </w:tc>
        <w:tc>
          <w:tcPr>
            <w:tcW w:w="154" w:type="dxa"/>
            <w:tcBorders>
              <w:top w:val="doub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4,234 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OP Units for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10,704 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canceled for tax withholdings on vested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14,228 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Common stock dividends declared ($0.01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Reallocation of equity (Notes 2 and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8,040,320 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(6,824,993)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2,018,531 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50,049 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2,425,796 </w:t>
            </w:r>
          </w:p>
        </w:tc>
        <w:tc>
          <w:tcPr>
            <w:tcW w:w="154" w:type="dxa"/>
            <w:tcBorders>
              <w:top w:val="single" w:sz="8" w:space="0" w:color="000000"/>
              <w:bottom w:val="doub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center"/>
        <w:rPr/>
      </w:pPr>
      <w:r>
        <w:rPr/>
      </w:r>
    </w:p>
    <w:p>
      <w:pPr>
        <w:pStyle w:val="TextBody"/>
        <w:bidi w:val="0"/>
        <w:spacing w:lineRule="auto" w:line="288" w:before="240" w:after="240"/>
        <w:jc w:val="center"/>
        <w:rPr>
          <w:rFonts w:ascii="Arial;sans-serif" w:hAnsi="Arial;sans-serif"/>
          <w:b w:val="false"/>
          <w:color w:val="000000"/>
          <w:sz w:val="20"/>
        </w:rPr>
      </w:pPr>
      <w:r>
        <w:rPr>
          <w:rFonts w:ascii="Arial;sans-serif" w:hAnsi="Arial;sans-serif"/>
          <w:b w:val="false"/>
          <w:color w:val="000000"/>
          <w:sz w:val="20"/>
        </w:rPr>
        <w:t>The accompanying notes form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DigitalBridge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Equity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4028" w:type="dxa"/>
        <w:jc w:val="left"/>
        <w:tblInd w:w="0" w:type="dxa"/>
        <w:tblLayout w:type="fixed"/>
        <w:tblCellMar>
          <w:top w:w="28" w:type="dxa"/>
          <w:left w:w="28" w:type="dxa"/>
          <w:bottom w:w="28" w:type="dxa"/>
          <w:right w:w="28" w:type="dxa"/>
        </w:tblCellMar>
      </w:tblPr>
      <w:tblGrid>
        <w:gridCol w:w="490"/>
        <w:gridCol w:w="377"/>
        <w:gridCol w:w="379"/>
        <w:gridCol w:w="109"/>
        <w:gridCol w:w="109"/>
        <w:gridCol w:w="109"/>
        <w:gridCol w:w="196"/>
        <w:gridCol w:w="736"/>
        <w:gridCol w:w="109"/>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249"/>
        <w:gridCol w:w="707"/>
        <w:gridCol w:w="140"/>
        <w:gridCol w:w="109"/>
        <w:gridCol w:w="109"/>
        <w:gridCol w:w="109"/>
        <w:gridCol w:w="196"/>
        <w:gridCol w:w="871"/>
        <w:gridCol w:w="109"/>
        <w:gridCol w:w="109"/>
        <w:gridCol w:w="109"/>
        <w:gridCol w:w="109"/>
        <w:gridCol w:w="196"/>
        <w:gridCol w:w="736"/>
        <w:gridCol w:w="109"/>
        <w:gridCol w:w="109"/>
        <w:gridCol w:w="109"/>
        <w:gridCol w:w="109"/>
        <w:gridCol w:w="213"/>
        <w:gridCol w:w="703"/>
        <w:gridCol w:w="120"/>
        <w:gridCol w:w="109"/>
        <w:gridCol w:w="109"/>
        <w:gridCol w:w="109"/>
        <w:gridCol w:w="196"/>
        <w:gridCol w:w="87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Preferred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Income (Loss)</w:t>
            </w:r>
          </w:p>
        </w:tc>
        <w:tc>
          <w:tcPr>
            <w:tcW w:w="327" w:type="dxa"/>
            <w:gridSpan w:val="3"/>
            <w:vMerge w:val="restart"/>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w:t>
            </w:r>
          </w:p>
        </w:tc>
        <w:tc>
          <w:tcPr>
            <w:tcW w:w="327" w:type="dxa"/>
            <w:gridSpan w:val="3"/>
            <w:vMerge w:val="restart"/>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in Investment Entities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in Operating Company</w:t>
            </w:r>
          </w:p>
        </w:tc>
        <w:tc>
          <w:tcPr>
            <w:tcW w:w="327" w:type="dxa"/>
            <w:gridSpan w:val="3"/>
            <w:vMerge w:val="restart"/>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1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22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(6,761,498)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2,416,997 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OP units for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6,944 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canceled for tax withholdings on vested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(11,861)</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(10,993)</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Common stock dividends declared ($0.01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Reallocation of equity (Notes 2 and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8,063,889 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(6,758,017)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2,385,138 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227,340 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227,340 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5,272 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236,047 </w:t>
            </w:r>
          </w:p>
        </w:tc>
        <w:tc>
          <w:tcPr>
            <w:tcW w:w="154" w:type="dxa"/>
            <w:tcBorders>
              <w:top w:val="doub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OP units for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9,383 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canceled for tax withholdings on vested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(9,870)</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Common stock dividends declared ($0.01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Reallocation of equity (Notes 2 and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8,091,683 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(6,547,204)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2,603,530 </w:t>
            </w:r>
          </w:p>
        </w:tc>
        <w:tc>
          <w:tcPr>
            <w:tcW w:w="154" w:type="dxa"/>
            <w:tcBorders>
              <w:top w:val="single" w:sz="8" w:space="0" w:color="000000"/>
              <w:bottom w:val="doub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240" w:after="120"/>
        <w:jc w:val="center"/>
        <w:rPr>
          <w:rFonts w:ascii="Arial;sans-serif" w:hAnsi="Arial;sans-serif"/>
          <w:b w:val="false"/>
          <w:color w:val="000000"/>
          <w:sz w:val="20"/>
        </w:rPr>
      </w:pPr>
      <w:r>
        <w:rPr>
          <w:rFonts w:ascii="Arial;sans-serif" w:hAnsi="Arial;sans-serif"/>
          <w:b w:val="false"/>
          <w:color w:val="000000"/>
          <w:sz w:val="20"/>
        </w:rPr>
        <w:t>The accompanying notes form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DigitalBridge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61"/>
        <w:gridCol w:w="2214"/>
        <w:gridCol w:w="2220"/>
        <w:gridCol w:w="109"/>
        <w:gridCol w:w="109"/>
        <w:gridCol w:w="109"/>
        <w:gridCol w:w="211"/>
        <w:gridCol w:w="826"/>
        <w:gridCol w:w="109"/>
        <w:gridCol w:w="109"/>
        <w:gridCol w:w="109"/>
        <w:gridCol w:w="109"/>
        <w:gridCol w:w="211"/>
        <w:gridCol w:w="826"/>
        <w:gridCol w:w="109"/>
        <w:gridCol w:w="109"/>
        <w:gridCol w:w="155"/>
      </w:tblGrid>
      <w:tr>
        <w:trPr/>
        <w:tc>
          <w:tcPr>
            <w:tcW w:w="2561"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carried interest (allocation) reversal,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principal investment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principal investment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Deferred income tax (benefit)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other assets and due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other liabilities and due to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generated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to and acquisition of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of capital from equity and debt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Purchase of 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generated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 to preferred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corporate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corporate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corporate debt offering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canceled for tax withholdings on vested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and redemption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generated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foreign exchange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DigitalBridge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Reconciliation of cash, cash equivalents and restricted cash to consolidated balance sheets</w:t>
      </w:r>
    </w:p>
    <w:tbl>
      <w:tblPr>
        <w:tblW w:w="8998" w:type="dxa"/>
        <w:jc w:val="center"/>
        <w:tblInd w:w="0" w:type="dxa"/>
        <w:tblLayout w:type="fixed"/>
        <w:tblCellMar>
          <w:top w:w="28" w:type="dxa"/>
          <w:left w:w="28" w:type="dxa"/>
          <w:bottom w:w="28" w:type="dxa"/>
          <w:right w:w="28" w:type="dxa"/>
        </w:tblCellMar>
      </w:tblPr>
      <w:tblGrid>
        <w:gridCol w:w="2098"/>
        <w:gridCol w:w="1843"/>
        <w:gridCol w:w="1848"/>
        <w:gridCol w:w="109"/>
        <w:gridCol w:w="109"/>
        <w:gridCol w:w="109"/>
        <w:gridCol w:w="211"/>
        <w:gridCol w:w="826"/>
        <w:gridCol w:w="109"/>
        <w:gridCol w:w="109"/>
        <w:gridCol w:w="109"/>
        <w:gridCol w:w="109"/>
        <w:gridCol w:w="211"/>
        <w:gridCol w:w="826"/>
        <w:gridCol w:w="109"/>
        <w:gridCol w:w="109"/>
        <w:gridCol w:w="154"/>
      </w:tblGrid>
      <w:tr>
        <w:trPr/>
        <w:tc>
          <w:tcPr>
            <w:tcW w:w="20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cash, cash equivalents and restricted cash—beginning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cash, cash equivalents and restricted cash—end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Supplemental Disclosure of Cash Flow Information </w:t>
      </w:r>
    </w:p>
    <w:tbl>
      <w:tblPr>
        <w:tblW w:w="10205" w:type="dxa"/>
        <w:jc w:val="left"/>
        <w:tblInd w:w="0" w:type="dxa"/>
        <w:tblLayout w:type="fixed"/>
        <w:tblCellMar>
          <w:top w:w="28" w:type="dxa"/>
          <w:left w:w="28" w:type="dxa"/>
          <w:bottom w:w="28" w:type="dxa"/>
          <w:right w:w="28" w:type="dxa"/>
        </w:tblCellMar>
      </w:tblPr>
      <w:tblGrid>
        <w:gridCol w:w="2601"/>
        <w:gridCol w:w="2294"/>
        <w:gridCol w:w="2310"/>
        <w:gridCol w:w="109"/>
        <w:gridCol w:w="109"/>
        <w:gridCol w:w="109"/>
        <w:gridCol w:w="211"/>
        <w:gridCol w:w="721"/>
        <w:gridCol w:w="109"/>
        <w:gridCol w:w="109"/>
        <w:gridCol w:w="109"/>
        <w:gridCol w:w="109"/>
        <w:gridCol w:w="211"/>
        <w:gridCol w:w="721"/>
        <w:gridCol w:w="109"/>
        <w:gridCol w:w="109"/>
        <w:gridCol w:w="155"/>
      </w:tblGrid>
      <w:tr>
        <w:trPr/>
        <w:tc>
          <w:tcPr>
            <w:tcW w:w="2601"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(received)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ind w:left="0" w:right="0" w:hanging="90"/>
              <w:jc w:val="left"/>
              <w:rPr>
                <w:rFonts w:ascii="Arial;sans-serif" w:hAnsi="Arial;sans-serif"/>
                <w:b w:val="false"/>
                <w:color w:val="000000"/>
                <w:sz w:val="18"/>
              </w:rPr>
            </w:pPr>
            <w:r>
              <w:rPr>
                <w:rFonts w:ascii="Arial;sans-serif" w:hAnsi="Arial;sans-serif"/>
                <w:b w:val="false"/>
                <w:color w:val="000000"/>
                <w:sz w:val="18"/>
              </w:rPr>
              <w:t>Operating lease payments for 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generated by (used in) operating activities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Redemption of OP units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90"/>
              <w:jc w:val="left"/>
              <w:rPr>
                <w:rFonts w:ascii="Arial;sans-serif" w:hAnsi="Arial;sans-serif"/>
                <w:b w:val="false"/>
                <w:color w:val="000000"/>
                <w:sz w:val="18"/>
              </w:rPr>
            </w:pPr>
            <w:r>
              <w:rPr>
                <w:rFonts w:ascii="Arial;sans-serif" w:hAnsi="Arial;sans-serif"/>
                <w:b w:val="false"/>
                <w:color w:val="000000"/>
                <w:sz w:val="18"/>
              </w:rPr>
              <w:t xml:space="preserve">Operating lease liabilities arising from establishment of ROU assets for corporate offices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form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DigitalBridge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1. Business and Organization</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DigitalBridge Group, Inc. ("DBRG," and together with its consolidated subsidiaries, the "Company") is a leading global investment manager in digital infrastructure. The Company deploys and manages capital on behalf of its investors and shareholders across the digital infrastructure ecosystem, including but not limited to, data centers, cell towers and fiber networks. The Company's investment management platform is anchored by its flagship value-add digital infrastructure equity offerings, as well as offerings in core equity, credit, liquid securities, and its InfraBridge mid-market infrastructure equity. </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Organization</w:t>
      </w:r>
    </w:p>
    <w:p>
      <w:pPr>
        <w:pStyle w:val="TextBody"/>
        <w:bidi w:val="0"/>
        <w:spacing w:lineRule="auto" w:line="288" w:before="120" w:after="283"/>
        <w:ind w:left="0" w:right="0" w:firstLine="450"/>
        <w:jc w:val="left"/>
        <w:rPr/>
      </w:pPr>
      <w:r>
        <w:rPr>
          <w:rFonts w:ascii="Arial;sans-serif" w:hAnsi="Arial;sans-serif"/>
          <w:b w:val="false"/>
          <w:color w:val="000000"/>
          <w:sz w:val="20"/>
        </w:rPr>
        <w:t>DBRG operates as a taxable C Corporation and conducts all of its activities and holds substantially all of its assets and liabilities through its operating subsidiary, DigitalBridge Operating Company, LLC (the "Operating Company" or the "OP")</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DBRG, as sole managing member, owned 98% of the OP at June 30, 2026</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with the remaining 2% owned by certain current and former employees of the Company as noncontrolling interest.</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SoftBank's Proposed Acquisition of DBRG</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December 29, 2025, DBRG, the Operating Company and indirect subsidiaries of SoftBank Group Corp. (TSE: 9984, "SoftBank") entered into an agreement and plan of merger pursuant to which, among other things, DBRG and the Operating Company would be acquired by such indirect subsidiaries pursuant to a series of mergers (collectively, the "SoftBank Merger").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SoftBank, through its indirect subsidiaries, will acquire all of (i) DBRG's issued and outstanding common stock and (ii) the OP common units that are not held by DBRG and the Operating Company (unless otherwise agreed by a holder of OP units and SoftBank through its indirect subsidiary), for $16.00 per share or per unit in cash. The preferred stock of DBRG and the preferred units of the Operating Company will remain outstanding. All warrants to purchase DBRG's common stock have either been exercised or otherwise expired in July 2026.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required approval or consent for the SoftBank Merger has been received from DBRG's common stockholders and from the Company's flagship investment funds and a specified percentage of fee-paying clients. As of the date of this filing, consummation of the SoftBank Merger is still subject to receipt of regulatory approvals and satisfaction of customary closing conditions.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Upon consummation of the SoftBank Merger, the Company will become an indirect subsidiary of SoftBank.</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DBRG's Proposed Acquisition of ArcLight</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On May 23, 2026, DBRG and its subsidiaries entered into a definitive agreement to acquire ArcLight Capital Partners, LLC ("ArcLight"), a leading specialist investor in power and electric infrastructure, for a total purchase price of up to $1.05 billion (the "ArcLight Acquisition"). The consideration is composed of a base purchase price of $650 million plus a contingent consideration of up to $400 million payable based upon annual ArcLight earnings for each fiscal year from 2027 through 2029. The ArcLight Acquisition will be funded through a combination of cash on hand and debt financing.</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ArcLight Acquisition is conditioned upon closing of the SoftBank Merger, and is subject to customary closing conditions, including regulatory approvals and consents from limited partners of ArcLight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significant accounting policies of the Company are described below. </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 However, the results of operations for the interim period presented are not necessarily indicative of the results that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expected for the year ending December 31, 2026, or any other future period. These interim financial statements should be read in conjunction with the audited consolidated financial statements and notes thereto included in, or presented as exhibits to, the Company’s Annual Report on Form 10-K for the year ended December 31, 2025.</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accompanying consolidated financial statements include the accounts of the Company and its controlled subsidiaries. All significant intercompany accounts and transactions have been eliminated. The portions of equity, net income or loss and other comprehensive income or loss of consolidated subsidiaries that are not attributable to the parent are presented separately as amounts attributable to noncontrolling interests in the consolidated financial statements. Noncontrolling interests represent predominantly: carried interest allocation to certain executives of the Company, limited partners of consolidated funds; and membership interests in OP primarily held by certain current and former employees of the Company.</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To the extent the Company consolidates a subsidiary that is subject to industry-specific guidance, such as investment company accounting applied by the Company's sponsored funds that are consolidated, the Company retains the industry-specific guidance applied by that subsidiary in its consolidated financial statements.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76"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amounts reported in the financial statements and accompanying notes. Actual results could differ from those estimates and assumptions.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 consolidates entities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 </w:t>
      </w:r>
    </w:p>
    <w:p>
      <w:pPr>
        <w:pStyle w:val="TextBody"/>
        <w:bidi w:val="0"/>
        <w:spacing w:lineRule="auto" w:line="288" w:before="120" w:after="283"/>
        <w:ind w:left="0" w:right="0" w:firstLine="450"/>
        <w:jc w:val="left"/>
        <w:rPr/>
      </w:pPr>
      <w:r>
        <w:rPr>
          <w:rFonts w:ascii="Arial;sans-serif" w:hAnsi="Arial;sans-serif"/>
          <w:b w:val="false"/>
          <w:i/>
          <w:color w:val="000000"/>
          <w:sz w:val="20"/>
        </w:rPr>
        <w:t>Variable Interest Entities</w:t>
      </w:r>
      <w:r>
        <w:rPr>
          <w:color w:val="000000"/>
        </w:rPr>
        <w:t>—</w:t>
      </w:r>
      <w:r>
        <w:rPr>
          <w:rFonts w:ascii="Arial;sans-serif" w:hAnsi="Arial;sans-serif"/>
          <w:b w:val="false"/>
          <w:color w:val="000000"/>
          <w:sz w:val="20"/>
        </w:rPr>
        <w:t xml:space="preserve">A VIE is an entity that either (i) lacks sufficient equity to finance its activities without additional subordinated financial support from other parties; (ii) whose equity holders lack the characteristics of a controlling financial interest; and/or (iii) is established with non-substantive voting rights.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 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may involve significant judgment, and depends upon facts and circumstances specific to an entity at the time of the assessment. </w:t>
      </w:r>
    </w:p>
    <w:p>
      <w:pPr>
        <w:pStyle w:val="TextBody"/>
        <w:bidi w:val="0"/>
        <w:spacing w:lineRule="auto" w:line="288" w:before="120" w:after="283"/>
        <w:ind w:left="0" w:right="0" w:firstLine="450"/>
        <w:jc w:val="left"/>
        <w:rPr/>
      </w:pPr>
      <w:r>
        <w:rPr>
          <w:rFonts w:ascii="Arial;sans-serif" w:hAnsi="Arial;sans-serif"/>
          <w:b w:val="false"/>
          <w:i/>
          <w:color w:val="000000"/>
          <w:sz w:val="20"/>
        </w:rPr>
        <w:t>Voting Interest Entities</w:t>
      </w:r>
      <w:r>
        <w:rPr>
          <w:color w:val="000000"/>
        </w:rPr>
        <w:t>—</w:t>
      </w:r>
      <w:r>
        <w:rPr>
          <w:rFonts w:ascii="Arial;sans-serif" w:hAnsi="Arial;sans-serif"/>
          <w:b w:val="false"/>
          <w:color w:val="000000"/>
          <w:sz w:val="20"/>
        </w:rPr>
        <w:t>Unlike VIEs, voting interest entities have sufficient equity to finance their activities and equity investors exhibit the characteristics of a controlling financial interest through their voting rights. The Company consolidates such entities when it has the power to control these entities through ownership of a majority of the entities' voting interests or through other arrangements.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At each reporting period, the Company reassesses whether changes in facts and circumstances cause a change in the status of an entity as a VIE or voting interest entity, and/or a change in the Company's consolidation assessment. Changes in consolidation status are applied prospectively. An entity may be consolidated as a result of this reassessment, in which case, the assets, liabilities and noncontrolling interests in the entity are recorded at fair value upon initial consolidation. Any existing equity interest held by the Company in the entity prior to the Company obtaining control will be remeasured at fair value, which may result in a gain or loss recognized upon initial consolidation. However, if the consolidation represents an asset acquisition of a voting interest entity, the Company's existing interest in the acquired assets, if any, is not remeasured to fair value but continues to be carried at historical cost. The Company may also deconsolidate a subsidiary as a result of this reassessment, which may result in a gain or loss recognized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deconsolidation depending on the carrying values of deconsolidated assets and liabilities compared to the fair value of any interests retained.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Noncontrolling Interests</w:t>
      </w:r>
    </w:p>
    <w:p>
      <w:pPr>
        <w:pStyle w:val="TextBody"/>
        <w:bidi w:val="0"/>
        <w:spacing w:lineRule="auto" w:line="288" w:before="120" w:after="283"/>
        <w:ind w:left="0" w:right="0" w:firstLine="495"/>
        <w:jc w:val="left"/>
        <w:rPr/>
      </w:pPr>
      <w:r>
        <w:rPr>
          <w:rFonts w:ascii="Arial;sans-serif" w:hAnsi="Arial;sans-serif"/>
          <w:b w:val="false"/>
          <w:i/>
          <w:color w:val="000000"/>
          <w:sz w:val="20"/>
        </w:rPr>
        <w:t>Redeemable Noncontrolling Interests</w:t>
      </w:r>
      <w:r>
        <w:rPr>
          <w:color w:val="000000"/>
        </w:rPr>
        <w:t>—</w:t>
      </w:r>
      <w:r>
        <w:rPr>
          <w:rFonts w:ascii="Arial;sans-serif" w:hAnsi="Arial;sans-serif"/>
          <w:b w:val="false"/>
          <w:color w:val="000000"/>
          <w:sz w:val="20"/>
        </w:rPr>
        <w:t xml:space="preserve">This represents noncontrolling interests in sponsored open-end funds in the liquid securities strategy that are consolidated by the Company. The limited partners of these funds have the ability to withdraw all or a portion of their interests from the funds in cash with advance notice.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Redeemable noncontrolling interests is presented outside of permanent equity. Allocation of net income or loss to redeemable noncontrolling interests is based upon their ownership percentage during the period. The carrying amount of redeemable noncontrolling interests is adjusted to its redemption value at the end of each reporting period to an amount not less than its initial carrying value, except for amounts contingently redeemable which will be adjusted to redemption value only when redemption is probable. Such adjustments will be recognized in additional paid-in capital. </w:t>
      </w:r>
    </w:p>
    <w:p>
      <w:pPr>
        <w:pStyle w:val="TextBody"/>
        <w:bidi w:val="0"/>
        <w:spacing w:lineRule="auto" w:line="288" w:before="120" w:after="283"/>
        <w:ind w:left="0" w:right="0" w:firstLine="495"/>
        <w:jc w:val="left"/>
        <w:rPr/>
      </w:pPr>
      <w:r>
        <w:rPr>
          <w:rFonts w:ascii="Arial;sans-serif" w:hAnsi="Arial;sans-serif"/>
          <w:b w:val="false"/>
          <w:i/>
          <w:color w:val="000000"/>
          <w:sz w:val="20"/>
        </w:rPr>
        <w:t>Noncontrolling Interests in Investment Entities</w:t>
      </w:r>
      <w:r>
        <w:rPr>
          <w:color w:val="000000"/>
        </w:rPr>
        <w:t>—</w:t>
      </w:r>
      <w:r>
        <w:rPr>
          <w:rFonts w:ascii="Arial;sans-serif" w:hAnsi="Arial;sans-serif"/>
          <w:b w:val="false"/>
          <w:color w:val="000000"/>
          <w:sz w:val="20"/>
        </w:rPr>
        <w:t xml:space="preserve">This represents (i) carried interest allocations to certain senior executives of the Company (Note 14); and a third party participation interest; (ii) equity interests held by current and former employees and a third party participation interest in general partner entities of the Company's sponsored funds; and (iii) limited partners of consolidated closed-end funds. Excluding carried interest, allocation of net income or loss is generally based upon relative ownership interests. </w:t>
      </w:r>
    </w:p>
    <w:p>
      <w:pPr>
        <w:pStyle w:val="TextBody"/>
        <w:bidi w:val="0"/>
        <w:spacing w:lineRule="auto" w:line="288" w:before="120" w:after="283"/>
        <w:ind w:left="0" w:right="0" w:firstLine="450"/>
        <w:jc w:val="left"/>
        <w:rPr/>
      </w:pPr>
      <w:r>
        <w:rPr>
          <w:rFonts w:ascii="Arial;sans-serif" w:hAnsi="Arial;sans-serif"/>
          <w:b w:val="false"/>
          <w:i/>
          <w:color w:val="000000"/>
          <w:sz w:val="20"/>
        </w:rPr>
        <w:t>Noncontrolling Interests in Operating Company</w:t>
      </w:r>
      <w:r>
        <w:rPr>
          <w:color w:val="000000"/>
        </w:rPr>
        <w:t>—</w:t>
      </w:r>
      <w:r>
        <w:rPr>
          <w:rFonts w:ascii="Arial;sans-serif" w:hAnsi="Arial;sans-serif"/>
          <w:b w:val="false"/>
          <w:color w:val="000000"/>
          <w:sz w:val="20"/>
        </w:rPr>
        <w:t>This represents membership interests in OP held by certain current and former employees of the Company. Noncontrolling interests in OP are allocated a share of net income or loss in OP based upon their weighted average ownership interest in OP during the period. Noncontrolling interests in OP have the right to require OP to redeem part or all of such member’s membership units in OP ("OP units") for cash based on the market value of an equivalent number of shares of class A common stock of the Company at the time of redemption, or at the Company's election as managing member of OP, through issuance of shares of class A common stock (registered or unregistered) on a one-for-one basis. At the end of each reporting period, noncontrolling interests in OP is adjusted to reflect their ownership percentage in OP at the end of the period, through a reallocation between controlling and noncontrolling interests in OP, as applicable.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Discontinued Operations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If the disposition of a component, being an operating or reportable segment, business unit, subsidiary or asset group, represents a strategic shift that has or will have a major effect on the Company’s operations and financial results, the operating profits or losses of the component when classified as held for sale, and the gain or loss upon disposition of the component, are presented as discontinued operations in the statements of operations.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A business or asset group acquired in connection with a business combination that meets the criteria to be accounted for as held for sale at the date of acquisition is reported as discontinued operations, regardless of whether it meets the strategic shift criterion.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Company's discontinued operations in the periods presented herein represent residual activities from the Company's former real estate investments along with an adjacent investment management business, which have predominantly been disposed as part of the Company's transformation into an investment manager with a digital infrastructure focus. </w:t>
      </w:r>
    </w:p>
    <w:p>
      <w:pPr>
        <w:pStyle w:val="TextBody"/>
        <w:bidi w:val="0"/>
        <w:spacing w:lineRule="auto" w:line="288" w:before="240" w:after="283"/>
        <w:jc w:val="left"/>
        <w:rPr/>
      </w:pPr>
      <w:r>
        <w:rPr>
          <w:rFonts w:ascii="Arial;sans-serif" w:hAnsi="Arial;sans-serif"/>
          <w:b/>
          <w:color w:val="000000"/>
          <w:sz w:val="20"/>
        </w:rPr>
        <w:t>Recently Adopted Accounting Pronouncements</w:t>
      </w:r>
      <w:r>
        <w:rPr>
          <w:color w:val="000000"/>
        </w:rPr>
        <w:t xml:space="preserve"> </w:t>
      </w:r>
    </w:p>
    <w:p>
      <w:pPr>
        <w:pStyle w:val="TextBody"/>
        <w:bidi w:val="0"/>
        <w:spacing w:lineRule="auto" w:line="288" w:before="120" w:after="120"/>
        <w:ind w:left="0" w:right="0" w:firstLine="225"/>
        <w:jc w:val="left"/>
        <w:rPr>
          <w:rFonts w:ascii="Arial;sans-serif" w:hAnsi="Arial;sans-serif"/>
          <w:b/>
          <w:i/>
          <w:color w:val="000000"/>
          <w:sz w:val="20"/>
        </w:rPr>
      </w:pPr>
      <w:r>
        <w:rPr>
          <w:rFonts w:ascii="Arial;sans-serif" w:hAnsi="Arial;sans-serif"/>
          <w:b/>
          <w:i/>
          <w:color w:val="000000"/>
          <w:sz w:val="20"/>
        </w:rPr>
        <w:t>Measurement of Credit Losses for Accounts Receivable and Contract Assets</w:t>
      </w:r>
    </w:p>
    <w:p>
      <w:pPr>
        <w:pStyle w:val="TextBody"/>
        <w:bidi w:val="0"/>
        <w:spacing w:lineRule="auto" w:line="288" w:before="0" w:after="120"/>
        <w:ind w:left="0" w:right="0" w:firstLine="450"/>
        <w:jc w:val="left"/>
        <w:rPr/>
      </w:pPr>
      <w:r>
        <w:rPr>
          <w:rFonts w:ascii="Arial;sans-serif" w:hAnsi="Arial;sans-serif"/>
          <w:b w:val="false"/>
          <w:color w:val="000000"/>
          <w:sz w:val="20"/>
        </w:rPr>
        <w:t xml:space="preserve">In July 2025, the FASB issued ASU 2025-05, </w:t>
      </w:r>
      <w:r>
        <w:rPr>
          <w:rFonts w:ascii="Arial;sans-serif" w:hAnsi="Arial;sans-serif"/>
          <w:b w:val="false"/>
          <w:i/>
          <w:color w:val="000000"/>
          <w:sz w:val="20"/>
        </w:rPr>
        <w:t>Financial Instruments - Credit Losses (Topic 326): Measurement of Credit Losses for Accounts Receivable and Contract Assets</w:t>
      </w:r>
      <w:r>
        <w:rPr>
          <w:rFonts w:ascii="Arial;sans-serif" w:hAnsi="Arial;sans-serif"/>
          <w:b w:val="false"/>
          <w:color w:val="000000"/>
          <w:sz w:val="20"/>
        </w:rPr>
        <w:t>, which simplifies the estimation of expected credit losses applied to revenue transactions from contracts with customers (pursuant to Topic 606)</w:t>
      </w:r>
      <w:r>
        <w:rPr>
          <w:rFonts w:ascii="Arial;sans-serif" w:hAnsi="Arial;sans-serif"/>
          <w:b w:val="false"/>
          <w:i/>
          <w:color w:val="000000"/>
          <w:sz w:val="20"/>
        </w:rPr>
        <w:t xml:space="preserve">. </w:t>
      </w:r>
      <w:r>
        <w:rPr>
          <w:rFonts w:ascii="Arial;sans-serif" w:hAnsi="Arial;sans-serif"/>
          <w:b w:val="false"/>
          <w:color w:val="000000"/>
          <w:sz w:val="20"/>
        </w:rPr>
        <w:t xml:space="preserve">The ASU provides for election of a practical expedient to assume that current conditions as of the balance sheet date do not change for the remaining life of the current accounts receivable and current contract assets. This would forego the existing requirement to develop forecasts of future economic conditions in estimating expected credit losses. </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 adopted this ASU on a prospective basis effective January 1, 2026, electing the practical expedient. The adoption of this ASU did not impact the Company's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Future Accounting Standards</w:t>
      </w:r>
    </w:p>
    <w:p>
      <w:pPr>
        <w:pStyle w:val="TextBody"/>
        <w:bidi w:val="0"/>
        <w:spacing w:lineRule="auto" w:line="288" w:before="180" w:after="120"/>
        <w:ind w:left="0" w:right="0" w:firstLine="225"/>
        <w:jc w:val="left"/>
        <w:rPr>
          <w:rFonts w:ascii="Arial;sans-serif" w:hAnsi="Arial;sans-serif"/>
          <w:b/>
          <w:i/>
          <w:color w:val="000000"/>
          <w:sz w:val="20"/>
        </w:rPr>
      </w:pPr>
      <w:r>
        <w:rPr>
          <w:rFonts w:ascii="Arial;sans-serif" w:hAnsi="Arial;sans-serif"/>
          <w:b/>
          <w:i/>
          <w:color w:val="000000"/>
          <w:sz w:val="20"/>
        </w:rPr>
        <w:t>Disaggregation of Income Statement Expenses</w:t>
      </w:r>
    </w:p>
    <w:p>
      <w:pPr>
        <w:pStyle w:val="TextBody"/>
        <w:bidi w:val="0"/>
        <w:spacing w:lineRule="auto" w:line="288" w:before="0" w:after="120"/>
        <w:ind w:left="0" w:right="0" w:firstLine="45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Disaggregation of Income Statement Expenses</w:t>
      </w:r>
      <w:r>
        <w:rPr>
          <w:rFonts w:ascii="Arial;sans-serif" w:hAnsi="Arial;sans-serif"/>
          <w:b w:val="false"/>
          <w:color w:val="000000"/>
          <w:sz w:val="20"/>
        </w:rPr>
        <w:t xml:space="preserve">, in response to longstanding investor requests for disaggregated information about expenses by nature to supplement income statement expenses presented by function (for example, cost of sales and administrative expenses). The new standard requires tabular disclosure in a footnote, disaggregating each income statement line item that contains any of the following natural expenses: (a) purchases of inventory; (b) employee compensation; (c) depreciation; (d) intangible asset amortization; and (e) depletion. If an expense caption that is presented as a natural expense on the income statement includes more than one of the required expense categories, further disaggregation is required. For example, an expense caption consisting of depreciation and intangible asset amortization would need to be disaggregated to separately disclose each category in the footnotes. An expense caption that consists entirely of one of the required natural expense categories is not required to be disaggregated. Further, certain expenses, gains or losses that are required to be disclosed under US GAAP, if they are recorded within the expense line items that contain any of the prescribed expense categories, are to be separately quantified within the same tabular disclosure. Any remaining amounts in expense line items that contain any of the prescribed expense categories that have not been separately quantified are to be included in the tabular disclosure to reconcile to the corresponding amount on the income statement and to be qualitatively described. </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ASU is effective for the Company's annual reporting periods beginning January 1, 2027 (that is, Form 10-K for the year ending December 31, 2027) and interim reporting periods beginning January 1, 2028 (that is, Form 10-Q for the quarter ending March 31, 2028). Early adoption is permitted. Transition is prospective with the option to apply retrospective application. The Company is currently evaluating the effects of this new guidance.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3. Investments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Company's equity and debt investments are represented by the following:</w:t>
      </w:r>
    </w:p>
    <w:tbl>
      <w:tblPr>
        <w:tblW w:w="6765" w:type="dxa"/>
        <w:jc w:val="left"/>
        <w:tblInd w:w="0" w:type="dxa"/>
        <w:tblLayout w:type="fixed"/>
        <w:tblCellMar>
          <w:top w:w="28" w:type="dxa"/>
          <w:left w:w="28" w:type="dxa"/>
          <w:bottom w:w="28" w:type="dxa"/>
          <w:right w:w="28" w:type="dxa"/>
        </w:tblCellMar>
      </w:tblPr>
      <w:tblGrid>
        <w:gridCol w:w="1241"/>
        <w:gridCol w:w="1093"/>
        <w:gridCol w:w="1101"/>
        <w:gridCol w:w="109"/>
        <w:gridCol w:w="109"/>
        <w:gridCol w:w="109"/>
        <w:gridCol w:w="211"/>
        <w:gridCol w:w="976"/>
        <w:gridCol w:w="109"/>
        <w:gridCol w:w="109"/>
        <w:gridCol w:w="109"/>
        <w:gridCol w:w="109"/>
        <w:gridCol w:w="217"/>
        <w:gridCol w:w="1005"/>
        <w:gridCol w:w="158"/>
      </w:tblGrid>
      <w:tr>
        <w:trPr/>
        <w:tc>
          <w:tcPr>
            <w:tcW w:w="12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1,433,113 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Carried interest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540,890 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2,030,063 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investments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2,266,403 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70"/>
        <w:jc w:val="left"/>
        <w:rPr>
          <w:rFonts w:ascii="Arial;sans-serif" w:hAnsi="Arial;sans-serif"/>
          <w:b/>
          <w:color w:val="000000"/>
          <w:sz w:val="20"/>
        </w:rPr>
      </w:pPr>
      <w:r>
        <w:rPr>
          <w:rFonts w:ascii="Arial;sans-serif" w:hAnsi="Arial;sans-serif"/>
          <w:b/>
          <w:color w:val="000000"/>
          <w:sz w:val="20"/>
        </w:rPr>
        <w:t xml:space="preserve">Equity Method Investments </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Principal Investments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Principal investments represent investments in the Company's sponsored investment vehicles, accounted for as equity method investments as the Company exerts significant influence in its role as general partner. The Company typically has a small percentage interest in its sponsored funds as general partner or special limited partner. The Company also has additional investments as general partner affiliate alongside the funds' limited partners, primarily with respect to the Company's flagship value-add funds, InfraBridge funds and single asset funds invested in data center portfolio companies, DataBank and Vantage SDC. </w:t>
      </w:r>
    </w:p>
    <w:p>
      <w:pPr>
        <w:pStyle w:val="TextBody"/>
        <w:bidi w:val="0"/>
        <w:spacing w:lineRule="auto" w:line="288" w:before="120" w:after="283"/>
        <w:ind w:left="0" w:right="0" w:firstLine="450"/>
        <w:jc w:val="left"/>
        <w:rPr/>
      </w:pPr>
      <w:r>
        <w:rPr>
          <w:rFonts w:ascii="Arial;sans-serif" w:hAnsi="Arial;sans-serif"/>
          <w:b w:val="false"/>
          <w:color w:val="000000"/>
          <w:sz w:val="20"/>
        </w:rPr>
        <w:t xml:space="preserve">The Company's proportionate share of net income (loss) from investments in its sponsored investment vehicles, primarily unrealized gain (loss) from changes in fair value of the underlying fund investments, and distributions of income, including from realization events, are recorded </w:t>
      </w:r>
      <w:r>
        <w:rPr>
          <w:rFonts w:ascii="Arial;sans-serif" w:hAnsi="Arial;sans-serif"/>
          <w:b w:val="false"/>
          <w:color w:val="000000"/>
          <w:sz w:val="20"/>
          <w:shd w:fill="FFFFFF" w:val="clear"/>
        </w:rPr>
        <w:t xml:space="preserve">in principal investment income on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 xml:space="preserve">Carried Interest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Carried interest represents a disproportionate allocation of returns of up to 20% to the Company, as general partner or special limited partner (which may be paid to the special limited partner entity owned by the Company in place of the general partner entity), based upon the extent to which cumulative performance of a sponsored fund exceeds minimum return hurdles, typically an annual preferred return of 6% to 8%. Carried interest generally arises when appreciation in value of the underlying investments of the fund exceeds the minimum return hurdles, after factoring in a return of invested capital and a return of certain costs of the fund pursuant to terms of the governing documents of the fund. Realization of carried interest occurs upon disposition of all underlying investments of the fund, or in part the disposition of each investment. Unrealized carried interest is recognized as the amount that would be due pursuant to the fund governing documents assuming a hypothetical liquidation of the investments of the fund at their estimated fair values as of reporting date. Unrealized carried interest is driven primarily by changes in fair value of the underlying investments of the fund, which may be affected by various factors, including but not limited to, the projected financial performance of the portfolio company, economic conditions and comparable transactions in the market. When the fair value of fund investments fall below return hurdles or remain constant and preferred returns on unreturned capital accumulate, this may result in a reversal of unrealized carried interest previously recognized.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Generally, carried interest is distributed upon profitable disposition of an investment if at the time of distribution, cumulative returns of the fund exceed minimum return hurdles. Depending upon the final realized value of all investments at the end of the life of a fund (and, with respect to certain funds, periodically during the life of the fund), if it is determined that cumulative carried interest distributed has exceeded the final carried interest amount due (or amount due as of the calculation date), the Company is obligated to return the excess carried interest previously received. Therefore, carried interest distributed to the Company may be subject to clawback, up to the amount previously received on an after-tax basis. A liability would be established if a clawback obligation arises assuming a hypothetical liquidation of the investments of the fund at their prevailing fair values as of reporting date. However, the actual determination of a clawback, if any, and payment thereof would occur only after final disposition of investments at the end of the life of a fund, except for funds that have interim clawback provisions. The Company, through the OP, has guaranteed the clawback obligation of its subsidiaries that act as general partner or special limited partner of its respective sponsored funds, for the benefit of these funds and their limited partners.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 portion of carried interest earned by the Company is allocated to current and former employees and for certain funds, to a third party participation interest. Their share of carried interest is subject to recognition and reversal in accordance with the related carried interest income earned by the Company, and is not paid until the Company receives carried interest distributions from its funds. If the related carried interest distributions received by the Company are subject to clawback, the previously distributed carried interest to employees and a third party participation interest would be similarly subject to clawback. The Company withholds a portion of the distribution of carried interest to employees to satisfy their potential clawback obligation. The amount withheld resides in entities outside of the Company.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Carried interest is presented gross of allocation to employees and third party participation interest.</w:t>
      </w:r>
    </w:p>
    <w:p>
      <w:pPr>
        <w:pStyle w:val="TextBody"/>
        <w:bidi w:val="0"/>
        <w:spacing w:lineRule="auto" w:line="288" w:before="120" w:after="120"/>
        <w:ind w:left="0" w:right="0" w:firstLine="450"/>
        <w:jc w:val="left"/>
        <w:rPr>
          <w:rFonts w:ascii="Arial;sans-serif" w:hAnsi="Arial;sans-serif"/>
          <w:b w:val="false"/>
          <w:i/>
          <w:color w:val="000000"/>
          <w:sz w:val="20"/>
        </w:rPr>
      </w:pPr>
      <w:r>
        <w:rPr>
          <w:rFonts w:ascii="Arial;sans-serif" w:hAnsi="Arial;sans-serif"/>
          <w:b w:val="false"/>
          <w:i/>
          <w:color w:val="000000"/>
          <w:sz w:val="20"/>
        </w:rPr>
        <w:t>Carried Interest Distributed</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Carried interest distributed was $9.4 million in the second quarter of 2026 and $2.5 million in the first quarter of 2025, of which $5.7 million and $1.6 million, respectively, were allocated to current and former employees, recorded as carried interest compensation.</w:t>
      </w:r>
    </w:p>
    <w:p>
      <w:pPr>
        <w:pStyle w:val="TextBody"/>
        <w:bidi w:val="0"/>
        <w:spacing w:lineRule="auto" w:line="288" w:before="120" w:after="120"/>
        <w:ind w:left="0" w:right="0" w:firstLine="450"/>
        <w:jc w:val="left"/>
        <w:rPr>
          <w:rFonts w:ascii="Arial;sans-serif" w:hAnsi="Arial;sans-serif"/>
          <w:b w:val="false"/>
          <w:i/>
          <w:color w:val="000000"/>
          <w:sz w:val="20"/>
        </w:rPr>
      </w:pPr>
      <w:r>
        <w:rPr>
          <w:rFonts w:ascii="Arial;sans-serif" w:hAnsi="Arial;sans-serif"/>
          <w:b w:val="false"/>
          <w:i/>
          <w:color w:val="000000"/>
          <w:sz w:val="20"/>
        </w:rPr>
        <w:t>Clawback Obligation</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At June 30, 2026, $32.6 million of previously distributed carried interest on an after-tax basis ($25.0 million at December 31, 2025) would be subject to clawback assuming a hypothetical liquidation of carry paying funds at the June 30, 2026 estimated fair values. The clawback liability is included in amount due to affiliates (Note 14). At June 30, 2026, $27.4 million and $1.5 million of the clawback obligation ($20.9 million and $1.2 million at December 31, 2025) would be the responsibility of current/former employees and a third party participation interest, respectively. These amounts are included in due from affiliates (Note 14) and as an allocation to noncontrolling interests in investment entities. The Company's share of the clawback obligation would be $3.7 million as of June 30, 2026 ($2.9 million at December 31, 2025). In this case, actual clawback obligation, if any, would be determined and become payable at the end of the life of the fund. To satisfy the employees' share of this clawback obligation, $15.2 million of carried interest had been withheld from payment to employees at the time of distribution. </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If, at June 30, 2026, all of the funds' investments are deemed to have no value, a possibility that the Company views as remote, the amount of carried interest distributed to date subject to potential clawback would be $108.1 million on an after-tax basis, of which $69.0 million would be the responsibility of current and former employees and $2.6 million the responsibility of a third party participation interest. To satisfy employees' clawback obligation, $21.7 million of cash had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been withheld from payment to employees to date and with respect to certain distributed carried interest, a portion of employees' equity investment will serve as collateral.</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Other Equity Investments</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Other equity investments include primarily venture investments and an investment in a managed account.</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These investments are generally carried at fair value or under the measurement alternative, which is at cost, adjusted for impairment and observable price changes. Changes in the value of these investments are recorded in other gain (loss) on the consolidated statements of operations.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Debt Investment</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Interest income on debt investment is recorded in other income.</w:t>
      </w:r>
    </w:p>
    <w:p>
      <w:pPr>
        <w:pStyle w:val="TextBody"/>
        <w:bidi w:val="0"/>
        <w:spacing w:lineRule="auto" w:line="288" w:before="120" w:after="283"/>
        <w:ind w:left="0" w:right="0" w:firstLine="270"/>
        <w:jc w:val="left"/>
        <w:rPr>
          <w:rFonts w:ascii="Arial;sans-serif" w:hAnsi="Arial;sans-serif"/>
          <w:b w:val="false"/>
          <w:i/>
          <w:color w:val="000000"/>
          <w:sz w:val="20"/>
        </w:rPr>
      </w:pPr>
      <w:r>
        <w:rPr>
          <w:rFonts w:ascii="Arial;sans-serif" w:hAnsi="Arial;sans-serif"/>
          <w:b w:val="false"/>
          <w:i/>
          <w:color w:val="000000"/>
          <w:sz w:val="20"/>
        </w:rPr>
        <w:t xml:space="preserve">CLO Subordinated Notes </w:t>
      </w:r>
    </w:p>
    <w:p>
      <w:pPr>
        <w:pStyle w:val="TextBody"/>
        <w:bidi w:val="0"/>
        <w:spacing w:lineRule="auto" w:line="26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 holds all of the subordinated notes of a collateralized loan obligation ("CLO"), sponsored and managed by a third party. The final maturity date of the CLO is 2037. The CLO subordinated notes are classified as available-for-sale ("AFS") debt securities.</w:t>
      </w:r>
    </w:p>
    <w:p>
      <w:pPr>
        <w:pStyle w:val="TextBody"/>
        <w:bidi w:val="0"/>
        <w:spacing w:lineRule="auto" w:line="26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Following the end of the non-call period of the CLO in October 2026, the subordinated notes may be redeemed (in whole, not in part) at the option of the collateral manager or the Company with consent of the collateral manager, if there is sufficient proceeds from sale of collateral assets, including payment of expenses therewith. The redemption price for the subordinated notes is equal to the excess interest and principal proceeds payable at the time of redemption.</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balance of the CLO subordinated notes is summarized as follows: </w:t>
      </w:r>
    </w:p>
    <w:tbl>
      <w:tblPr>
        <w:tblW w:w="10205" w:type="dxa"/>
        <w:jc w:val="left"/>
        <w:tblInd w:w="0" w:type="dxa"/>
        <w:tblLayout w:type="fixed"/>
        <w:tblCellMar>
          <w:top w:w="28" w:type="dxa"/>
          <w:left w:w="28" w:type="dxa"/>
          <w:bottom w:w="28" w:type="dxa"/>
          <w:right w:w="28" w:type="dxa"/>
        </w:tblCellMar>
      </w:tblPr>
      <w:tblGrid>
        <w:gridCol w:w="591"/>
        <w:gridCol w:w="485"/>
        <w:gridCol w:w="482"/>
        <w:gridCol w:w="109"/>
        <w:gridCol w:w="109"/>
        <w:gridCol w:w="109"/>
        <w:gridCol w:w="563"/>
        <w:gridCol w:w="1923"/>
        <w:gridCol w:w="290"/>
        <w:gridCol w:w="109"/>
        <w:gridCol w:w="109"/>
        <w:gridCol w:w="109"/>
        <w:gridCol w:w="444"/>
        <w:gridCol w:w="856"/>
        <w:gridCol w:w="232"/>
        <w:gridCol w:w="109"/>
        <w:gridCol w:w="109"/>
        <w:gridCol w:w="109"/>
        <w:gridCol w:w="230"/>
        <w:gridCol w:w="443"/>
        <w:gridCol w:w="118"/>
        <w:gridCol w:w="118"/>
        <w:gridCol w:w="118"/>
        <w:gridCol w:w="118"/>
        <w:gridCol w:w="230"/>
        <w:gridCol w:w="443"/>
        <w:gridCol w:w="118"/>
        <w:gridCol w:w="109"/>
        <w:gridCol w:w="109"/>
        <w:gridCol w:w="109"/>
        <w:gridCol w:w="211"/>
        <w:gridCol w:w="721"/>
        <w:gridCol w:w="163"/>
      </w:tblGrid>
      <w:tr>
        <w:trPr/>
        <w:tc>
          <w:tcPr>
            <w:tcW w:w="59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40" w:after="40"/>
              <w:jc w:val="center"/>
              <w:rPr>
                <w:rFonts w:ascii="Arial;sans-serif" w:hAnsi="Arial;sans-serif"/>
                <w:b/>
                <w:color w:val="000000"/>
                <w:sz w:val="14"/>
              </w:rPr>
            </w:pPr>
            <w:r>
              <w:rPr>
                <w:rFonts w:ascii="Arial;sans-serif" w:hAnsi="Arial;sans-serif"/>
                <w:b/>
                <w:color w:val="000000"/>
                <w:sz w:val="14"/>
              </w:rPr>
              <w:t>Amortized Cost without 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Cumulative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bottom w:val="single" w:sz="4" w:space="0" w:color="FFFFFF"/>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Gains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40" w:after="40"/>
              <w:jc w:val="center"/>
              <w:rPr>
                <w:rFonts w:ascii="Arial;sans-serif" w:hAnsi="Arial;sans-serif"/>
                <w:b/>
                <w:color w:val="000000"/>
                <w:sz w:val="14"/>
              </w:rPr>
            </w:pPr>
            <w:r>
              <w:rPr>
                <w:rFonts w:ascii="Arial;sans-serif" w:hAnsi="Arial;sans-serif"/>
                <w:b/>
                <w:color w:val="000000"/>
                <w:sz w:val="14"/>
              </w:rPr>
              <w:t>Fair Value</w:t>
            </w:r>
          </w:p>
        </w:tc>
      </w:tr>
      <w:tr>
        <w:trPr/>
        <w:tc>
          <w:tcPr>
            <w:tcW w:w="1558" w:type="dxa"/>
            <w:gridSpan w:val="3"/>
            <w:tcBorders>
              <w:top w:val="single" w:sz="4" w:space="0" w:color="FFFFFF"/>
              <w:left w:val="single" w:sz="4" w:space="0" w:color="FFFFFF"/>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30, 2026</w:t>
            </w:r>
          </w:p>
        </w:tc>
        <w:tc>
          <w:tcPr>
            <w:tcW w:w="327" w:type="dxa"/>
            <w:gridSpan w:val="3"/>
            <w:tcBorders>
              <w:left w:val="single" w:sz="4" w:space="0" w:color="FFFFFF"/>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estimating fair value of the CLO subordinated notes, classified as Level 3 of the fair value hierarchy, the Company used a benchmarking approach by looking to the implied credit spreads derived from observed prices on recent comparable CLO issuances, and also considering the current size and diversification of the CLO collateral pool, and projected return on the subordinated notes. Based upon these data points, at June 30, 2026 and December 31, 2025, the Company determined that the issued price of the subordinated notes, net of capital distributions, approximates a reasonable representation of fair value and that the CLO subordinated notes are not impaired.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Equity Investments of Consolidated Funds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 consolidates sponsored funds in which it has more than an insignificant equity interest in the fund as general partner (Note 13). Equity investments of consolidated funds are composed of marketable equity securities held by funds in the liquid securities strategy and a venture investment held by a single asset fund. Equity investments of consolidated funds are carried at fair value with changes in fair value recorded in other gain (loss) on the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4. Intangible Assets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Intangible assets are composed of the following:</w:t>
      </w:r>
    </w:p>
    <w:tbl>
      <w:tblPr>
        <w:tblW w:w="10205" w:type="dxa"/>
        <w:jc w:val="left"/>
        <w:tblInd w:w="0" w:type="dxa"/>
        <w:tblLayout w:type="fixed"/>
        <w:tblCellMar>
          <w:top w:w="28" w:type="dxa"/>
          <w:left w:w="28" w:type="dxa"/>
          <w:bottom w:w="28" w:type="dxa"/>
          <w:right w:w="28" w:type="dxa"/>
        </w:tblCellMar>
      </w:tblPr>
      <w:tblGrid>
        <w:gridCol w:w="511"/>
        <w:gridCol w:w="450"/>
        <w:gridCol w:w="453"/>
        <w:gridCol w:w="217"/>
        <w:gridCol w:w="852"/>
        <w:gridCol w:w="112"/>
        <w:gridCol w:w="109"/>
        <w:gridCol w:w="109"/>
        <w:gridCol w:w="109"/>
        <w:gridCol w:w="228"/>
        <w:gridCol w:w="921"/>
        <w:gridCol w:w="117"/>
        <w:gridCol w:w="109"/>
        <w:gridCol w:w="109"/>
        <w:gridCol w:w="109"/>
        <w:gridCol w:w="223"/>
        <w:gridCol w:w="764"/>
        <w:gridCol w:w="115"/>
        <w:gridCol w:w="109"/>
        <w:gridCol w:w="109"/>
        <w:gridCol w:w="109"/>
        <w:gridCol w:w="217"/>
        <w:gridCol w:w="852"/>
        <w:gridCol w:w="112"/>
        <w:gridCol w:w="109"/>
        <w:gridCol w:w="109"/>
        <w:gridCol w:w="109"/>
        <w:gridCol w:w="228"/>
        <w:gridCol w:w="921"/>
        <w:gridCol w:w="117"/>
        <w:gridCol w:w="109"/>
        <w:gridCol w:w="109"/>
        <w:gridCol w:w="109"/>
        <w:gridCol w:w="223"/>
        <w:gridCol w:w="763"/>
        <w:gridCol w:w="174"/>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Carrying Amount </w:t>
            </w:r>
            <w:r>
              <w:rPr>
                <w:rFonts w:ascii="Arial;sans-serif" w:hAnsi="Arial;sans-serif"/>
                <w:b/>
                <w:color w:val="000000"/>
                <w:sz w:val="9"/>
              </w:rP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Accumulated Amortization</w:t>
            </w:r>
            <w:r>
              <w:rPr>
                <w:rFonts w:ascii="Arial;sans-serif" w:hAnsi="Arial;sans-serif"/>
                <w:b/>
                <w:color w:val="000000"/>
                <w:sz w:val="9"/>
              </w:rP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Net Carrying Amount</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Carrying Amount </w:t>
            </w:r>
            <w:r>
              <w:rPr>
                <w:rFonts w:ascii="Arial;sans-serif" w:hAnsi="Arial;sans-serif"/>
                <w:b/>
                <w:color w:val="000000"/>
                <w:sz w:val="9"/>
              </w:rP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Accumulated Amortization</w:t>
            </w:r>
            <w:r>
              <w:rPr>
                <w:rFonts w:ascii="Arial;sans-serif" w:hAnsi="Arial;sans-serif"/>
                <w:b/>
                <w:color w:val="000000"/>
                <w:sz w:val="9"/>
              </w:rP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center"/>
              <w:rPr/>
            </w:pPr>
            <w:r>
              <w:rPr>
                <w:rFonts w:ascii="Arial;sans-serif" w:hAnsi="Arial;sans-serif"/>
                <w:b/>
                <w:color w:val="000000"/>
                <w:sz w:val="14"/>
              </w:rPr>
              <w:t>Net Carrying Amount</w:t>
            </w:r>
            <w:r>
              <w:rPr>
                <w:rFonts w:ascii="Arial;sans-serif" w:hAnsi="Arial;sans-serif"/>
                <w:b/>
                <w:color w:val="000000"/>
                <w:sz w:val="9"/>
              </w:rPr>
              <w:t>(1)</w:t>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management contracts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(122,280)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(117,342)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22,340 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Investor relationships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23,863 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8"/>
              </w:rPr>
              <w:t xml:space="preserve">Other </w:t>
            </w:r>
            <w:r>
              <w:rPr>
                <w:rFonts w:ascii="Arial;sans-serif" w:hAnsi="Arial;sans-serif"/>
                <w:b w:val="false"/>
                <w:color w:val="000000"/>
                <w:sz w:val="12"/>
              </w:rPr>
              <w:t>(3)</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198,275 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(159,597)</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38,678 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199,997 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(151,602)</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48,395 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270"/>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Presented net of impairments and write-offs, if any.</w:t>
      </w:r>
    </w:p>
    <w:p>
      <w:pPr>
        <w:pStyle w:val="TextBody"/>
        <w:bidi w:val="0"/>
        <w:spacing w:lineRule="auto" w:line="288" w:before="60" w:after="283"/>
        <w:ind w:left="0" w:right="0" w:hanging="270"/>
        <w:jc w:val="left"/>
        <w:rPr/>
      </w:pPr>
      <w:r>
        <w:rPr>
          <w:rFonts w:ascii="Arial;sans-serif" w:hAnsi="Arial;sans-serif"/>
          <w:b w:val="false"/>
          <w:color w:val="000000"/>
          <w:sz w:val="10"/>
        </w:rPr>
        <w:t>(2)    </w:t>
      </w:r>
      <w:r>
        <w:rPr>
          <w:rFonts w:ascii="Arial;sans-serif" w:hAnsi="Arial;sans-serif"/>
          <w:b w:val="false"/>
          <w:color w:val="000000"/>
          <w:sz w:val="16"/>
        </w:rPr>
        <w:t>Exclude intangible assets that were fully amortized in prior years.</w:t>
      </w:r>
    </w:p>
    <w:p>
      <w:pPr>
        <w:pStyle w:val="TextBody"/>
        <w:bidi w:val="0"/>
        <w:spacing w:lineRule="auto" w:line="288" w:before="60" w:after="283"/>
        <w:ind w:left="0" w:right="0" w:hanging="270"/>
        <w:jc w:val="left"/>
        <w:rPr/>
      </w:pPr>
      <w:r>
        <w:rPr>
          <w:rFonts w:ascii="Arial;sans-serif" w:hAnsi="Arial;sans-serif"/>
          <w:b w:val="false"/>
          <w:color w:val="000000"/>
          <w:sz w:val="10"/>
        </w:rPr>
        <w:t>(3)    </w:t>
      </w:r>
      <w:r>
        <w:rPr>
          <w:rFonts w:ascii="Arial;sans-serif" w:hAnsi="Arial;sans-serif"/>
          <w:b w:val="false"/>
          <w:color w:val="000000"/>
          <w:sz w:val="16"/>
        </w:rPr>
        <w:t>Represents primarily the value of an acquired domain name.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Amortization expense for finite-lived intangible assets totaled $4.8 million and $6.6 million for the three months ended June 30, 2026 and 2025, respectively, and $9.5 million and $13.2 million for the six months ended June 30, 2026 and 2025, respectively. There was no impairment of identifiable intangible assets in the periods presented.</w:t>
      </w:r>
    </w:p>
    <w:p>
      <w:pPr>
        <w:pStyle w:val="TextBody"/>
        <w:bidi w:val="0"/>
        <w:spacing w:lineRule="auto" w:line="288" w:before="240" w:after="283"/>
        <w:ind w:left="0" w:right="0" w:firstLine="270"/>
        <w:jc w:val="left"/>
        <w:rPr/>
      </w:pPr>
      <w:r>
        <w:rPr>
          <w:rFonts w:ascii="Arial;sans-serif" w:hAnsi="Arial;sans-serif"/>
          <w:b w:val="false"/>
          <w:i/>
          <w:color w:val="000000"/>
          <w:sz w:val="20"/>
        </w:rPr>
        <w:t>Future Amortization of Intangible Assets</w:t>
      </w:r>
      <w:r>
        <w:rPr>
          <w:color w:val="EE2724"/>
        </w:rPr>
        <w:t xml:space="preserve">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following table presents the expected future amortization of finite-lived intangible assets: </w:t>
      </w:r>
    </w:p>
    <w:tbl>
      <w:tblPr>
        <w:tblW w:w="10205" w:type="dxa"/>
        <w:jc w:val="left"/>
        <w:tblInd w:w="0" w:type="dxa"/>
        <w:tblLayout w:type="fixed"/>
        <w:tblCellMar>
          <w:top w:w="28" w:type="dxa"/>
          <w:left w:w="28" w:type="dxa"/>
          <w:bottom w:w="28" w:type="dxa"/>
          <w:right w:w="28" w:type="dxa"/>
        </w:tblCellMar>
      </w:tblPr>
      <w:tblGrid>
        <w:gridCol w:w="470"/>
        <w:gridCol w:w="414"/>
        <w:gridCol w:w="418"/>
        <w:gridCol w:w="220"/>
        <w:gridCol w:w="643"/>
        <w:gridCol w:w="113"/>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1"/>
        <w:gridCol w:w="675"/>
        <w:gridCol w:w="119"/>
        <w:gridCol w:w="109"/>
        <w:gridCol w:w="109"/>
        <w:gridCol w:w="109"/>
        <w:gridCol w:w="211"/>
        <w:gridCol w:w="721"/>
        <w:gridCol w:w="159"/>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Remaining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38,678 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5. Restricted Cash, Other Assets and Other Liabilities</w:t>
      </w:r>
    </w:p>
    <w:p>
      <w:pPr>
        <w:pStyle w:val="TextBody"/>
        <w:bidi w:val="0"/>
        <w:spacing w:lineRule="auto" w:line="288" w:before="180" w:after="283"/>
        <w:ind w:left="0" w:right="0" w:firstLine="270"/>
        <w:jc w:val="left"/>
        <w:rPr>
          <w:rFonts w:ascii="Arial;sans-serif" w:hAnsi="Arial;sans-serif"/>
          <w:b/>
          <w:color w:val="000000"/>
          <w:sz w:val="20"/>
        </w:rPr>
      </w:pPr>
      <w:r>
        <w:rPr>
          <w:rFonts w:ascii="Arial;sans-serif" w:hAnsi="Arial;sans-serif"/>
          <w:b/>
          <w:color w:val="000000"/>
          <w:sz w:val="20"/>
        </w:rPr>
        <w:t>Restricted Cash</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Restricted cash represents primarily cash reserves that are maintained pursuant to the governing documents of the corporate securitized debt. </w:t>
      </w:r>
    </w:p>
    <w:p>
      <w:pPr>
        <w:pStyle w:val="TextBody"/>
        <w:bidi w:val="0"/>
        <w:spacing w:lineRule="auto" w:line="288" w:before="180" w:after="283"/>
        <w:ind w:left="0" w:right="0" w:firstLine="270"/>
        <w:jc w:val="left"/>
        <w:rPr/>
      </w:pPr>
      <w:r>
        <w:rPr>
          <w:rFonts w:ascii="Arial;sans-serif" w:hAnsi="Arial;sans-serif"/>
          <w:b/>
          <w:color w:val="000000"/>
          <w:sz w:val="20"/>
        </w:rPr>
        <w:t>Other Assets</w:t>
      </w:r>
      <w:r>
        <w:rPr>
          <w:color w:val="EE2724"/>
        </w:rPr>
        <w:t xml:space="preserve">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summarizes the Company's other assets.</w:t>
      </w:r>
    </w:p>
    <w:tbl>
      <w:tblPr>
        <w:tblW w:w="7603" w:type="dxa"/>
        <w:jc w:val="left"/>
        <w:tblInd w:w="0" w:type="dxa"/>
        <w:tblLayout w:type="fixed"/>
        <w:tblCellMar>
          <w:top w:w="28" w:type="dxa"/>
          <w:left w:w="28" w:type="dxa"/>
          <w:bottom w:w="28" w:type="dxa"/>
          <w:right w:w="28" w:type="dxa"/>
        </w:tblCellMar>
      </w:tblPr>
      <w:tblGrid>
        <w:gridCol w:w="1639"/>
        <w:gridCol w:w="1443"/>
        <w:gridCol w:w="1447"/>
        <w:gridCol w:w="109"/>
        <w:gridCol w:w="109"/>
        <w:gridCol w:w="109"/>
        <w:gridCol w:w="211"/>
        <w:gridCol w:w="721"/>
        <w:gridCol w:w="109"/>
        <w:gridCol w:w="109"/>
        <w:gridCol w:w="109"/>
        <w:gridCol w:w="109"/>
        <w:gridCol w:w="244"/>
        <w:gridCol w:w="957"/>
        <w:gridCol w:w="178"/>
      </w:tblGrid>
      <w:tr>
        <w:trPr/>
        <w:tc>
          <w:tcPr>
            <w:tcW w:w="16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taxes and deferred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Operating lease right-of-use asset for 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Accounts receivable, net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Fixed assets, net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136,779 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138,914 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180"/>
        <w:jc w:val="left"/>
        <w:rPr/>
      </w:pPr>
      <w:r>
        <w:rPr>
          <w:rFonts w:ascii="Arial;sans-serif" w:hAnsi="Arial;sans-serif"/>
          <w:b w:val="false"/>
          <w:color w:val="000000"/>
          <w:sz w:val="10"/>
        </w:rPr>
        <w:t>(1)    </w:t>
      </w:r>
      <w:r>
        <w:rPr>
          <w:rFonts w:ascii="Arial;sans-serif" w:hAnsi="Arial;sans-serif"/>
          <w:b w:val="false"/>
          <w:color w:val="000000"/>
          <w:sz w:val="16"/>
        </w:rPr>
        <w:t xml:space="preserve">Amount at </w:t>
      </w:r>
      <w:r>
        <w:rPr>
          <w:rFonts w:ascii="Arial;sans-serif" w:hAnsi="Arial;sans-serif"/>
          <w:b w:val="false"/>
          <w:color w:val="000000"/>
          <w:sz w:val="16"/>
          <w:shd w:fill="FFFFFF" w:val="clear"/>
        </w:rPr>
        <w:t>December 31, 2025 i</w:t>
      </w:r>
      <w:r>
        <w:rPr>
          <w:rFonts w:ascii="Arial;sans-serif" w:hAnsi="Arial;sans-serif"/>
          <w:b w:val="false"/>
          <w:color w:val="000000"/>
          <w:sz w:val="16"/>
        </w:rPr>
        <w:t>ncluded $90.1 million of consideration due from fund investors who assumed interests in the Company's sponsored funds previously held by the Company, with such amounts fully received in January 2026.</w:t>
      </w:r>
    </w:p>
    <w:p>
      <w:pPr>
        <w:pStyle w:val="TextBody"/>
        <w:bidi w:val="0"/>
        <w:spacing w:lineRule="auto" w:line="288" w:before="60" w:after="283"/>
        <w:ind w:left="0" w:right="0" w:hanging="180"/>
        <w:jc w:val="left"/>
        <w:rPr/>
      </w:pPr>
      <w:r>
        <w:rPr>
          <w:rFonts w:ascii="Arial;sans-serif" w:hAnsi="Arial;sans-serif"/>
          <w:b w:val="false"/>
          <w:color w:val="000000"/>
          <w:sz w:val="10"/>
        </w:rPr>
        <w:t>(2)    </w:t>
      </w:r>
      <w:r>
        <w:rPr>
          <w:rFonts w:ascii="Arial;sans-serif" w:hAnsi="Arial;sans-serif"/>
          <w:b w:val="false"/>
          <w:color w:val="000000"/>
          <w:sz w:val="16"/>
        </w:rPr>
        <w:t xml:space="preserve">Net of accumulated depreciation of $11.0 million at </w:t>
      </w:r>
      <w:r>
        <w:rPr>
          <w:rFonts w:ascii="Arial;sans-serif" w:hAnsi="Arial;sans-serif"/>
          <w:b w:val="false"/>
          <w:color w:val="000000"/>
          <w:sz w:val="16"/>
          <w:shd w:fill="FFFFFF" w:val="clear"/>
        </w:rPr>
        <w:t>June 30, 2026</w:t>
      </w:r>
      <w:r>
        <w:rPr>
          <w:color w:val="000000"/>
        </w:rPr>
        <w:t xml:space="preserve"> </w:t>
      </w:r>
      <w:r>
        <w:rPr>
          <w:rFonts w:ascii="Arial;sans-serif" w:hAnsi="Arial;sans-serif"/>
          <w:b w:val="false"/>
          <w:color w:val="000000"/>
          <w:sz w:val="16"/>
        </w:rPr>
        <w:t xml:space="preserve">and $10.2 million at </w:t>
      </w:r>
      <w:r>
        <w:rPr>
          <w:rFonts w:ascii="Arial;sans-serif" w:hAnsi="Arial;sans-serif"/>
          <w:b w:val="false"/>
          <w:color w:val="000000"/>
          <w:sz w:val="16"/>
          <w:shd w:fill="FFFFFF" w:val="clear"/>
        </w:rPr>
        <w:t>December 31, 2025</w:t>
      </w:r>
      <w:r>
        <w:rPr>
          <w:rFonts w:ascii="Arial;sans-serif" w:hAnsi="Arial;sans-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80" w:after="283"/>
        <w:ind w:left="0" w:right="0" w:firstLine="270"/>
        <w:jc w:val="left"/>
        <w:rPr>
          <w:rFonts w:ascii="Arial;sans-serif" w:hAnsi="Arial;sans-serif"/>
          <w:b/>
          <w:color w:val="000000"/>
          <w:sz w:val="20"/>
        </w:rPr>
      </w:pPr>
      <w:r>
        <w:rPr>
          <w:rFonts w:ascii="Arial;sans-serif" w:hAnsi="Arial;sans-serif"/>
          <w:b/>
          <w:color w:val="000000"/>
          <w:sz w:val="20"/>
        </w:rPr>
        <w:t>Other Liabilities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summarizes the Company's other liabilities:</w:t>
      </w:r>
    </w:p>
    <w:tbl>
      <w:tblPr>
        <w:tblW w:w="7874" w:type="dxa"/>
        <w:jc w:val="left"/>
        <w:tblInd w:w="0" w:type="dxa"/>
        <w:tblLayout w:type="fixed"/>
        <w:tblCellMar>
          <w:top w:w="28" w:type="dxa"/>
          <w:left w:w="28" w:type="dxa"/>
          <w:bottom w:w="28" w:type="dxa"/>
          <w:right w:w="28" w:type="dxa"/>
        </w:tblCellMar>
      </w:tblPr>
      <w:tblGrid>
        <w:gridCol w:w="1697"/>
        <w:gridCol w:w="1493"/>
        <w:gridCol w:w="1505"/>
        <w:gridCol w:w="109"/>
        <w:gridCol w:w="109"/>
        <w:gridCol w:w="109"/>
        <w:gridCol w:w="211"/>
        <w:gridCol w:w="826"/>
        <w:gridCol w:w="109"/>
        <w:gridCol w:w="109"/>
        <w:gridCol w:w="109"/>
        <w:gridCol w:w="109"/>
        <w:gridCol w:w="244"/>
        <w:gridCol w:w="957"/>
        <w:gridCol w:w="178"/>
      </w:tblGrid>
      <w:tr>
        <w:trPr/>
        <w:tc>
          <w:tcPr>
            <w:tcW w:w="169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Deferred investment management fees (Note 11)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Interest payable on corporate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and preferred stock dividends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and deferred income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incentive fee and carried interest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358,506 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Operating lease liability for corporate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Due to affiliates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582,129 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Securities sold 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Due to custodians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670,155 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180"/>
        <w:jc w:val="left"/>
        <w:rPr/>
      </w:pPr>
      <w:r>
        <w:rPr>
          <w:rFonts w:ascii="Arial;sans-serif" w:hAnsi="Arial;sans-serif"/>
          <w:b w:val="false"/>
          <w:color w:val="000000"/>
          <w:sz w:val="10"/>
        </w:rPr>
        <w:t>(1)    </w:t>
      </w:r>
      <w:r>
        <w:rPr>
          <w:rFonts w:ascii="Arial;sans-serif" w:hAnsi="Arial;sans-serif"/>
          <w:b w:val="false"/>
          <w:color w:val="000000"/>
          <w:sz w:val="16"/>
          <w:shd w:fill="FFFFFF" w:val="clear"/>
        </w:rPr>
        <w:t>Deferred investment management fees are expected to be recognized as fee revenue over a weighted average period of 3.7 years and 4.3 years as of June 30, 2026 and December 31, 2025. Deferred investment management fees recognized as income of $3.2 million and $1.4 million in the three months ended June 30, 2026 and 2025, respectively, and $5.8 million and $2.8 million in the six months ended June 30, 2026 and 2025, respectively, pertain to the deferred management fee balance at the beginning of each respective period.</w:t>
      </w:r>
    </w:p>
    <w:p>
      <w:pPr>
        <w:pStyle w:val="TextBody"/>
        <w:bidi w:val="0"/>
        <w:spacing w:lineRule="auto" w:line="288" w:before="240" w:after="283"/>
        <w:ind w:left="0" w:right="0" w:firstLine="90"/>
        <w:jc w:val="left"/>
        <w:rPr>
          <w:rFonts w:ascii="Arial;sans-serif" w:hAnsi="Arial;sans-serif"/>
          <w:b w:val="false"/>
          <w:i/>
          <w:color w:val="000000"/>
          <w:sz w:val="20"/>
        </w:rPr>
      </w:pPr>
      <w:r>
        <w:rPr>
          <w:rFonts w:ascii="Arial;sans-serif" w:hAnsi="Arial;sans-serif"/>
          <w:b w:val="false"/>
          <w:i/>
          <w:color w:val="000000"/>
          <w:sz w:val="20"/>
        </w:rPr>
        <w:t>Deferred Income Taxes</w:t>
      </w:r>
    </w:p>
    <w:p>
      <w:pPr>
        <w:pStyle w:val="TextBody"/>
        <w:bidi w:val="0"/>
        <w:spacing w:lineRule="auto" w:line="288" w:before="120" w:after="283"/>
        <w:ind w:left="0" w:right="0" w:firstLine="450"/>
        <w:jc w:val="left"/>
        <w:rPr/>
      </w:pPr>
      <w:r>
        <w:rPr>
          <w:rFonts w:ascii="Arial;sans-serif" w:hAnsi="Arial;sans-serif"/>
          <w:b w:val="false"/>
          <w:color w:val="000000"/>
          <w:sz w:val="20"/>
        </w:rPr>
        <w:t>The Company has significant deferred tax assets associated with its domestic entities, related principally to capital loss carryforwards, outside basis difference in DBRG's interest in the OP, outside basis difference in investment in partnerships and net operating losses generated by a taxable U.S. subsidiary. As of June 30, 2026 and December 31, 2025</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a full valuation allowance has been established against the deferred tax assets of its domestic entities as</w:t>
      </w:r>
      <w:r>
        <w:rPr>
          <w:color w:val="000000"/>
          <w:shd w:fill="FFFFFF" w:val="clear"/>
        </w:rPr>
        <w:t xml:space="preserve"> </w:t>
      </w:r>
      <w:r>
        <w:rPr>
          <w:rFonts w:ascii="Arial;sans-serif" w:hAnsi="Arial;sans-serif"/>
          <w:b w:val="false"/>
          <w:color w:val="000000"/>
          <w:sz w:val="20"/>
        </w:rPr>
        <w:t xml:space="preserve">the realizability of these deferred tax assets did not meet the more-likely-than-not threshold.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6. Debt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Company's corporate debt is composed of a securitized financing facility. </w:t>
      </w:r>
    </w:p>
    <w:tbl>
      <w:tblPr>
        <w:tblW w:w="10205" w:type="dxa"/>
        <w:jc w:val="left"/>
        <w:tblInd w:w="0" w:type="dxa"/>
        <w:tblLayout w:type="fixed"/>
        <w:tblCellMar>
          <w:top w:w="28" w:type="dxa"/>
          <w:left w:w="28" w:type="dxa"/>
          <w:bottom w:w="28" w:type="dxa"/>
          <w:right w:w="28" w:type="dxa"/>
        </w:tblCellMar>
      </w:tblPr>
      <w:tblGrid>
        <w:gridCol w:w="407"/>
        <w:gridCol w:w="358"/>
        <w:gridCol w:w="359"/>
        <w:gridCol w:w="126"/>
        <w:gridCol w:w="126"/>
        <w:gridCol w:w="131"/>
        <w:gridCol w:w="211"/>
        <w:gridCol w:w="826"/>
        <w:gridCol w:w="109"/>
        <w:gridCol w:w="109"/>
        <w:gridCol w:w="109"/>
        <w:gridCol w:w="109"/>
        <w:gridCol w:w="109"/>
        <w:gridCol w:w="109"/>
        <w:gridCol w:w="219"/>
        <w:gridCol w:w="663"/>
        <w:gridCol w:w="113"/>
        <w:gridCol w:w="109"/>
        <w:gridCol w:w="109"/>
        <w:gridCol w:w="109"/>
        <w:gridCol w:w="211"/>
        <w:gridCol w:w="826"/>
        <w:gridCol w:w="109"/>
        <w:gridCol w:w="109"/>
        <w:gridCol w:w="109"/>
        <w:gridCol w:w="109"/>
        <w:gridCol w:w="211"/>
        <w:gridCol w:w="826"/>
        <w:gridCol w:w="109"/>
        <w:gridCol w:w="109"/>
        <w:gridCol w:w="109"/>
        <w:gridCol w:w="109"/>
        <w:gridCol w:w="109"/>
        <w:gridCol w:w="109"/>
        <w:gridCol w:w="219"/>
        <w:gridCol w:w="663"/>
        <w:gridCol w:w="113"/>
        <w:gridCol w:w="109"/>
        <w:gridCol w:w="109"/>
        <w:gridCol w:w="109"/>
        <w:gridCol w:w="211"/>
        <w:gridCol w:w="826"/>
        <w:gridCol w:w="162"/>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2848" w:type="dxa"/>
            <w:gridSpan w:val="12"/>
            <w:tcBorders/>
          </w:tcPr>
          <w:p>
            <w:pPr>
              <w:pStyle w:val="TableContents"/>
              <w:bidi w:val="0"/>
              <w:spacing w:before="0" w:after="283"/>
              <w:jc w:val="left"/>
              <w:rPr>
                <w:sz w:val="4"/>
                <w:szCs w:val="4"/>
              </w:rPr>
            </w:pPr>
            <w:r>
              <w:rPr>
                <w:sz w:val="4"/>
                <w:szCs w:val="4"/>
              </w:rPr>
            </w:r>
          </w:p>
        </w:tc>
      </w:tr>
      <w:tr>
        <w:trPr/>
        <w:tc>
          <w:tcPr>
            <w:tcW w:w="15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Deferred Financing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Deferred Financing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Amortized Cost</w:t>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Securitized financing facility</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298,804 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rFonts w:ascii="Arial;sans-serif" w:hAnsi="Arial;sans-serif"/>
          <w:b/>
          <w:i/>
          <w:color w:val="000000"/>
          <w:sz w:val="20"/>
        </w:rPr>
      </w:pPr>
      <w:r>
        <w:rPr>
          <w:rFonts w:ascii="Arial;sans-serif" w:hAnsi="Arial;sans-serif"/>
          <w:b/>
          <w:i/>
          <w:color w:val="000000"/>
          <w:sz w:val="20"/>
        </w:rPr>
        <w:t>Securitized Financing Facility</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In May 2026, special-purpose subsidiaries of the OP (the "Co-Issuers") issued Series 2026-1 Secured Fund Fee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Revenue Notes, composed of: (i) $300 million aggregate principal amount of 6.326% Secured Fund Fee Revenue Notes, Series 2026-1, Class A-2 (the “Class A-2 Notes”); and (ii) up to $100 million Secured Fund Fee Revenue Variable Funding Notes, Series 2026-1, Class A-1 (the “VFN” and, together with the Class A-2 Notes, the “Series 2026-1 Notes”). The VFN allow the Co-Issuers to borrow on a revolving basis.</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Proceeds from issuance of the Series 2026-1 Class A-2 Notes, net of payment of $8.5 million debt offering costs, were used to repay the $300 million outstanding principal plus the 3.933% accrued interest on the Series 2021-1 Secured Fund Fee Revenue Notes that had an anticipated repayment date ("ARD") in September 2026. There were no outstanding amounts drawn on the prior $100 million Series 2021-1 VFN.</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Series 2026-1 Notes were issued under the original Series 2021-1 Indenture dated July 2021, as amended in April 2022 and May 2026, that allows the Co-Issuers to issue additional series of notes in the future, subject to certain conditions. The broad terms governing the Series 2026-1 Notes, as described below, are substantially consistent with those of Series 2021-1.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Series 2026-1 Notes represent obligations of the Co-Issuers and certain other special-purpose subsidiaries of DBRG, and neither DBRG, the OP nor any of DBRG's other subsidiaries are liable for the obligations of the Co-Issuers. The Series 2026-1 Notes are secured by net investment management fees earned by subsidiaries of the Company, as well as equity interests in certain portfolio companies and limited partnership interests in certain funds managed by affiliates of the Company, as collateral.</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following table summarizes certain key terms of the Series 2026-1 Notes: </w:t>
      </w:r>
    </w:p>
    <w:tbl>
      <w:tblPr>
        <w:tblW w:w="10125" w:type="dxa"/>
        <w:jc w:val="left"/>
        <w:tblInd w:w="0" w:type="dxa"/>
        <w:tblLayout w:type="fixed"/>
        <w:tblCellMar>
          <w:top w:w="28" w:type="dxa"/>
          <w:left w:w="28" w:type="dxa"/>
          <w:bottom w:w="28" w:type="dxa"/>
          <w:right w:w="28" w:type="dxa"/>
        </w:tblCellMar>
      </w:tblPr>
      <w:tblGrid>
        <w:gridCol w:w="743"/>
        <w:gridCol w:w="655"/>
        <w:gridCol w:w="656"/>
        <w:gridCol w:w="109"/>
        <w:gridCol w:w="109"/>
        <w:gridCol w:w="109"/>
        <w:gridCol w:w="276"/>
        <w:gridCol w:w="1081"/>
        <w:gridCol w:w="142"/>
        <w:gridCol w:w="109"/>
        <w:gridCol w:w="109"/>
        <w:gridCol w:w="109"/>
        <w:gridCol w:w="597"/>
        <w:gridCol w:w="599"/>
        <w:gridCol w:w="1204"/>
        <w:gridCol w:w="109"/>
        <w:gridCol w:w="109"/>
        <w:gridCol w:w="109"/>
        <w:gridCol w:w="322"/>
        <w:gridCol w:w="322"/>
        <w:gridCol w:w="330"/>
        <w:gridCol w:w="109"/>
        <w:gridCol w:w="109"/>
        <w:gridCol w:w="109"/>
        <w:gridCol w:w="554"/>
        <w:gridCol w:w="554"/>
        <w:gridCol w:w="782"/>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Outstanding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4"/>
              </w:rPr>
              <w:t xml:space="preserve">Interest Rate </w:t>
            </w:r>
          </w:p>
          <w:p>
            <w:pPr>
              <w:pStyle w:val="TableContents"/>
              <w:bidi w:val="0"/>
              <w:spacing w:lineRule="auto" w:line="240" w:before="0" w:after="0"/>
              <w:jc w:val="center"/>
              <w:rPr/>
            </w:pPr>
            <w:r>
              <w:rPr>
                <w:rFonts w:ascii="Arial;sans-serif" w:hAnsi="Arial;sans-serif"/>
                <w:b/>
                <w:color w:val="000000"/>
                <w:sz w:val="14"/>
              </w:rPr>
              <w:t>(Per Annum)</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ARD</w:t>
            </w:r>
            <w:r>
              <w:rPr>
                <w:rFonts w:ascii="Arial;sans-serif" w:hAnsi="Arial;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4"/>
              </w:rPr>
              <w:t>Years Remaining to ARD</w:t>
            </w:r>
            <w:r>
              <w:rPr>
                <w:rFonts w:ascii="Arial;sans-serif" w:hAnsi="Arial;sans-serif"/>
                <w:b/>
                <w:color w:val="000000"/>
                <w:sz w:val="9"/>
              </w:rPr>
              <w:t>(2)</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A-2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6.326</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Variable Funding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1-month Term SOFR + 2.6%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bl>
    <w:p>
      <w:pPr>
        <w:pStyle w:val="TextBody"/>
        <w:bidi w:val="0"/>
        <w:spacing w:lineRule="auto" w:line="288" w:before="0" w:after="0"/>
        <w:ind w:left="0" w:right="0" w:firstLine="45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180"/>
        <w:jc w:val="left"/>
        <w:rPr/>
      </w:pPr>
      <w:r>
        <w:rPr>
          <w:rFonts w:ascii="Arial;sans-serif" w:hAnsi="Arial;sans-serif"/>
          <w:b w:val="false"/>
          <w:color w:val="000000"/>
          <w:sz w:val="10"/>
        </w:rPr>
        <w:t>(1)    </w:t>
      </w:r>
      <w:r>
        <w:rPr>
          <w:rFonts w:ascii="Arial;sans-serif" w:hAnsi="Arial;sans-serif"/>
          <w:b w:val="false"/>
          <w:color w:val="000000"/>
          <w:sz w:val="16"/>
        </w:rPr>
        <w:t xml:space="preserve">Unused capacity under the VFN facility is subject to a commitment fee of 0.5% per annum. </w:t>
      </w:r>
    </w:p>
    <w:p>
      <w:pPr>
        <w:pStyle w:val="TextBody"/>
        <w:bidi w:val="0"/>
        <w:spacing w:lineRule="auto" w:line="288" w:before="60" w:after="283"/>
        <w:ind w:left="0" w:right="0" w:hanging="180"/>
        <w:jc w:val="left"/>
        <w:rPr/>
      </w:pPr>
      <w:r>
        <w:rPr>
          <w:rFonts w:ascii="Arial;sans-serif" w:hAnsi="Arial;sans-serif"/>
          <w:b w:val="false"/>
          <w:color w:val="000000"/>
          <w:sz w:val="10"/>
        </w:rPr>
        <w:t>(2)    </w:t>
      </w:r>
      <w:r>
        <w:rPr>
          <w:rFonts w:ascii="Arial;sans-serif" w:hAnsi="Arial;sans-serif"/>
          <w:b w:val="false"/>
          <w:color w:val="000000"/>
          <w:sz w:val="16"/>
        </w:rPr>
        <w:t xml:space="preserve">The final maturity date of the Class A-2 Notes is in March 2056. The ARD of the VFN reflects two one-year extensions exercisable at the option of the Co-Issuers.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If the Series 2026-1 Notes are not repaid or refinanced prior to their ARD, or such date is not extended for the VFN, the Series 2026-1 Notes will begin to amortize quarterly, and additional interest will accrue on outstanding balances at per annum rates of 5% for the VFN and a minimum of 5% or greater as prescribed in the Indenture for the Class A-2 Notes.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Series 2026-1 Notes may be optionally prepaid, in whole or in part, prior to their ARD. There is no prepayment penalty, except that prepayment of the Class A-2 Notes prior to their quarterly payment date in June 2029 will be subject to additional consideration as set out in the Indenture.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Indenture of the Series 2026-1 Notes contains various covenants, including financial covenants that require the maintenance of minimum thresholds for debt service coverage ratio and maximum loan-to-value ratio, as defined. As of the date of this filing, the Co-Issuers are in compliance with all of the financial covenants.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7. Stockholders' Equity</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The table below summarizes the share activities of the Company's preferred stock and common stock.</w:t>
      </w:r>
    </w:p>
    <w:tbl>
      <w:tblPr>
        <w:tblW w:w="9452" w:type="dxa"/>
        <w:jc w:val="left"/>
        <w:tblInd w:w="0" w:type="dxa"/>
        <w:tblLayout w:type="fixed"/>
        <w:tblCellMar>
          <w:top w:w="28" w:type="dxa"/>
          <w:left w:w="28" w:type="dxa"/>
          <w:bottom w:w="28" w:type="dxa"/>
          <w:right w:w="28" w:type="dxa"/>
        </w:tblCellMar>
      </w:tblPr>
      <w:tblGrid>
        <w:gridCol w:w="1827"/>
        <w:gridCol w:w="1607"/>
        <w:gridCol w:w="1621"/>
        <w:gridCol w:w="109"/>
        <w:gridCol w:w="109"/>
        <w:gridCol w:w="109"/>
        <w:gridCol w:w="374"/>
        <w:gridCol w:w="374"/>
        <w:gridCol w:w="376"/>
        <w:gridCol w:w="109"/>
        <w:gridCol w:w="109"/>
        <w:gridCol w:w="109"/>
        <w:gridCol w:w="413"/>
        <w:gridCol w:w="413"/>
        <w:gridCol w:w="356"/>
        <w:gridCol w:w="109"/>
        <w:gridCol w:w="109"/>
        <w:gridCol w:w="109"/>
        <w:gridCol w:w="324"/>
        <w:gridCol w:w="324"/>
        <w:gridCol w:w="462"/>
      </w:tblGrid>
      <w:tr>
        <w:trPr/>
        <w:tc>
          <w:tcPr>
            <w:tcW w:w="182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 Shares</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Class A </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Class B </w:t>
              <w:br/>
              <w:t>Common Stock</w:t>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Shares 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174,202 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 upon redemption of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class B to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awards issued,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canceled for tax withholding on vested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Shares outstanding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32,876 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180,887 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Shares 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182,643 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Shares issued upon redemption of OP units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awards issued,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canceled for tax withholding on vested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Shares 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32,876 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186,671 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Preferred Stock</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event of a liquidation or dissolution of the Company, preferred stockholders have priority over common stockholders for payment of dividends and distribution of net assets.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table below summarizes the preferred stock issued and outstanding at June 30, 2026:</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387"/>
        <w:gridCol w:w="296"/>
        <w:gridCol w:w="621"/>
        <w:gridCol w:w="109"/>
        <w:gridCol w:w="109"/>
        <w:gridCol w:w="109"/>
        <w:gridCol w:w="480"/>
        <w:gridCol w:w="383"/>
        <w:gridCol w:w="338"/>
        <w:gridCol w:w="109"/>
        <w:gridCol w:w="109"/>
        <w:gridCol w:w="109"/>
        <w:gridCol w:w="447"/>
        <w:gridCol w:w="366"/>
        <w:gridCol w:w="367"/>
        <w:gridCol w:w="109"/>
        <w:gridCol w:w="109"/>
        <w:gridCol w:w="109"/>
        <w:gridCol w:w="236"/>
        <w:gridCol w:w="521"/>
        <w:gridCol w:w="121"/>
        <w:gridCol w:w="109"/>
        <w:gridCol w:w="109"/>
        <w:gridCol w:w="109"/>
        <w:gridCol w:w="246"/>
        <w:gridCol w:w="966"/>
        <w:gridCol w:w="127"/>
        <w:gridCol w:w="109"/>
        <w:gridCol w:w="109"/>
        <w:gridCol w:w="109"/>
        <w:gridCol w:w="530"/>
        <w:gridCol w:w="392"/>
        <w:gridCol w:w="563"/>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Dividend Rate 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Initial 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Shares Outstanding </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Par Value </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Liquidation Preference </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Earliest Redemption Date</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Series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7.125 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209,870 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Currently redeemable</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Series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Currently redeemable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Series 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7.125 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September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290,361 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Currently redeemable</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32,876 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821,899 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Arial;sans-serif" w:hAnsi="Arial;sans-serif"/>
          <w:b w:val="false"/>
          <w:color w:val="000000"/>
          <w:sz w:val="20"/>
        </w:rPr>
      </w:pPr>
      <w:r>
        <w:rPr>
          <w:rFonts w:ascii="Arial;sans-serif" w:hAnsi="Arial;sans-serif"/>
          <w:b w:val="false"/>
          <w:color w:val="000000"/>
          <w:sz w:val="20"/>
        </w:rPr>
        <w:t>All series of preferred stock are at parity with respect to dividends and distributions, including distributions upon liquidation, dissolution or winding up of the Company. Dividends are payable quarterly in arrears in January, April, July and October.</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Each series of preferred stock is currently redeemable at $25.00 per share plus accrued and unpaid dividends (whether or not declared) prorated to their redemption dates, exclusively at the Company’s option. In addition, each outstanding series of our preferred stock is subject to certain conversion and optional redemption rights upon a change in control.</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Preferred stock generally does not have any voting rights, except if the Company fails to pay the preferred dividends for six or more quarterly periods (whether or not consecutive). Under such circumstances, the preferred stock will be entitled to vote, together as a single class with any other series of parity stock upon which like voting rights have been conferred and are exercisable, to elect two additional directors to the Company’s board of directors, until all unpaid dividends have been paid or declared and set aside for payment. In addition, certain changes to the terms of any series of preferred stock cannot be made without the affirmative vote of holders of at least two-thirds of the outstanding shares of each such series of preferred stock voting separately as a class for each series of preferred stock.</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June 2025, all issued and outstanding shares of class B common stock totaling 149,571 shares were converted pursuant to their terms into an equivalent number of shares of class A common stock, and were cancelled following their conversion. Previously, class B common stock had the same rights and privileges, and ranked equally, shared ratably in dividends and distributions, and was identical in all respects as to all matters as class A common stock, except that class B common stock had thirty-six and one-half votes per share while class A common stock has one vote per share. This had given the holders of class B common stock a right to vote that reflected the aggregate outstanding non-voting economic interest in the Company (in the form of OP units) attributed to class B common stock holders and therefore, did not provide any disproportionate voting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firstLine="270"/>
        <w:jc w:val="left"/>
        <w:rPr>
          <w:rFonts w:ascii="Arial;sans-serif" w:hAnsi="Arial;sans-serif"/>
          <w:b w:val="false"/>
          <w:i/>
          <w:color w:val="000000"/>
          <w:sz w:val="20"/>
        </w:rPr>
      </w:pPr>
      <w:r>
        <w:rPr>
          <w:rFonts w:ascii="Arial;sans-serif" w:hAnsi="Arial;sans-serif"/>
          <w:b w:val="false"/>
          <w:i/>
          <w:color w:val="000000"/>
          <w:sz w:val="20"/>
        </w:rPr>
        <w:t>Dividend Reinvestment and Direct Stock Purchase Plan</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Company's Dividend Reinvestment and Direct Stock Purchase Plan (the “DRIP Plan”) provides existing common stockholders and other investors the opportunity to purchase shares (or additional shares, as applicable) of the Company's class A common stock by reinvesting some or all of the cash dividends received on their shares of the Company's class A common stock or making optional cash purchases within specified parameters. No shares of class A common stock have been acquired under the DRIP Plan in the form of new issuances in the last three years.</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 xml:space="preserve">Stock Repurchases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 does not currently have an authorized stock repurchase program.</w:t>
      </w:r>
    </w:p>
    <w:p>
      <w:pPr>
        <w:pStyle w:val="TextBody"/>
        <w:bidi w:val="0"/>
        <w:spacing w:lineRule="auto" w:line="288" w:before="240" w:after="283"/>
        <w:ind w:left="0" w:right="0" w:firstLine="270"/>
        <w:jc w:val="left"/>
        <w:rPr>
          <w:rFonts w:ascii="Arial;sans-serif" w:hAnsi="Arial;sans-serif"/>
          <w:b/>
          <w:i/>
          <w:color w:val="000000"/>
          <w:sz w:val="20"/>
        </w:rPr>
      </w:pPr>
      <w:r>
        <w:rPr>
          <w:rFonts w:ascii="Arial;sans-serif" w:hAnsi="Arial;sans-serif"/>
          <w:b/>
          <w:i/>
          <w:color w:val="000000"/>
          <w:sz w:val="20"/>
        </w:rPr>
        <w:t xml:space="preserve">Accumulated Other Comprehensive Income (Loss)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following table presents the changes in each component of AOCI attributable to stockholders, net of immaterial tax effect. </w:t>
      </w:r>
    </w:p>
    <w:p>
      <w:pPr>
        <w:pStyle w:val="TextBody"/>
        <w:bidi w:val="0"/>
        <w:spacing w:lineRule="auto" w:line="288" w:before="180" w:after="283"/>
        <w:ind w:left="0" w:right="0" w:firstLine="270"/>
        <w:jc w:val="left"/>
        <w:rPr>
          <w:rFonts w:ascii="Arial;sans-serif" w:hAnsi="Arial;sans-serif"/>
          <w:b w:val="false"/>
          <w:i/>
          <w:color w:val="000000"/>
          <w:sz w:val="20"/>
        </w:rPr>
      </w:pPr>
      <w:r>
        <w:rPr>
          <w:rFonts w:ascii="Arial;sans-serif" w:hAnsi="Arial;sans-serif"/>
          <w:b w:val="false"/>
          <w:i/>
          <w:color w:val="000000"/>
          <w:sz w:val="20"/>
        </w:rPr>
        <w:t>Changes in Components of AOCI—Stockholders</w:t>
      </w:r>
    </w:p>
    <w:tbl>
      <w:tblPr>
        <w:tblW w:w="9047" w:type="dxa"/>
        <w:jc w:val="left"/>
        <w:tblInd w:w="0" w:type="dxa"/>
        <w:tblLayout w:type="fixed"/>
        <w:tblCellMar>
          <w:top w:w="28" w:type="dxa"/>
          <w:left w:w="28" w:type="dxa"/>
          <w:bottom w:w="28" w:type="dxa"/>
          <w:right w:w="28" w:type="dxa"/>
        </w:tblCellMar>
      </w:tblPr>
      <w:tblGrid>
        <w:gridCol w:w="1784"/>
        <w:gridCol w:w="1570"/>
        <w:gridCol w:w="1580"/>
        <w:gridCol w:w="109"/>
        <w:gridCol w:w="109"/>
        <w:gridCol w:w="109"/>
        <w:gridCol w:w="109"/>
        <w:gridCol w:w="109"/>
        <w:gridCol w:w="109"/>
        <w:gridCol w:w="622"/>
        <w:gridCol w:w="1817"/>
        <w:gridCol w:w="321"/>
        <w:gridCol w:w="109"/>
        <w:gridCol w:w="109"/>
        <w:gridCol w:w="109"/>
        <w:gridCol w:w="109"/>
        <w:gridCol w:w="109"/>
        <w:gridCol w:w="154"/>
      </w:tblGrid>
      <w:tr>
        <w:trPr/>
        <w:tc>
          <w:tcPr>
            <w:tcW w:w="178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u w:val="single"/>
              </w:rPr>
            </w:pPr>
            <w:r>
              <w:rPr>
                <w:rFonts w:ascii="Arial;sans-serif" w:hAnsi="Arial;sans-serif"/>
                <w:b/>
                <w:color w:val="000000"/>
                <w:sz w:val="14"/>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Foreign Currency Translation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AOCI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AOCI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AOCI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AOCI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4,449 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There were no changes in the component of AOCI attributable to noncontrolling interests in investment entities for 2026 and 2025. AOCI attributable to noncontrolling interests in Operating Company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8. Noncontrolling Interests</w:t>
      </w:r>
    </w:p>
    <w:p>
      <w:pPr>
        <w:pStyle w:val="TextBody"/>
        <w:bidi w:val="0"/>
        <w:spacing w:lineRule="auto" w:line="288" w:before="180" w:after="283"/>
        <w:ind w:left="0" w:right="0" w:firstLine="270"/>
        <w:jc w:val="left"/>
        <w:rPr>
          <w:rFonts w:ascii="Arial;sans-serif" w:hAnsi="Arial;sans-serif"/>
          <w:b/>
          <w:color w:val="000000"/>
          <w:sz w:val="20"/>
        </w:rPr>
      </w:pPr>
      <w:r>
        <w:rPr>
          <w:rFonts w:ascii="Arial;sans-serif" w:hAnsi="Arial;sans-serif"/>
          <w:b/>
          <w:color w:val="000000"/>
          <w:sz w:val="20"/>
        </w:rPr>
        <w:t xml:space="preserve">Redeemable Noncontrolling Interests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following table presents the activities in redeemable noncontrolling interests in open-end funds in the liquid securities strategy consolidated by the Company. </w:t>
      </w:r>
    </w:p>
    <w:tbl>
      <w:tblPr>
        <w:tblW w:w="7514" w:type="dxa"/>
        <w:jc w:val="left"/>
        <w:tblInd w:w="0" w:type="dxa"/>
        <w:tblLayout w:type="fixed"/>
        <w:tblCellMar>
          <w:top w:w="28" w:type="dxa"/>
          <w:left w:w="28" w:type="dxa"/>
          <w:bottom w:w="28" w:type="dxa"/>
          <w:right w:w="28" w:type="dxa"/>
        </w:tblCellMar>
      </w:tblPr>
      <w:tblGrid>
        <w:gridCol w:w="1629"/>
        <w:gridCol w:w="1438"/>
        <w:gridCol w:w="1448"/>
        <w:gridCol w:w="109"/>
        <w:gridCol w:w="109"/>
        <w:gridCol w:w="109"/>
        <w:gridCol w:w="211"/>
        <w:gridCol w:w="721"/>
        <w:gridCol w:w="109"/>
        <w:gridCol w:w="109"/>
        <w:gridCol w:w="109"/>
        <w:gridCol w:w="109"/>
        <w:gridCol w:w="211"/>
        <w:gridCol w:w="721"/>
        <w:gridCol w:w="109"/>
        <w:gridCol w:w="109"/>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Contributions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paid and payable, including redemptions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left"/>
        <w:rPr>
          <w:rFonts w:ascii="Arial;sans-serif" w:hAnsi="Arial;sans-serif"/>
          <w:b/>
          <w:color w:val="000000"/>
          <w:sz w:val="20"/>
        </w:rPr>
      </w:pPr>
      <w:r>
        <w:rPr>
          <w:rFonts w:ascii="Arial;sans-serif" w:hAnsi="Arial;sans-serif"/>
          <w:b/>
          <w:color w:val="000000"/>
          <w:sz w:val="20"/>
        </w:rPr>
        <w:t>Noncontrolling Interests in Operating Company</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Certain current and former employees of the Company directly or indirectly own interests in OP, presented as noncontrolling interests in the Operating Company. Noncontrolling interests in OP have the right to require OP to redeem part or all of such member’s OP units for cash based on the market value of an equivalent number of shares of the Company's class A common stock at the time of redemption, or at the Company's election as managing member of OP, through issuance of shares of class A common stock (registered or unregistered) on a one-for-one basis. At the end of each period, noncontrolling interests in OP is adjusted to reflect their ownership percentage in OP at the end of the period, through a reallocation between controlling and noncontrolling interests in OP.</w:t>
      </w:r>
    </w:p>
    <w:p>
      <w:pPr>
        <w:pStyle w:val="TextBody"/>
        <w:bidi w:val="0"/>
        <w:spacing w:lineRule="auto" w:line="288" w:before="120" w:after="283"/>
        <w:ind w:left="0" w:right="0" w:firstLine="450"/>
        <w:jc w:val="left"/>
        <w:rPr/>
      </w:pPr>
      <w:r>
        <w:rPr>
          <w:rFonts w:ascii="Arial;sans-serif" w:hAnsi="Arial;sans-serif"/>
          <w:b w:val="false"/>
          <w:i/>
          <w:color w:val="000000"/>
          <w:sz w:val="20"/>
        </w:rPr>
        <w:t>Redemption of OP units</w:t>
      </w:r>
      <w:r>
        <w:rPr>
          <w:color w:val="000000"/>
        </w:rPr>
        <w:t>—</w:t>
      </w:r>
      <w:r>
        <w:rPr>
          <w:rFonts w:ascii="Arial;sans-serif" w:hAnsi="Arial;sans-serif"/>
          <w:b w:val="false"/>
          <w:color w:val="000000"/>
          <w:sz w:val="20"/>
        </w:rPr>
        <w:t xml:space="preserve">The Company redeemed OP units totaling 2,784,947 in the first two quarters of 2026 and 6,128,311 in fiscal year 2025 through issuance of an equal number of shares of class A common stock on a one-for-one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9. Fair Value </w:t>
      </w:r>
    </w:p>
    <w:p>
      <w:pPr>
        <w:pStyle w:val="TextBody"/>
        <w:bidi w:val="0"/>
        <w:spacing w:lineRule="auto" w:line="288" w:before="180" w:after="283"/>
        <w:jc w:val="left"/>
        <w:rPr>
          <w:rFonts w:ascii="Arial;sans-serif" w:hAnsi="Arial;sans-serif"/>
          <w:b/>
          <w:color w:val="000000"/>
          <w:sz w:val="20"/>
          <w:u w:val="single"/>
        </w:rPr>
      </w:pPr>
      <w:r>
        <w:rPr>
          <w:rFonts w:ascii="Arial;sans-serif" w:hAnsi="Arial;sans-serif"/>
          <w:b/>
          <w:color w:val="000000"/>
          <w:sz w:val="20"/>
          <w:u w:val="single"/>
        </w:rPr>
        <w:t>Recurring Fair Values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Financial assets and financial liabilities carried at fair value on a recurring basis include financial instruments for which the fair value option was elected. Fair value is categorized into a three tier hierarchy that is prioritized based upon the level of transparency in inputs used in the valuation techniques, as follows.</w:t>
      </w:r>
    </w:p>
    <w:p>
      <w:pPr>
        <w:pStyle w:val="TextBody"/>
        <w:bidi w:val="0"/>
        <w:spacing w:lineRule="auto" w:line="288" w:before="120" w:after="283"/>
        <w:ind w:left="0" w:right="0" w:firstLine="450"/>
        <w:jc w:val="left"/>
        <w:rPr/>
      </w:pPr>
      <w:r>
        <w:rPr>
          <w:rFonts w:ascii="Arial;sans-serif" w:hAnsi="Arial;sans-serif"/>
          <w:b w:val="false"/>
          <w:i/>
          <w:color w:val="000000"/>
          <w:sz w:val="20"/>
        </w:rPr>
        <w:t>Level 1</w:t>
      </w:r>
      <w:r>
        <w:rPr>
          <w:color w:val="000000"/>
        </w:rPr>
        <w:t>—</w:t>
      </w:r>
      <w:r>
        <w:rPr>
          <w:rFonts w:ascii="Arial;sans-serif" w:hAnsi="Arial;sans-serif"/>
          <w:b w:val="false"/>
          <w:color w:val="000000"/>
          <w:sz w:val="20"/>
        </w:rPr>
        <w:t xml:space="preserve">Quoted prices (unadjusted) in active markets for identical assets or liabilities. </w:t>
      </w:r>
    </w:p>
    <w:p>
      <w:pPr>
        <w:pStyle w:val="TextBody"/>
        <w:bidi w:val="0"/>
        <w:spacing w:lineRule="auto" w:line="288" w:before="120" w:after="283"/>
        <w:ind w:left="0" w:right="0" w:firstLine="450"/>
        <w:jc w:val="left"/>
        <w:rPr/>
      </w:pPr>
      <w:r>
        <w:rPr>
          <w:rFonts w:ascii="Arial;sans-serif" w:hAnsi="Arial;sans-serif"/>
          <w:b w:val="false"/>
          <w:i/>
          <w:color w:val="000000"/>
          <w:sz w:val="20"/>
        </w:rPr>
        <w:t>Level 2</w:t>
      </w:r>
      <w:r>
        <w:rPr>
          <w:color w:val="000000"/>
        </w:rPr>
        <w:t>—</w:t>
      </w:r>
      <w:r>
        <w:rPr>
          <w:rFonts w:ascii="Arial;sans-serif" w:hAnsi="Arial;sans-serif"/>
          <w:b w:val="false"/>
          <w:color w:val="000000"/>
          <w:sz w:val="20"/>
        </w:rPr>
        <w:t xml:space="preserve">Observable inputs other than Level 1 prices, such as quoted prices for similar assets or liabilities, quoted prices in non-active markets, or valuation techniques utilizing inputs that are derived principally from or corroborated by observable data directly or indirectly for substantially the full term of the financial instrument. </w:t>
      </w:r>
    </w:p>
    <w:p>
      <w:pPr>
        <w:pStyle w:val="TextBody"/>
        <w:bidi w:val="0"/>
        <w:spacing w:lineRule="auto" w:line="288" w:before="120" w:after="283"/>
        <w:ind w:left="0" w:right="0" w:firstLine="450"/>
        <w:jc w:val="left"/>
        <w:rPr/>
      </w:pPr>
      <w:r>
        <w:rPr>
          <w:rFonts w:ascii="Arial;sans-serif" w:hAnsi="Arial;sans-serif"/>
          <w:b w:val="false"/>
          <w:i/>
          <w:color w:val="000000"/>
          <w:sz w:val="20"/>
        </w:rPr>
        <w:t>Level 3</w:t>
      </w:r>
      <w:r>
        <w:rPr>
          <w:color w:val="000000"/>
        </w:rPr>
        <w:t>—</w:t>
      </w:r>
      <w:r>
        <w:rPr>
          <w:rFonts w:ascii="Arial;sans-serif" w:hAnsi="Arial;sans-serif"/>
          <w:b w:val="false"/>
          <w:color w:val="000000"/>
          <w:sz w:val="20"/>
        </w:rPr>
        <w:t xml:space="preserve">At least one assumption or input is unobservable and it is significant to the fair value measurement, requiring significant management judgment or estimate.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Where the inputs used to measure the fair value of a financial instrument falls into different levels of the fair value hierarchy, the financial instrument is categorized within the hierarchy based on the lowest level of input that is significant to its fair value measurement.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Due to the inherently judgmental nature of Level 3 fair value, changes in assumptions or inputs applied as of reporting date could result in a higher or lower fair value, and realized value may differ from the estimated unrealized fair value.</w:t>
      </w:r>
    </w:p>
    <w:tbl>
      <w:tblPr>
        <w:tblW w:w="9473" w:type="dxa"/>
        <w:jc w:val="left"/>
        <w:tblInd w:w="0" w:type="dxa"/>
        <w:tblLayout w:type="fixed"/>
        <w:tblCellMar>
          <w:top w:w="28" w:type="dxa"/>
          <w:left w:w="28" w:type="dxa"/>
          <w:bottom w:w="28" w:type="dxa"/>
          <w:right w:w="28" w:type="dxa"/>
        </w:tblCellMar>
      </w:tblPr>
      <w:tblGrid>
        <w:gridCol w:w="1658"/>
        <w:gridCol w:w="1462"/>
        <w:gridCol w:w="1469"/>
        <w:gridCol w:w="109"/>
        <w:gridCol w:w="109"/>
        <w:gridCol w:w="109"/>
        <w:gridCol w:w="257"/>
        <w:gridCol w:w="569"/>
        <w:gridCol w:w="109"/>
        <w:gridCol w:w="109"/>
        <w:gridCol w:w="109"/>
        <w:gridCol w:w="109"/>
        <w:gridCol w:w="211"/>
        <w:gridCol w:w="406"/>
        <w:gridCol w:w="109"/>
        <w:gridCol w:w="109"/>
        <w:gridCol w:w="109"/>
        <w:gridCol w:w="109"/>
        <w:gridCol w:w="281"/>
        <w:gridCol w:w="545"/>
        <w:gridCol w:w="109"/>
        <w:gridCol w:w="109"/>
        <w:gridCol w:w="109"/>
        <w:gridCol w:w="109"/>
        <w:gridCol w:w="256"/>
        <w:gridCol w:w="570"/>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 Measurement Hierarchy</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Investments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equity investments—Marketable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CLO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investments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Fair Value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 xml:space="preserve">InfraBridge contingent consideration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 xml:space="preserve">Securities of consolidated fund sold short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Investments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equity investments—Marketable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CLO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investments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Fair Value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 xml:space="preserve">InfraBridge contingent consideration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000000"/>
                <w:sz w:val="18"/>
              </w:rPr>
              <w:t xml:space="preserve">DBRG stock warrants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 xml:space="preserve">Securities of consolidated fund sold short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180"/>
        <w:jc w:val="left"/>
        <w:rPr/>
      </w:pPr>
      <w:r>
        <w:rPr>
          <w:rFonts w:ascii="Arial;sans-serif" w:hAnsi="Arial;sans-serif"/>
          <w:b w:val="false"/>
          <w:color w:val="000000"/>
          <w:sz w:val="10"/>
        </w:rPr>
        <w:t>(1)    </w:t>
      </w:r>
      <w:r>
        <w:rPr>
          <w:rFonts w:ascii="Arial;sans-serif" w:hAnsi="Arial;sans-serif"/>
          <w:b w:val="false"/>
          <w:color w:val="000000"/>
          <w:sz w:val="16"/>
        </w:rPr>
        <w:t xml:space="preserve">Represent liability-classified warrants that were out-of-the-money and expired in July 2026. Fair value of zero at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Equity Investments of Consolidated Funds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Equity investments of consolidated funds include marketable equity securities held by our liquid strategy funds and a venture investment held by a single asset fund. The marketable equity securities comprise publicly listed stocks in U.S. and Europe, primarily in the digital infrastructure, real estate, technology, media and telecommunications sectors, valued based upon listed prices in active markets, classified as Level 1. The venture investment, classified as level 3, was valued at June 30, 2026 and December 31, 2025 using a recent transacted price.</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Fair Value Option</w:t>
      </w:r>
    </w:p>
    <w:p>
      <w:pPr>
        <w:pStyle w:val="TextBody"/>
        <w:bidi w:val="0"/>
        <w:spacing w:lineRule="auto" w:line="288" w:before="120" w:after="283"/>
        <w:ind w:left="0" w:right="0" w:firstLine="270"/>
        <w:jc w:val="left"/>
        <w:rPr>
          <w:rFonts w:ascii="Arial;sans-serif" w:hAnsi="Arial;sans-serif"/>
          <w:b w:val="false"/>
          <w:i/>
          <w:color w:val="000000"/>
          <w:sz w:val="20"/>
        </w:rPr>
      </w:pPr>
      <w:r>
        <w:rPr>
          <w:rFonts w:ascii="Arial;sans-serif" w:hAnsi="Arial;sans-serif"/>
          <w:b w:val="false"/>
          <w:i/>
          <w:color w:val="000000"/>
          <w:sz w:val="20"/>
        </w:rPr>
        <w:t>Equity Method Investments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 has elected to account for a co-investment in a portfolio company as an equity method investment under the fair value option. Fair value was determined using a discounted cash flow model based upon the portfolio company's projected earnings, discounting unlevered cash flows at a weighted average cost of capital of 7.4% at June 30, 2026 and 8.2% at December 31, 2025. The fair value is classified as Level 3 of the fair value hierarchy and changes in fair value are recorded in principal investment income. </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Contingent Consideration—InfraBridge</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connection with the Company's acquisition of InfraBridge in February 2023, contingent consideration may become payable by the Company if prescribed fundraising targets are met for follow-on InfraBridge flagship funds and co-investments. The contingent consideration was measured at June 30, 2026 and December 31, 2025 by applying a probability-weighted approach to the likelihood of meeting various fundraising targets and discounting the estimated future contingent consideration payment at 6.8% and 6.6%, respectively, to derive a present value amount, classified as Level 3 of the fair value hierarchy. </w:t>
      </w:r>
    </w:p>
    <w:p>
      <w:pPr>
        <w:pStyle w:val="TextBody"/>
        <w:bidi w:val="0"/>
        <w:spacing w:lineRule="auto" w:line="288" w:before="180" w:after="283"/>
        <w:ind w:left="0" w:right="0" w:firstLine="270"/>
        <w:jc w:val="left"/>
        <w:rPr>
          <w:rFonts w:ascii="Arial;sans-serif" w:hAnsi="Arial;sans-serif"/>
          <w:b/>
          <w:color w:val="000000"/>
          <w:sz w:val="20"/>
        </w:rPr>
      </w:pPr>
      <w:r>
        <w:rPr>
          <w:rFonts w:ascii="Arial;sans-serif" w:hAnsi="Arial;sans-serif"/>
          <w:b/>
          <w:color w:val="000000"/>
          <w:sz w:val="20"/>
        </w:rPr>
        <w:t>Changes in Level 3 Fair Value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presents changes in recurring Level 3 fair value assets held for investment. Realized and unrealized gains (losses) are included in other gain (loss). </w:t>
      </w:r>
    </w:p>
    <w:tbl>
      <w:tblPr>
        <w:tblW w:w="10205" w:type="dxa"/>
        <w:jc w:val="left"/>
        <w:tblInd w:w="0" w:type="dxa"/>
        <w:tblLayout w:type="fixed"/>
        <w:tblCellMar>
          <w:top w:w="28" w:type="dxa"/>
          <w:left w:w="28" w:type="dxa"/>
          <w:bottom w:w="28" w:type="dxa"/>
          <w:right w:w="28" w:type="dxa"/>
        </w:tblCellMar>
      </w:tblPr>
      <w:tblGrid>
        <w:gridCol w:w="1238"/>
        <w:gridCol w:w="987"/>
        <w:gridCol w:w="992"/>
        <w:gridCol w:w="109"/>
        <w:gridCol w:w="109"/>
        <w:gridCol w:w="109"/>
        <w:gridCol w:w="353"/>
        <w:gridCol w:w="1384"/>
        <w:gridCol w:w="182"/>
        <w:gridCol w:w="109"/>
        <w:gridCol w:w="109"/>
        <w:gridCol w:w="109"/>
        <w:gridCol w:w="331"/>
        <w:gridCol w:w="1298"/>
        <w:gridCol w:w="171"/>
        <w:gridCol w:w="109"/>
        <w:gridCol w:w="109"/>
        <w:gridCol w:w="109"/>
        <w:gridCol w:w="109"/>
        <w:gridCol w:w="109"/>
        <w:gridCol w:w="400"/>
        <w:gridCol w:w="1196"/>
        <w:gridCol w:w="208"/>
        <w:gridCol w:w="109"/>
        <w:gridCol w:w="157"/>
      </w:tblGrid>
      <w:tr>
        <w:trPr/>
        <w:tc>
          <w:tcPr>
            <w:tcW w:w="12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3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3 Liabilities</w:t>
            </w:r>
          </w:p>
        </w:tc>
        <w:tc>
          <w:tcPr>
            <w:tcW w:w="266" w:type="dxa"/>
            <w:gridSpan w:val="2"/>
            <w:tcBorders/>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 Option - Equity Method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Equity Investments of Consolidated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Contingent Consideration</w:t>
            </w:r>
            <w:r>
              <w:rPr>
                <w:color w:val="000000"/>
              </w:rPr>
              <w:t>—</w:t>
            </w:r>
            <w:r>
              <w:rPr>
                <w:rFonts w:ascii="Arial;sans-serif" w:hAnsi="Arial;sans-serif"/>
                <w:b/>
                <w:color w:val="000000"/>
                <w:sz w:val="14"/>
              </w:rPr>
              <w:t>InfraBridge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137,154 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(6,100)</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in earnings,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140,645 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80,614 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 (loss) in earnings on instruments held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in earnings,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144,336 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121,239 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 (loss) in earnings on instruments held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20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Arial;sans-serif" w:hAnsi="Arial;sans-serif"/>
          <w:b/>
          <w:color w:val="000000"/>
          <w:sz w:val="20"/>
          <w:u w:val="single"/>
        </w:rPr>
      </w:pPr>
      <w:r>
        <w:rPr>
          <w:rFonts w:ascii="Arial;sans-serif" w:hAnsi="Arial;sans-serif"/>
          <w:b/>
          <w:color w:val="000000"/>
          <w:sz w:val="20"/>
          <w:u w:val="single"/>
        </w:rPr>
        <w:t>Nonrecurring Fair Values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 measures fair value of certain assets on a nonrecurring basis: (i) on the acquisition date for business combinations; (ii) when events or changes in circumstances indicate that the carrying value of the assets may not be recoverable or based upon availability of observable prices for equity investments under the measurement alternative; and (iii) upon deconsolidation of a subsidiary for any retained interest. Adjustments to fair value generally result from application of the lower of amortized cost or fair value for assets held for disposition or otherwise, an adjustment of asset values due to impairment or observable price changes.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There were no assets or liabilities measured at fair value on a nonrecurring basis at June 30, 2026. An equity investment accounted for under the measurement alternative was carried at its estimated fair value of $3.7 million at December 31, 2025 based upon a recent transaction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u w:val="single"/>
        </w:rPr>
      </w:pPr>
      <w:r>
        <w:rPr>
          <w:rFonts w:ascii="Arial;sans-serif" w:hAnsi="Arial;sans-serif"/>
          <w:b/>
          <w:color w:val="000000"/>
          <w:sz w:val="20"/>
          <w:u w:val="single"/>
        </w:rPr>
        <w:t>Fair Value of Financial Instruments Reported at Cost</w:t>
      </w:r>
    </w:p>
    <w:p>
      <w:pPr>
        <w:pStyle w:val="TextBody"/>
        <w:bidi w:val="0"/>
        <w:spacing w:lineRule="auto" w:line="288" w:before="1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Company's debt obligation in the form of secured fund fee revenue notes had fair values of approximately $300.0 million at June 30, 2026 and $294.8 million at December 31, 2025, estimated based upon indicative quotes.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carrying values of cash and cash equivalents, accounts receivable, due from and to affiliates, interest payable and accounts payable generally approximate fair value due to their short term nature, and credit risk, if any, is negligible.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10. Earnings per Share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basic and diluted earnings per common share computations.</w:t>
      </w:r>
    </w:p>
    <w:tbl>
      <w:tblPr>
        <w:tblW w:w="10205" w:type="dxa"/>
        <w:jc w:val="left"/>
        <w:tblInd w:w="0" w:type="dxa"/>
        <w:tblLayout w:type="fixed"/>
        <w:tblCellMar>
          <w:top w:w="28" w:type="dxa"/>
          <w:left w:w="28" w:type="dxa"/>
          <w:bottom w:w="28" w:type="dxa"/>
          <w:right w:w="28" w:type="dxa"/>
        </w:tblCellMar>
      </w:tblPr>
      <w:tblGrid>
        <w:gridCol w:w="1700"/>
        <w:gridCol w:w="1277"/>
        <w:gridCol w:w="1281"/>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56"/>
      </w:tblGrid>
      <w:tr>
        <w:trPr/>
        <w:tc>
          <w:tcPr>
            <w:tcW w:w="170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allocated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 attributable to DigitalBridge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(Loss) from discontinued operations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allocated to common stockholders—basic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Weighted average common shares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8"/>
              </w:rPr>
              <w:t>Weighted average effect of dilutive shares </w:t>
            </w:r>
            <w:r>
              <w:rPr>
                <w:rFonts w:ascii="Arial;sans-serif" w:hAnsi="Arial;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shares outstanding—diluted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per share—basic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common stockholders per common share—basic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per share—diluted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common stockholders per common share—diluted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8"/>
        </w:rPr>
        <w:t>__________</w:t>
      </w:r>
      <w:r>
        <w:rPr>
          <w:color w:val="EE2724"/>
        </w:rPr>
        <w:t xml:space="preserve"> </w:t>
      </w:r>
    </w:p>
    <w:p>
      <w:pPr>
        <w:pStyle w:val="TextBody"/>
        <w:bidi w:val="0"/>
        <w:spacing w:lineRule="auto" w:line="288" w:before="60" w:after="283"/>
        <w:ind w:left="0" w:right="0" w:hanging="270"/>
        <w:jc w:val="left"/>
        <w:rPr/>
      </w:pPr>
      <w:r>
        <w:rPr>
          <w:rFonts w:ascii="Arial;sans-serif" w:hAnsi="Arial;sans-serif"/>
          <w:b w:val="false"/>
          <w:color w:val="000000"/>
          <w:sz w:val="10"/>
        </w:rPr>
        <w:t>(1)    </w:t>
      </w:r>
      <w:r>
        <w:rPr>
          <w:rFonts w:ascii="Arial;sans-serif" w:hAnsi="Arial;sans-serif"/>
          <w:b w:val="false"/>
          <w:color w:val="000000"/>
          <w:sz w:val="16"/>
        </w:rPr>
        <w:t xml:space="preserve">The calculation of diluted earnings per share includes the weighted average effect of class A common shares and share equivalents issuable in relation to the following dilutive securities: (i) performance stock units (Note 12) of 136,470 and 34,000 for the three months ended June 30, 2026 and 2025, respectively, and 117,278 and 36,200 for the six months ended June 30, 2026 and 2025, respectively; and (ii) equity-classified DBRG stock warrants that were in-the-money of 818,048 for the three months ended June 30, 2026 (none for the three months ended June 30, 2025), and 803,166 and 39,400 for the six months ended June 30, 2026 and 2025, respectively. </w:t>
      </w:r>
    </w:p>
    <w:p>
      <w:pPr>
        <w:pStyle w:val="TextBody"/>
        <w:bidi w:val="0"/>
        <w:spacing w:lineRule="auto" w:line="288" w:before="60" w:after="283"/>
        <w:ind w:left="0" w:right="0" w:hanging="270"/>
        <w:jc w:val="left"/>
        <w:rPr/>
      </w:pPr>
      <w:r>
        <w:rPr>
          <w:rFonts w:ascii="Arial;sans-serif" w:hAnsi="Arial;sans-serif"/>
          <w:b w:val="false"/>
          <w:color w:val="000000"/>
          <w:sz w:val="10"/>
        </w:rPr>
        <w:t>(2)    </w:t>
      </w:r>
      <w:r>
        <w:rPr>
          <w:rFonts w:ascii="Arial;sans-serif" w:hAnsi="Arial;sans-serif"/>
          <w:b w:val="false"/>
          <w:color w:val="000000"/>
          <w:sz w:val="16"/>
        </w:rPr>
        <w:t>OP units may be redeemed for registered or unregistered class A common stock of the Company on a one-for-one basis and are not dilutive. At June 30, 2026 and 2025, 3,010,113 and 7,560,400 of OP units, respectively, were not included in the computation of diluted earnings per share in the respective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11. Fee Revenue</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presents the Company's fee revenue by type.</w:t>
      </w:r>
    </w:p>
    <w:tbl>
      <w:tblPr>
        <w:tblW w:w="7535" w:type="dxa"/>
        <w:jc w:val="left"/>
        <w:tblInd w:w="0" w:type="dxa"/>
        <w:tblLayout w:type="fixed"/>
        <w:tblCellMar>
          <w:top w:w="28" w:type="dxa"/>
          <w:left w:w="28" w:type="dxa"/>
          <w:bottom w:w="28" w:type="dxa"/>
          <w:right w:w="28" w:type="dxa"/>
        </w:tblCellMar>
      </w:tblPr>
      <w:tblGrid>
        <w:gridCol w:w="575"/>
        <w:gridCol w:w="506"/>
        <w:gridCol w:w="5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Arial;sans-serif" w:hAnsi="Arial;sans-serif"/>
                <w:b w:val="false"/>
                <w:color w:val="000000"/>
                <w:sz w:val="18"/>
              </w:rPr>
            </w:pPr>
            <w:r>
              <w:rPr>
                <w:rFonts w:ascii="Arial;sans-serif" w:hAnsi="Arial;sans-serif"/>
                <w:b w:val="false"/>
                <w:color w:val="000000"/>
                <w:sz w:val="18"/>
              </w:rPr>
              <w:t>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Arial;sans-serif" w:hAnsi="Arial;sans-serif"/>
                <w:b w:val="false"/>
                <w:color w:val="000000"/>
                <w:sz w:val="18"/>
              </w:rPr>
            </w:pPr>
            <w:r>
              <w:rPr>
                <w:rFonts w:ascii="Arial;sans-serif" w:hAnsi="Arial;sans-serif"/>
                <w:b w:val="false"/>
                <w:color w:val="000000"/>
                <w:sz w:val="18"/>
              </w:rPr>
              <w:t>Incentive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Arial;sans-serif" w:hAnsi="Arial;sans-serif"/>
                <w:b w:val="false"/>
                <w:color w:val="000000"/>
                <w:sz w:val="18"/>
              </w:rPr>
            </w:pPr>
            <w:r>
              <w:rPr>
                <w:rFonts w:ascii="Arial;sans-serif" w:hAnsi="Arial;sans-serif"/>
                <w:b w:val="false"/>
                <w:color w:val="000000"/>
                <w:sz w:val="18"/>
              </w:rPr>
              <w:t>Other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fee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ind w:left="0" w:right="0" w:firstLine="450"/>
        <w:jc w:val="left"/>
        <w:rPr/>
      </w:pPr>
      <w:r>
        <w:rPr>
          <w:rFonts w:ascii="Arial;sans-serif" w:hAnsi="Arial;sans-serif"/>
          <w:b w:val="false"/>
          <w:i/>
          <w:color w:val="000000"/>
          <w:sz w:val="20"/>
        </w:rPr>
        <w:t>Management Fees</w:t>
      </w:r>
      <w:r>
        <w:rPr>
          <w:color w:val="000000"/>
        </w:rPr>
        <w:t>—</w:t>
      </w:r>
      <w:r>
        <w:rPr>
          <w:rFonts w:ascii="Arial;sans-serif" w:hAnsi="Arial;sans-serif"/>
          <w:b w:val="false"/>
          <w:color w:val="000000"/>
          <w:sz w:val="20"/>
        </w:rPr>
        <w:t>Management fees are generally calculated based upon the following per annum contractual rates:</w:t>
      </w:r>
    </w:p>
    <w:p>
      <w:pPr>
        <w:pStyle w:val="TextBody"/>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Commingled equity funds—up to 1.60% of investors' committed capital during the commitment period, and thereafter, invested capital (subject to certain reductions for NAV write-downs); </w:t>
      </w:r>
    </w:p>
    <w:p>
      <w:pPr>
        <w:pStyle w:val="TextBody"/>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Credit and other equity funds—up to 2.00% of contributed or invested capital from inception; </w:t>
      </w:r>
    </w:p>
    <w:p>
      <w:pPr>
        <w:pStyle w:val="TextBody"/>
        <w:bidi w:val="0"/>
        <w:spacing w:lineRule="auto" w:line="288" w:before="0" w:after="60"/>
        <w:ind w:left="0" w:right="0" w:hanging="180"/>
        <w:jc w:val="left"/>
        <w:rPr/>
      </w:pPr>
      <w:r>
        <w:rPr>
          <w:color w:val="000000"/>
        </w:rPr>
        <w:t>•</w:t>
      </w:r>
      <w:r>
        <w:rPr>
          <w:rFonts w:ascii="Arial;sans-serif" w:hAnsi="Arial;sans-serif"/>
          <w:b w:val="false"/>
          <w:color w:val="000000"/>
          <w:sz w:val="20"/>
        </w:rPr>
        <w:t>Co-investment vehicles—up to 1.25% of contributed or invested capital from inception; and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 xml:space="preserve">Liquid strategy funds and InfraBridge co-investment vehicles—up to 1.50% of NAV or gross asset value, respectively. </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Also, co-investment vehicles may charge a one-time fee upfront on committed or invested capital, generally to be paid in tranches, but with recognition of fee revenue over the expected investment holding period. Certain co-investment vehicles may be non fee-bearing.</w:t>
      </w:r>
    </w:p>
    <w:p>
      <w:pPr>
        <w:pStyle w:val="TextBody"/>
        <w:bidi w:val="0"/>
        <w:spacing w:lineRule="auto" w:line="288" w:before="180" w:after="283"/>
        <w:ind w:left="0" w:right="0" w:firstLine="450"/>
        <w:jc w:val="left"/>
        <w:rPr/>
      </w:pPr>
      <w:r>
        <w:rPr>
          <w:rFonts w:ascii="Arial;sans-serif" w:hAnsi="Arial;sans-serif"/>
          <w:b w:val="false"/>
          <w:i/>
          <w:color w:val="000000"/>
          <w:sz w:val="20"/>
        </w:rPr>
        <w:t>Incentive Fees</w:t>
      </w:r>
      <w:r>
        <w:rPr>
          <w:color w:val="000000"/>
        </w:rPr>
        <w:t>—</w:t>
      </w:r>
      <w:r>
        <w:rPr>
          <w:rFonts w:ascii="Arial;sans-serif" w:hAnsi="Arial;sans-serif"/>
          <w:b w:val="false"/>
          <w:color w:val="000000"/>
          <w:sz w:val="20"/>
        </w:rPr>
        <w:t xml:space="preserve">The Company is entitled to incentive fees from sub-advisory accounts in its liquid securities strategy. Incentive fees are determined based upon the performance of the respective accounts, subject to the achievement of specified return thresholds in accordance with the terms set out in their respective governing agreements. A portion of incentive fees earned by the Company is allocable to certain employees and former employees, included in carried interest and incentive fee compensation expense. </w:t>
      </w:r>
    </w:p>
    <w:p>
      <w:pPr>
        <w:pStyle w:val="TextBody"/>
        <w:bidi w:val="0"/>
        <w:spacing w:lineRule="auto" w:line="288" w:before="120" w:after="283"/>
        <w:ind w:left="0" w:right="0" w:firstLine="450"/>
        <w:jc w:val="left"/>
        <w:rPr/>
      </w:pPr>
      <w:r>
        <w:rPr>
          <w:rFonts w:ascii="Arial;sans-serif" w:hAnsi="Arial;sans-serif"/>
          <w:b w:val="false"/>
          <w:i/>
          <w:color w:val="000000"/>
          <w:sz w:val="20"/>
        </w:rPr>
        <w:t>Other Fee Revenue</w:t>
      </w:r>
      <w:r>
        <w:rPr>
          <w:color w:val="000000"/>
        </w:rPr>
        <w:t>—</w:t>
      </w:r>
      <w:r>
        <w:rPr>
          <w:rFonts w:ascii="Arial;sans-serif" w:hAnsi="Arial;sans-serif"/>
          <w:b w:val="false"/>
          <w:color w:val="000000"/>
          <w:sz w:val="20"/>
        </w:rPr>
        <w:t xml:space="preserve">Other fees include advisory fees and investment origination fees from co-investors, which are non-recurring, and to a lesser extent, service fees for information technology, facilities and operational support provided to certain portfolio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12. Equity-Based Compensation</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Company's 2024 Omnibus Stock Incentive Plan, as amended on May 28, 2026 (the "2024 Equity Incentive Plan"), provides for the grant of restricted stock, performance stock units ("PSUs"), Long Term Incentive Plan ("LTIP") units, restricted stock units ("RSUs"), deferred stock units ("DSUs"), options, warrants or rights to purchase shares of the Company's common stock, cash incentives and other equity-based awards to the Company's officers, directors (including non-employee directors), employees, co-employees, consultants or advisors of the Company or of any parent or subsidiary who provides services to the Company, but excluding employees of portfolio companies. Shares reserved for the issuance of awards under the 2024 Equity Incentive Plan are subject to equitable adjustment upon the occurrence of certain corporate events. The 2024 Equity Incentive Plan provides for the issuance of up to 11.5 million shares of class A common stock. </w:t>
      </w:r>
    </w:p>
    <w:p>
      <w:pPr>
        <w:pStyle w:val="TextBody"/>
        <w:bidi w:val="0"/>
        <w:spacing w:lineRule="auto" w:line="288" w:before="120" w:after="283"/>
        <w:ind w:left="0" w:right="0" w:firstLine="450"/>
        <w:jc w:val="left"/>
        <w:rPr/>
      </w:pPr>
      <w:r>
        <w:rPr>
          <w:rFonts w:ascii="Arial;sans-serif" w:hAnsi="Arial;sans-serif"/>
          <w:b w:val="false"/>
          <w:i/>
          <w:color w:val="000000"/>
          <w:sz w:val="20"/>
        </w:rPr>
        <w:t>Restricted Stock</w:t>
      </w:r>
      <w:r>
        <w:rPr>
          <w:color w:val="000000"/>
        </w:rPr>
        <w:t>—</w:t>
      </w:r>
      <w:r>
        <w:rPr>
          <w:rFonts w:ascii="Arial;sans-serif" w:hAnsi="Arial;sans-serif"/>
          <w:b w:val="false"/>
          <w:color w:val="000000"/>
          <w:sz w:val="20"/>
        </w:rPr>
        <w:t xml:space="preserve">Restricted stock awards in the Company's class A common stock are granted to senior executives, directors and certain employees, subject to a service condition or a combination of both a service and performance condition, generally with annual time-based vesting in equal tranches over a three-year period, or for certain awards, a two-year cliff vesting. Vesting of performance-based restricted stock awards occur upon achievement of certain Company-specific metrics over a specified performance measurement period. Restricted stock is entitled to dividends declared and paid on the Company's class A common stock and such dividends are not forfeitable prior to vesting of the award. Restricted stock awards are valued based upon the Company's class A common stock price on grant date and equity-based compensation expense is recognized on a straight-line basis over the requisite service period. </w:t>
      </w:r>
    </w:p>
    <w:p>
      <w:pPr>
        <w:pStyle w:val="TextBody"/>
        <w:bidi w:val="0"/>
        <w:spacing w:lineRule="auto" w:line="288" w:before="120" w:after="283"/>
        <w:ind w:left="0" w:right="0" w:firstLine="450"/>
        <w:jc w:val="left"/>
        <w:rPr/>
      </w:pPr>
      <w:r>
        <w:rPr>
          <w:rFonts w:ascii="Arial;sans-serif" w:hAnsi="Arial;sans-serif"/>
          <w:b w:val="false"/>
          <w:i/>
          <w:color w:val="000000"/>
          <w:sz w:val="20"/>
        </w:rPr>
        <w:t>Restricted Stock Units</w:t>
      </w:r>
      <w:r>
        <w:rPr>
          <w:color w:val="000000"/>
        </w:rPr>
        <w:t>—</w:t>
      </w:r>
      <w:r>
        <w:rPr>
          <w:rFonts w:ascii="Arial;sans-serif" w:hAnsi="Arial;sans-serif"/>
          <w:b w:val="false"/>
          <w:color w:val="000000"/>
          <w:sz w:val="20"/>
        </w:rPr>
        <w:t xml:space="preserve">RSUs in the Company's class A common stock are subject to a service condition or a combination of service and performance conditions. RSUs with only a service condition vest over a two-year period. Vesting of performance-based RSUs are dependent upon achievement of a business performance metric over an annual measurement period, with annual time-based vesting in equal tranches over a three-year period. Only vested RSUs are entitled to accrued dividends declared and paid on the Company's class A common stock during the time period the RSUs are outstanding. RSUs are initially valued based upon the Company's class A common stock price on grant date and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subsequently remeasured for equity-classified awards. Equity-based compensation expense is recognized over the vesting period if and when it is probable that the performance condition will be met, subject to reversal if no longer probable.</w:t>
      </w:r>
    </w:p>
    <w:p>
      <w:pPr>
        <w:pStyle w:val="TextBody"/>
        <w:bidi w:val="0"/>
        <w:spacing w:lineRule="auto" w:line="288" w:before="120" w:after="283"/>
        <w:ind w:left="0" w:right="0" w:firstLine="450"/>
        <w:jc w:val="left"/>
        <w:rPr/>
      </w:pPr>
      <w:r>
        <w:rPr>
          <w:rFonts w:ascii="Arial;sans-serif" w:hAnsi="Arial;sans-serif"/>
          <w:b w:val="false"/>
          <w:i/>
          <w:color w:val="000000"/>
          <w:sz w:val="20"/>
        </w:rPr>
        <w:t>Performance Stock Units</w:t>
      </w:r>
      <w:r>
        <w:rPr>
          <w:color w:val="000000"/>
        </w:rPr>
        <w:t>—</w:t>
      </w:r>
      <w:r>
        <w:rPr>
          <w:rFonts w:ascii="Arial;sans-serif" w:hAnsi="Arial;sans-serif"/>
          <w:b w:val="false"/>
          <w:color w:val="000000"/>
          <w:sz w:val="20"/>
        </w:rPr>
        <w:t xml:space="preserve">PSUs are granted to the Company's officers, and are subject to a service condition and performance condition.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Following the end of the measurement period, the recipients of PSUs who remain employed will vest in, and be issued a number of shares of the Company's class A common stock, generally ranging from 0% to 200% of the number of PSUs granted. PSUs have a performance condition in which vesting is determined based upon achievement of prescribed targets for three-year cumulative distributable earnings per share (as defined in the award agreements), with a relative total shareholder return metric applied thereafter to determine the final number of shares vested. The relative total shareholder return metric is based upon performance of the Company's class A common stock over a three-year measurement period relative to a specified peer group.</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Recipients of PSUs whose employment is terminated after the first anniversary of their PSU grant are eligible to vest in a portion of the PSU award following the end of the measurement period based upon the final number of shares vested for that award. PSUs also contain dividend equivalent rights which entitle the recipients to a payment equal to the amount of dividends that would have been paid on the shares that are ultimately issued at the end of the measurement period.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fair value of PSUs consider the probability of achieving the cumulative distributable earnings per share targets and additionally, assign a value to the relative total shareholder return metric using a Monte Carlo simulation under a risk-neutral premise by applying the following assumptions.</w:t>
      </w:r>
    </w:p>
    <w:tbl>
      <w:tblPr>
        <w:tblW w:w="6670" w:type="dxa"/>
        <w:jc w:val="left"/>
        <w:tblInd w:w="0" w:type="dxa"/>
        <w:tblLayout w:type="fixed"/>
        <w:tblCellMar>
          <w:top w:w="28" w:type="dxa"/>
          <w:left w:w="28" w:type="dxa"/>
          <w:bottom w:w="28" w:type="dxa"/>
          <w:right w:w="28" w:type="dxa"/>
        </w:tblCellMar>
      </w:tblPr>
      <w:tblGrid>
        <w:gridCol w:w="1846"/>
        <w:gridCol w:w="1624"/>
        <w:gridCol w:w="1629"/>
        <w:gridCol w:w="109"/>
        <w:gridCol w:w="109"/>
        <w:gridCol w:w="109"/>
        <w:gridCol w:w="363"/>
        <w:gridCol w:w="363"/>
        <w:gridCol w:w="518"/>
      </w:tblGrid>
      <w:tr>
        <w:trPr/>
        <w:tc>
          <w:tcPr>
            <w:tcW w:w="184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PSU Grants</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Expected volatility of the Company's class A common stock</w:t>
            </w:r>
            <w:r>
              <w:rPr>
                <w:color w:val="000000"/>
              </w:rPr>
              <w:t xml:space="preserve">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49.8%</w:t>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Risk-free rate (per annum)</w:t>
            </w:r>
            <w:r>
              <w:rPr>
                <w:color w:val="000000"/>
              </w:rPr>
              <w:t xml:space="preserv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180"/>
        <w:jc w:val="left"/>
        <w:rPr/>
      </w:pPr>
      <w:r>
        <w:rPr>
          <w:rFonts w:ascii="Arial;sans-serif" w:hAnsi="Arial;sans-serif"/>
          <w:b w:val="false"/>
          <w:color w:val="000000"/>
          <w:sz w:val="10"/>
        </w:rPr>
        <w:t>(1)    </w:t>
      </w:r>
      <w:r>
        <w:rPr>
          <w:rFonts w:ascii="Arial;sans-serif" w:hAnsi="Arial;sans-serif"/>
          <w:b w:val="false"/>
          <w:color w:val="000000"/>
          <w:sz w:val="16"/>
        </w:rPr>
        <w:t>Based upon historical volatility of the Company's stock and those of a specified peer group.</w:t>
      </w:r>
    </w:p>
    <w:p>
      <w:pPr>
        <w:pStyle w:val="TextBody"/>
        <w:bidi w:val="0"/>
        <w:spacing w:lineRule="auto" w:line="288" w:before="60" w:after="283"/>
        <w:ind w:left="0" w:right="0" w:hanging="180"/>
        <w:jc w:val="left"/>
        <w:rPr/>
      </w:pPr>
      <w:r>
        <w:rPr>
          <w:rFonts w:ascii="Arial;sans-serif" w:hAnsi="Arial;sans-serif"/>
          <w:b w:val="false"/>
          <w:color w:val="000000"/>
          <w:sz w:val="10"/>
        </w:rPr>
        <w:t>(2)</w:t>
      </w:r>
      <w:r>
        <w:rPr>
          <w:color w:val="000000"/>
        </w:rPr>
        <w:t>    </w:t>
      </w:r>
      <w:r>
        <w:rPr>
          <w:rFonts w:ascii="Arial;sans-serif" w:hAnsi="Arial;sans-serif"/>
          <w:b w:val="false"/>
          <w:color w:val="000000"/>
          <w:sz w:val="16"/>
        </w:rPr>
        <w:t>Based upon the continuously compounded zero-coupon U.S. Treasury yield for the term coinciding with the measurement period of the award as of valuation date.</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Fair value of PSU awards is recognized on a straight-line basis over their measurement period as compensation expense. With respect to performance condition awards, expense recognition occurs only if and when it is probable that the cumulative distributable earnings per share targets will be achieved and subject to reversal if no longer probable. In contrast, expense recognized on market condition awards is not subject to reversal even if the total shareholder return metric is not achieved.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dividend equivalent right is accounted for as a liability-classified award. The fair value of the dividend equivalent right is recognized as compensation expense on a straight-line basis over the measurement period, and is subject to adjustment to fair value at each reporting period. </w:t>
      </w:r>
    </w:p>
    <w:p>
      <w:pPr>
        <w:pStyle w:val="TextBody"/>
        <w:bidi w:val="0"/>
        <w:spacing w:lineRule="auto" w:line="288" w:before="120" w:after="283"/>
        <w:ind w:left="0" w:right="0" w:firstLine="450"/>
        <w:jc w:val="left"/>
        <w:rPr/>
      </w:pPr>
      <w:r>
        <w:rPr>
          <w:rFonts w:ascii="Arial;sans-serif" w:hAnsi="Arial;sans-serif"/>
          <w:b w:val="false"/>
          <w:i/>
          <w:color w:val="000000"/>
          <w:sz w:val="20"/>
        </w:rPr>
        <w:t>LTIP units</w:t>
      </w:r>
      <w:r>
        <w:rPr>
          <w:color w:val="000000"/>
        </w:rPr>
        <w:t>—</w:t>
      </w:r>
      <w:r>
        <w:rPr>
          <w:rFonts w:ascii="Arial;sans-serif" w:hAnsi="Arial;sans-serif"/>
          <w:b w:val="false"/>
          <w:color w:val="000000"/>
          <w:sz w:val="20"/>
        </w:rPr>
        <w:t xml:space="preserve">LTIP units are units in the Operating Company that are designated as profits interests for federal income tax purposes. Unvested LTIP units that are subject to a market condition do not accrue distributions. Each vested LTIP unit is convertible, at the election of the holder (subject to capital account limitation), into one common OP unit and upon conversion, subject to the redemption terms of OP units (Note 7).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LTIP units issued have both a service condition and a market condition based upon the Company's class A common stock achieving a target price over a predetermined measurement period, subject to continuous employment to the time of vesting, and valued using a Monte Carlo simulation. No LTIP awards were issued in all periods presented.</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Equity-based compensation cost on LTIP units is recognized on a straight-line basis over the derived service period, irrespective of whether the market condition is satisfied. The derived service period is a service period that is inferred from the application of the simulation technique used in the valuation of the award, and represents the median of the terms in the simulation in which the market condition is satisfied. </w:t>
      </w:r>
    </w:p>
    <w:p>
      <w:pPr>
        <w:pStyle w:val="TextBody"/>
        <w:bidi w:val="0"/>
        <w:spacing w:lineRule="auto" w:line="288" w:before="120" w:after="283"/>
        <w:ind w:left="0" w:right="0" w:firstLine="450"/>
        <w:jc w:val="left"/>
        <w:rPr/>
      </w:pPr>
      <w:r>
        <w:rPr>
          <w:rFonts w:ascii="Arial;sans-serif" w:hAnsi="Arial;sans-serif"/>
          <w:b w:val="false"/>
          <w:i/>
          <w:color w:val="000000"/>
          <w:sz w:val="20"/>
        </w:rPr>
        <w:t>Deferred Stock Units</w:t>
      </w:r>
      <w:r>
        <w:rPr>
          <w:color w:val="000000"/>
        </w:rPr>
        <w:t>—</w:t>
      </w:r>
      <w:r>
        <w:rPr>
          <w:rFonts w:ascii="Arial;sans-serif" w:hAnsi="Arial;sans-serif"/>
          <w:b w:val="false"/>
          <w:color w:val="000000"/>
          <w:sz w:val="20"/>
        </w:rPr>
        <w:t xml:space="preserve">Certain non-employee directors may elect to defer the receipt of annual base fees and/or restricted stock awards, and in lieu, receive awards of DSUs. DSUs awarded in lieu of annual base fees are fully vested on their grant date, while DSUs awarded in lieu of restricted stock awards vest one year from their grant date. DSUs are entitled to a dividend equivalent, in the form of additional DSUs based on dividends declared and paid on the Company's class A common stock, subject to the same restrictions and vesting conditions, where applicable. Upon separation of service from the Company, vested DSUs will be settled in shares of the Company’s class A common stock. Fair value of DSUs are determined based upon the price of the Company's class A common stock on grant date and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immediately if fully vested upon grant, or on a straight-line basis over the vesting period as equity based compensation expense and equity.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Equity-based compensation cost is presented on the consolidated statement of operations, as follows.</w:t>
      </w:r>
    </w:p>
    <w:tbl>
      <w:tblPr>
        <w:tblW w:w="7745" w:type="dxa"/>
        <w:jc w:val="left"/>
        <w:tblInd w:w="0" w:type="dxa"/>
        <w:tblLayout w:type="fixed"/>
        <w:tblCellMar>
          <w:top w:w="28" w:type="dxa"/>
          <w:left w:w="28" w:type="dxa"/>
          <w:bottom w:w="28" w:type="dxa"/>
          <w:right w:w="28" w:type="dxa"/>
        </w:tblCellMar>
      </w:tblPr>
      <w:tblGrid>
        <w:gridCol w:w="764"/>
        <w:gridCol w:w="672"/>
        <w:gridCol w:w="67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Arial;sans-serif" w:hAnsi="Arial;sans-serif"/>
          <w:b w:val="false"/>
          <w:color w:val="000000"/>
          <w:sz w:val="20"/>
        </w:rPr>
      </w:pPr>
      <w:r>
        <w:rPr>
          <w:rFonts w:ascii="Arial;sans-serif" w:hAnsi="Arial;sans-serif"/>
          <w:b w:val="false"/>
          <w:color w:val="000000"/>
          <w:sz w:val="20"/>
        </w:rPr>
        <w:t>Changes in unvested equity awards are summarized below.</w:t>
      </w:r>
    </w:p>
    <w:tbl>
      <w:tblPr>
        <w:tblW w:w="11111" w:type="dxa"/>
        <w:jc w:val="left"/>
        <w:tblInd w:w="0" w:type="dxa"/>
        <w:tblLayout w:type="fixed"/>
        <w:tblCellMar>
          <w:top w:w="28" w:type="dxa"/>
          <w:left w:w="28" w:type="dxa"/>
          <w:bottom w:w="28" w:type="dxa"/>
          <w:right w:w="28" w:type="dxa"/>
        </w:tblCellMar>
      </w:tblPr>
      <w:tblGrid>
        <w:gridCol w:w="386"/>
        <w:gridCol w:w="339"/>
        <w:gridCol w:w="341"/>
        <w:gridCol w:w="109"/>
        <w:gridCol w:w="109"/>
        <w:gridCol w:w="109"/>
        <w:gridCol w:w="442"/>
        <w:gridCol w:w="444"/>
        <w:gridCol w:w="256"/>
        <w:gridCol w:w="109"/>
        <w:gridCol w:w="109"/>
        <w:gridCol w:w="109"/>
        <w:gridCol w:w="368"/>
        <w:gridCol w:w="368"/>
        <w:gridCol w:w="141"/>
        <w:gridCol w:w="109"/>
        <w:gridCol w:w="109"/>
        <w:gridCol w:w="109"/>
        <w:gridCol w:w="330"/>
        <w:gridCol w:w="331"/>
        <w:gridCol w:w="151"/>
        <w:gridCol w:w="109"/>
        <w:gridCol w:w="109"/>
        <w:gridCol w:w="109"/>
        <w:gridCol w:w="375"/>
        <w:gridCol w:w="376"/>
        <w:gridCol w:w="151"/>
        <w:gridCol w:w="109"/>
        <w:gridCol w:w="109"/>
        <w:gridCol w:w="109"/>
        <w:gridCol w:w="375"/>
        <w:gridCol w:w="376"/>
        <w:gridCol w:w="151"/>
        <w:gridCol w:w="109"/>
        <w:gridCol w:w="109"/>
        <w:gridCol w:w="109"/>
        <w:gridCol w:w="442"/>
        <w:gridCol w:w="444"/>
        <w:gridCol w:w="141"/>
        <w:gridCol w:w="109"/>
        <w:gridCol w:w="109"/>
        <w:gridCol w:w="109"/>
        <w:gridCol w:w="196"/>
        <w:gridCol w:w="556"/>
        <w:gridCol w:w="109"/>
        <w:gridCol w:w="109"/>
        <w:gridCol w:w="109"/>
        <w:gridCol w:w="109"/>
        <w:gridCol w:w="196"/>
        <w:gridCol w:w="556"/>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Weighted Average </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Grant Date Fair Value</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LTIP units </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RSUs </w:t>
            </w:r>
            <w:r>
              <w:rPr>
                <w:rFonts w:ascii="Arial;sans-serif" w:hAnsi="Arial;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PSUs </w:t>
            </w:r>
            <w:r>
              <w:rPr>
                <w:rFonts w:ascii="Arial;sans-serif" w:hAnsi="Arial;sans-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 Awards</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Unvested shares and units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4,045,582 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45,894 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659,992 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931,484 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5,807,952 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1,895,846 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1,929,702 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(1,784,808)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(46,180)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(256,024)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(2,087,012)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(424,954)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Unvested shares and units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4,128,928 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403,968 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534,222 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5,225,688 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180"/>
        <w:jc w:val="left"/>
        <w:rPr/>
      </w:pPr>
      <w:r>
        <w:rPr>
          <w:rFonts w:ascii="Arial;sans-serif" w:hAnsi="Arial;sans-serif"/>
          <w:b w:val="false"/>
          <w:color w:val="000000"/>
          <w:sz w:val="10"/>
        </w:rPr>
        <w:t>(1)    </w:t>
      </w:r>
      <w:r>
        <w:rPr>
          <w:rFonts w:ascii="Arial;sans-serif" w:hAnsi="Arial;sans-serif"/>
          <w:b w:val="false"/>
          <w:color w:val="000000"/>
          <w:sz w:val="16"/>
        </w:rPr>
        <w:t xml:space="preserve">LTIP units that do not meet their market condition for vesting at the end of their measurement period are reflected as forfeitures. </w:t>
      </w:r>
    </w:p>
    <w:p>
      <w:pPr>
        <w:pStyle w:val="TextBody"/>
        <w:bidi w:val="0"/>
        <w:spacing w:lineRule="auto" w:line="288" w:before="60" w:after="283"/>
        <w:ind w:left="0" w:right="0" w:hanging="180"/>
        <w:jc w:val="left"/>
        <w:rPr/>
      </w:pPr>
      <w:r>
        <w:rPr>
          <w:rFonts w:ascii="Arial;sans-serif" w:hAnsi="Arial;sans-serif"/>
          <w:b w:val="false"/>
          <w:color w:val="000000"/>
          <w:sz w:val="10"/>
        </w:rPr>
        <w:t>(2    </w:t>
      </w:r>
      <w:r>
        <w:rPr>
          <w:rFonts w:ascii="Arial;sans-serif" w:hAnsi="Arial;sans-serif"/>
          <w:b w:val="false"/>
          <w:color w:val="000000"/>
          <w:sz w:val="16"/>
        </w:rPr>
        <w:t xml:space="preserve">RSUs that do not meet their performance condition for vesting at the end of their measurement period are reflected as forfeitures. </w:t>
      </w:r>
    </w:p>
    <w:p>
      <w:pPr>
        <w:pStyle w:val="TextBody"/>
        <w:bidi w:val="0"/>
        <w:spacing w:lineRule="auto" w:line="288" w:before="60" w:after="283"/>
        <w:ind w:left="0" w:right="0" w:hanging="180"/>
        <w:jc w:val="left"/>
        <w:rPr/>
      </w:pPr>
      <w:r>
        <w:rPr>
          <w:rFonts w:ascii="Arial;sans-serif" w:hAnsi="Arial;sans-serif"/>
          <w:b w:val="false"/>
          <w:color w:val="000000"/>
          <w:sz w:val="10"/>
        </w:rPr>
        <w:t>(3)    </w:t>
      </w:r>
      <w:r>
        <w:rPr>
          <w:rFonts w:ascii="Arial;sans-serif" w:hAnsi="Arial;sans-serif"/>
          <w:b w:val="false"/>
          <w:color w:val="000000"/>
          <w:sz w:val="16"/>
        </w:rPr>
        <w:t xml:space="preserve">Number of PSUs granted does not reflect potential increases or decreases that could result from the final outcome based upon the total shareholder return measured at the end of the performance period. PSUs for which the probability of meeting the distributable earnings target changes during the measurement period are reflected as either additional units granted or forfeited. Forfeiture also reflects PSUs issued in 2023 that had a market condition based upon total shareholder return that was not met upon expiration of its measurement period in March 2026.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Fair value of equity awards that vested, determined based upon their respective fair values at vesting date, totaled $3.9 million and $1.8 million for the three months ended June 30, 2026 and 2025, respectively, and $32.2 million and $17.0 million for the six months ended June 30, 2026 and 2025, respectively.</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June 30, 2026, aggregate unrecognized compensation cost for all unvested equity awards was $44.0 million, which is expected to be recognized over a weighted average period of 2.2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13. Variable Interest Entities</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Company-Sponsored Funds</w:t>
      </w:r>
    </w:p>
    <w:p>
      <w:pPr>
        <w:pStyle w:val="TextBody"/>
        <w:bidi w:val="0"/>
        <w:spacing w:lineRule="auto" w:line="288" w:before="120" w:after="283"/>
        <w:ind w:left="0" w:right="0" w:firstLine="450"/>
        <w:jc w:val="left"/>
        <w:rPr/>
      </w:pPr>
      <w:r>
        <w:rPr>
          <w:rFonts w:ascii="Arial;sans-serif" w:hAnsi="Arial;sans-serif"/>
          <w:b w:val="false"/>
          <w:i/>
          <w:color w:val="000000"/>
          <w:sz w:val="20"/>
        </w:rPr>
        <w:t>Consolidated Company-Sponsored Funds</w:t>
      </w:r>
      <w:r>
        <w:rPr>
          <w:color w:val="000000"/>
        </w:rPr>
        <w:t>—</w:t>
      </w:r>
      <w:r>
        <w:rPr>
          <w:rFonts w:ascii="Arial;sans-serif" w:hAnsi="Arial;sans-serif"/>
          <w:b w:val="false"/>
          <w:color w:val="000000"/>
          <w:sz w:val="20"/>
        </w:rPr>
        <w:t>The Company currently consolidates sponsored funds in which it has more than an insignificant equity interest in the fund as general partner. As a result, the Company is considered to be acting in the capacity of a principal of the sponsored fund and is therefore the primary beneficiary of the fund. The Company’s exposure is limited to its capital account balance in the consolidated funds of $106.3 million at June 30, 2026 and $104.6 million at December 31, 2025. The liabilities of the consolidated funds may only be settled using assets of the consolidated funds, and the Company, as general partner, is not obligated to provide any financial support to the consolidated funds. The Company does not have unfunded commitments to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presents the assets and liabilities of the consolidated funds:</w:t>
      </w:r>
    </w:p>
    <w:tbl>
      <w:tblPr>
        <w:tblW w:w="5519" w:type="dxa"/>
        <w:jc w:val="left"/>
        <w:tblInd w:w="0" w:type="dxa"/>
        <w:tblLayout w:type="fixed"/>
        <w:tblCellMar>
          <w:top w:w="28" w:type="dxa"/>
          <w:left w:w="28" w:type="dxa"/>
          <w:bottom w:w="28" w:type="dxa"/>
          <w:right w:w="28" w:type="dxa"/>
        </w:tblCellMar>
      </w:tblPr>
      <w:tblGrid>
        <w:gridCol w:w="845"/>
        <w:gridCol w:w="744"/>
        <w:gridCol w:w="751"/>
        <w:gridCol w:w="109"/>
        <w:gridCol w:w="109"/>
        <w:gridCol w:w="109"/>
        <w:gridCol w:w="211"/>
        <w:gridCol w:w="826"/>
        <w:gridCol w:w="109"/>
        <w:gridCol w:w="109"/>
        <w:gridCol w:w="109"/>
        <w:gridCol w:w="109"/>
        <w:gridCol w:w="244"/>
        <w:gridCol w:w="957"/>
        <w:gridCol w:w="178"/>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u w:val="single"/>
              </w:rPr>
            </w:pPr>
            <w:r>
              <w:rPr>
                <w:rFonts w:ascii="Arial;sans-serif" w:hAnsi="Arial;sans-serif"/>
                <w:b/>
                <w:i/>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Investments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236,340 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325,594 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sold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74,287 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to custodian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88,026 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pPr>
      <w:r>
        <w:rPr>
          <w:rFonts w:ascii="Arial;sans-serif" w:hAnsi="Arial;sans-serif"/>
          <w:b w:val="false"/>
          <w:i/>
          <w:color w:val="000000"/>
          <w:sz w:val="20"/>
        </w:rPr>
        <w:t>Unconsolidated Company-Sponsored Funds</w:t>
      </w:r>
      <w:r>
        <w:rPr>
          <w:color w:val="000000"/>
        </w:rPr>
        <w:t>—</w:t>
      </w:r>
      <w:r>
        <w:rPr>
          <w:rFonts w:ascii="Arial;sans-serif" w:hAnsi="Arial;sans-serif"/>
          <w:b w:val="false"/>
          <w:color w:val="000000"/>
          <w:sz w:val="20"/>
        </w:rPr>
        <w:t xml:space="preserve">The Company does not consolidate its sponsored funds where it has insignificant equity interests in these funds as general partner. As such interests absorb insignificant variability from the fund, the Company is considered to be acting in the capacity of an agent of the fund and is therefore not the primary beneficiary of these funds. The Company accounts for its equity interests in unconsolidated funds under the equity method. The Company's maximum exposure to loss is limited to: (i) the amounts funded, net of return of capital, for investments in unconsolidated funds plus any carried interest clawback obligations (Note 3) totaling $799.1 million at June 30, 2026 and $823.6 million at December 31, 2025; and (ii) receivables from its unconsolidated funds for fee revenue and reimbursable or recoverable costs, as discussed in Note 14. At June 30, 2026, the Company's unfunded commitments to its unconsolidated funds as general partner and general partner affiliate totaled $228.1 million (including commitments attributed to the ownership by employees and former employees in the general partner entities). Generally, the timing for funding of these commitments is not known and the commitments are callable on demand at any time prior to their respective expirations.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14. Transactions with Affiliates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Affiliates include (i) investment vehicles that the Company sponsors and/or manages, the majority of which the Company has an equity interest in; (ii) portfolio companies of sponsored funds; and (iii) directors and employees of the Company.</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Amounts due from and due to affiliates consist of the following: </w:t>
      </w:r>
    </w:p>
    <w:tbl>
      <w:tblPr>
        <w:tblW w:w="7154" w:type="dxa"/>
        <w:jc w:val="left"/>
        <w:tblInd w:w="0" w:type="dxa"/>
        <w:tblLayout w:type="fixed"/>
        <w:tblCellMar>
          <w:top w:w="28" w:type="dxa"/>
          <w:left w:w="28" w:type="dxa"/>
          <w:bottom w:w="28" w:type="dxa"/>
          <w:right w:w="28" w:type="dxa"/>
        </w:tblCellMar>
      </w:tblPr>
      <w:tblGrid>
        <w:gridCol w:w="1477"/>
        <w:gridCol w:w="1299"/>
        <w:gridCol w:w="1304"/>
        <w:gridCol w:w="109"/>
        <w:gridCol w:w="109"/>
        <w:gridCol w:w="109"/>
        <w:gridCol w:w="211"/>
        <w:gridCol w:w="721"/>
        <w:gridCol w:w="109"/>
        <w:gridCol w:w="109"/>
        <w:gridCol w:w="109"/>
        <w:gridCol w:w="109"/>
        <w:gridCol w:w="244"/>
        <w:gridCol w:w="957"/>
        <w:gridCol w:w="178"/>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Due from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vehicles and portfolio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reimbursements and recoverable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Carried interest clawback receivable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Due to Affiliates </w:t>
            </w:r>
            <w:r>
              <w:rPr>
                <w:rFonts w:ascii="Arial;sans-serif" w:hAnsi="Arial;sans-serif"/>
                <w:b w:val="false"/>
                <w:color w:val="000000"/>
                <w:sz w:val="18"/>
              </w:rPr>
              <w:t>(Note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Carried interest clawback liability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Employees and other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26,112 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Significant transactions with affiliates include the following: </w:t>
      </w:r>
    </w:p>
    <w:p>
      <w:pPr>
        <w:pStyle w:val="TextBody"/>
        <w:bidi w:val="0"/>
        <w:spacing w:lineRule="auto" w:line="288" w:before="120" w:after="283"/>
        <w:ind w:left="0" w:right="0" w:firstLine="450"/>
        <w:jc w:val="left"/>
        <w:rPr/>
      </w:pPr>
      <w:r>
        <w:rPr>
          <w:rFonts w:ascii="Arial;sans-serif" w:hAnsi="Arial;sans-serif"/>
          <w:b w:val="false"/>
          <w:i/>
          <w:color w:val="000000"/>
          <w:sz w:val="20"/>
        </w:rPr>
        <w:t>Fee Revenue</w:t>
      </w:r>
      <w:r>
        <w:rPr>
          <w:color w:val="000000"/>
        </w:rPr>
        <w:t>—</w:t>
      </w:r>
      <w:r>
        <w:rPr>
          <w:rFonts w:ascii="Arial;sans-serif" w:hAnsi="Arial;sans-serif"/>
          <w:b w:val="false"/>
          <w:color w:val="000000"/>
          <w:sz w:val="20"/>
        </w:rPr>
        <w:t>Fee revenue earned from investment vehicles that the Company manages and/or sponsors, the majority of which the Company has an equity interest in, are presented in Note 11. Substantially all fee revenue is from affiliates.</w:t>
      </w:r>
    </w:p>
    <w:p>
      <w:pPr>
        <w:pStyle w:val="TextBody"/>
        <w:bidi w:val="0"/>
        <w:spacing w:lineRule="auto" w:line="288" w:before="120" w:after="283"/>
        <w:ind w:left="0" w:right="0" w:firstLine="450"/>
        <w:jc w:val="left"/>
        <w:rPr/>
      </w:pPr>
      <w:r>
        <w:rPr>
          <w:rFonts w:ascii="Arial;sans-serif" w:hAnsi="Arial;sans-serif"/>
          <w:b w:val="false"/>
          <w:i/>
          <w:color w:val="000000"/>
          <w:sz w:val="20"/>
        </w:rPr>
        <w:t>Cost Reimbursements and Recoverable Expenses—</w:t>
      </w:r>
      <w:r>
        <w:rPr>
          <w:rFonts w:ascii="Arial;sans-serif" w:hAnsi="Arial;sans-serif"/>
          <w:b w:val="false"/>
          <w:color w:val="000000"/>
          <w:sz w:val="20"/>
        </w:rPr>
        <w:t>The Company receives reimbursements and recovers certain costs paid on behalf of investment vehicles sponsored by the Company, which include: (i) organization and offering costs related to formation and capital raising of the investment vehicles up to specified thresholds; (ii) third party professional fees incurred in performing investment due diligence; and (iii) direct and indirect operating costs for managing the operations of certain investment vehicles and their portfolio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To the extent the Company determines it acts in the capacity of principal in the incurrence of such costs, the reimbursements are included in other income, which totaled $3.1 million and $2.6 million for the three months ended June 30, 2026 and 2025, respectively, and $4.4 million and $4.9 million for the six months ended June 30, 2026 and 2025, respectively. To the extent the Company determines that it acts in the capacity of an agent, the costs incurred and related reimbursements are presented on a net basis in the consolidated statements of operations. </w:t>
      </w:r>
    </w:p>
    <w:p>
      <w:pPr>
        <w:pStyle w:val="TextBody"/>
        <w:bidi w:val="0"/>
        <w:spacing w:lineRule="auto" w:line="288" w:before="120" w:after="283"/>
        <w:ind w:left="0" w:right="0" w:firstLine="450"/>
        <w:jc w:val="left"/>
        <w:rPr/>
      </w:pPr>
      <w:r>
        <w:rPr>
          <w:rFonts w:ascii="Arial;sans-serif" w:hAnsi="Arial;sans-serif"/>
          <w:b w:val="false"/>
          <w:i/>
          <w:color w:val="000000"/>
          <w:sz w:val="20"/>
        </w:rPr>
        <w:t>Investments or Commitments Transferred—</w:t>
      </w:r>
      <w:r>
        <w:rPr>
          <w:rFonts w:ascii="Arial;sans-serif" w:hAnsi="Arial;sans-serif"/>
          <w:b w:val="false"/>
          <w:color w:val="000000"/>
          <w:sz w:val="20"/>
        </w:rPr>
        <w:t xml:space="preserve">The Company may acquire investments on behalf of prospective sponsored investment vehicles or subscribe to commitments in its sponsored funds on behalf of prospective investors. The investments or commitments are transferred to the investment vehicle or prospective investor when sufficient third party capital, including debt, is raised. The Company may be paid a fee by the investment vehicle or investor, akin to an interest charge, typically calculated as a percentage of the acquisition price of the investment or the commitment amount funded, to compensate the Company for its holding cost. The terms of such arrangements may differ for each sponsored investment vehicle and by investment or investor. </w:t>
      </w:r>
    </w:p>
    <w:p>
      <w:pPr>
        <w:pStyle w:val="TextBody"/>
        <w:bidi w:val="0"/>
        <w:spacing w:lineRule="auto" w:line="288" w:before="180" w:after="283"/>
        <w:ind w:left="0" w:right="0" w:firstLine="450"/>
        <w:jc w:val="left"/>
        <w:rPr/>
      </w:pPr>
      <w:r>
        <w:rPr>
          <w:rFonts w:ascii="Arial;sans-serif" w:hAnsi="Arial;sans-serif"/>
          <w:b w:val="false"/>
          <w:i/>
          <w:color w:val="000000"/>
          <w:sz w:val="20"/>
        </w:rPr>
        <w:t>Digital Bridge Holdings —</w:t>
      </w:r>
      <w:r>
        <w:rPr>
          <w:rFonts w:ascii="Arial;sans-serif" w:hAnsi="Arial;sans-serif"/>
          <w:b w:val="false"/>
          <w:color w:val="000000"/>
          <w:sz w:val="20"/>
        </w:rPr>
        <w:t xml:space="preserve">Marc Ganzi, Chief Executive Officer of the Company, and Ben Jenkins, President and Chief Investment Officer of the Company, were former owners of Digital Bridge Holdings, LLC ("DBH") prior to its merger into the Company in July 2019. Messrs. Ganzi and Jenkins had retained their equity investments and general partner interests in the portfolio companies of DBH.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With respect to investment vehicles sponsored by the Company for which Messrs. Ganzi and Jenkins are invested in their capacity as former owners of DBH, and not in their capacity as employees of the Company, any carried interest entitlement attributed to such investments by Messrs. Ganzi and Jenkins as general partner are not subject to continuing vesting provisions and do not represent compensatory arrangements to the Company. Such carried interest allocation to Messrs. Ganzi and Jenkins that are unrealized or distributed but unpaid are included in noncontrolling interests on the balance sheet in the amount of $6.4 million at June 30, 2026 and $18.0 million at December 31, 2025. Net carried interest reversal was recorded as net loss attributable to noncontrolling interests totaling $3.4 million and $26.9 million for the three months ended June 30, 2026 and 2025, respectively, and $11.6 million and $40.8 million for the six months ended June 30, 2026 and 2025, respectively. At June 30, 2026 and December 31, 2025, a portion of carried interest previously distributed to Messrs. Ganzi and Jenkins in their capacity as former owners of DBH would be subject to clawback totaling $8.7 million and $6.6 million, respectively, assuming a hypothetical liquidation of the associated fund at the reporting date estimated fair values (Note 3), for which Messrs. Ganzi and Jenkins would be personally responsible.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Prior to the Company’s acquisition of DBH, Messrs. Ganzi and Jenkins had made personal investments in Vantage Data Centers ("Vantage"), a portfolio company of DBH. Vantage SDC, which the Company has an investment in, is a carve out of the stabilized data center portfolio of Vantage's North American business. Additional investments made by the Company in Vantage SDC subsequent to its initial acquisition may trigger future carried interest payments to Messrs. Ganzi and Jenkins in connection with their personal investments in Vantage. Such investments made by the Company in Vantage SDC include ongoing payments for the build-out of expansion capacity, including lease-up of the expanded capacity and existing inventory. </w:t>
      </w:r>
    </w:p>
    <w:p>
      <w:pPr>
        <w:pStyle w:val="TextBody"/>
        <w:bidi w:val="0"/>
        <w:spacing w:lineRule="auto" w:line="288" w:before="180" w:after="283"/>
        <w:ind w:left="0" w:right="0" w:firstLine="450"/>
        <w:jc w:val="left"/>
        <w:rPr/>
      </w:pPr>
      <w:r>
        <w:rPr>
          <w:rFonts w:ascii="Arial;sans-serif" w:hAnsi="Arial;sans-serif"/>
          <w:b w:val="false"/>
          <w:i/>
          <w:color w:val="000000"/>
          <w:sz w:val="20"/>
        </w:rPr>
        <w:t>Investment in Managed Investment Vehicles</w:t>
      </w:r>
      <w:r>
        <w:rPr>
          <w:color w:val="000000"/>
        </w:rPr>
        <w:t>—</w:t>
      </w:r>
      <w:r>
        <w:rPr>
          <w:rFonts w:ascii="Arial;sans-serif" w:hAnsi="Arial;sans-serif"/>
          <w:b w:val="false"/>
          <w:color w:val="000000"/>
          <w:sz w:val="20"/>
        </w:rPr>
        <w:t>Subject to the Company's related party policies and procedures, certain employees (who may thereafter become former employees) may invest on a discretionary basis in investment vehicles sponsored by the Company, either directly in the vehicle or indirectly through the Company's general partner entities. These investments are not subject to management fees or carried interest, but otherwise bear their proportionate share of other operating expenses of the investment vehicles. Such investments, to the extent they pertain to consolidated investment vehicles and general partner entities, are presented on the consolidated balance sheet within redeemable noncontrolling interests and noncontrolling interests in investment entities and totaled $60.1 million at June 30, 2026 and $62.0 million at December 31, 2025. Their proportionate share of net income from these investments totaled $2.2 million and $1.5 million for the three months ended June 30, 2026 and 2025, respectively, and $2.5 million and $1.3 million for the six months ended June 30, 2026 and 2025, respectively. Such amounts are reflected in net income attributable to noncontrolling interests on the consolidated statement of operations and exclude their share of carried interest allocation, which is reflected in incentive fee and carried interest compensation expense.</w:t>
      </w:r>
    </w:p>
    <w:p>
      <w:pPr>
        <w:pStyle w:val="TextBody"/>
        <w:bidi w:val="0"/>
        <w:spacing w:lineRule="auto" w:line="288" w:before="180" w:after="283"/>
        <w:ind w:left="0" w:right="0" w:firstLine="450"/>
        <w:jc w:val="left"/>
        <w:rPr/>
      </w:pPr>
      <w:r>
        <w:rPr>
          <w:rFonts w:ascii="Arial;sans-serif" w:hAnsi="Arial;sans-serif"/>
          <w:b w:val="false"/>
          <w:i/>
          <w:color w:val="000000"/>
          <w:sz w:val="20"/>
        </w:rPr>
        <w:t>Private Aircraft—</w:t>
      </w:r>
      <w:r>
        <w:rPr>
          <w:rFonts w:ascii="Arial;sans-serif" w:hAnsi="Arial;sans-serif"/>
          <w:b w:val="false"/>
          <w:color w:val="000000"/>
          <w:sz w:val="20"/>
        </w:rPr>
        <w:t>P</w:t>
      </w:r>
      <w:r>
        <w:rPr>
          <w:rFonts w:ascii="Arial;sans-serif" w:hAnsi="Arial;sans-serif"/>
          <w:b w:val="false"/>
          <w:color w:val="000000"/>
          <w:sz w:val="20"/>
          <w:shd w:fill="FFFFFF" w:val="clear"/>
        </w:rPr>
        <w:t xml:space="preserve">ursuant to Mr. Ganzi’s employment agreement, </w:t>
      </w:r>
      <w:r>
        <w:rPr>
          <w:rFonts w:ascii="Arial;sans-serif" w:hAnsi="Arial;sans-serif"/>
          <w:b w:val="false"/>
          <w:color w:val="000000"/>
          <w:sz w:val="20"/>
        </w:rPr>
        <w:t>the Company has agreed to reimburse Mr. Ganzi for the</w:t>
      </w:r>
      <w:r>
        <w:rPr>
          <w:color w:val="000000"/>
          <w:shd w:fill="FFFFFF" w:val="clear"/>
        </w:rPr>
        <w:t xml:space="preserve"> </w:t>
      </w:r>
      <w:r>
        <w:rPr>
          <w:rFonts w:ascii="Arial;sans-serif" w:hAnsi="Arial;sans-serif"/>
          <w:b w:val="false"/>
          <w:color w:val="000000"/>
          <w:sz w:val="20"/>
          <w:shd w:fill="FFFFFF" w:val="clear"/>
        </w:rPr>
        <w:t xml:space="preserve">variable costs of business travel on a chartered or private jet (including any aircraft that Mr. Ganzi may partially or fully own), provided that the Company will not reimburse the allocable share (based on the total number of passengers) of such variable costs for any passenger who is not traveling on Company business. The Company has also agreed to reimburse Mr. Ganzi for the cost of up to 100 hours of personal travel, which is treated as a compensatory arrangement. Additionally, the Company has agreed to reimburse Mr. Ganzi for a proportional share of the fixed cash costs </w:t>
      </w:r>
      <w:r>
        <w:rPr>
          <w:rFonts w:ascii="Arial;sans-serif" w:hAnsi="Arial;sans-serif"/>
          <w:b w:val="false"/>
          <w:color w:val="000000"/>
          <w:sz w:val="20"/>
        </w:rPr>
        <w:t xml:space="preserve">of any aircraft partially or fully owned by Mr. Ganzi. The fixed cost reimbursements will be made based on an allocable portion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pPr>
      <w:r>
        <w:rPr>
          <w:rFonts w:ascii="Arial;sans-serif" w:hAnsi="Arial;sans-serif"/>
          <w:b w:val="false"/>
          <w:color w:val="000000"/>
          <w:sz w:val="20"/>
        </w:rPr>
        <w:t>annual fixed cash operating costs of the aircraft, based on the total number of hours the aircraft is used for Company business and personal hours claimed (up to 100 hours annually) divided by the total hours flown. E</w:t>
      </w:r>
      <w:r>
        <w:rPr>
          <w:rFonts w:ascii="Arial;sans-serif" w:hAnsi="Arial;sans-serif"/>
          <w:b w:val="false"/>
          <w:color w:val="000000"/>
          <w:sz w:val="20"/>
          <w:shd w:fill="FFFFFF" w:val="clear"/>
        </w:rPr>
        <w:t xml:space="preserve">xpenses incurred on behalf of Mr. Ganzi and expenses reimbursed or are reimbursable to Mr. Ganzi </w:t>
      </w:r>
      <w:r>
        <w:rPr>
          <w:rFonts w:ascii="Arial;sans-serif" w:hAnsi="Arial;sans-serif"/>
          <w:b w:val="false"/>
          <w:color w:val="000000"/>
          <w:sz w:val="20"/>
        </w:rPr>
        <w:t>associated with the use of private aircraft (including both aircraft owned by Mr. Ganzi and third party chartered flights) to</w:t>
      </w:r>
      <w:r>
        <w:rPr>
          <w:rFonts w:ascii="Arial;sans-serif" w:hAnsi="Arial;sans-serif"/>
          <w:b w:val="false"/>
          <w:color w:val="000000"/>
          <w:sz w:val="20"/>
          <w:shd w:fill="FFFFFF" w:val="clear"/>
        </w:rPr>
        <w:t xml:space="preserve">taled </w:t>
      </w:r>
      <w:r>
        <w:rPr>
          <w:rFonts w:ascii="Arial;sans-serif" w:hAnsi="Arial;sans-serif"/>
          <w:b w:val="false"/>
          <w:color w:val="000000"/>
          <w:sz w:val="20"/>
        </w:rPr>
        <w:t xml:space="preserve">$1.9 million and $1.0 million for the </w:t>
      </w:r>
      <w:r>
        <w:rPr>
          <w:rFonts w:ascii="Arial;sans-serif" w:hAnsi="Arial;sans-serif"/>
          <w:b w:val="false"/>
          <w:color w:val="000000"/>
          <w:sz w:val="20"/>
          <w:shd w:fill="FFFFFF" w:val="clear"/>
        </w:rPr>
        <w:t>three months ended June 30, 2026 and 2025</w:t>
      </w:r>
      <w:r>
        <w:rPr>
          <w:rFonts w:ascii="Arial;sans-serif" w:hAnsi="Arial;sans-serif"/>
          <w:b w:val="false"/>
          <w:color w:val="000000"/>
          <w:sz w:val="18"/>
        </w:rPr>
        <w:t xml:space="preserve">, </w:t>
      </w:r>
      <w:r>
        <w:rPr>
          <w:rFonts w:ascii="Arial;sans-serif" w:hAnsi="Arial;sans-serif"/>
          <w:b w:val="false"/>
          <w:color w:val="000000"/>
          <w:sz w:val="20"/>
        </w:rPr>
        <w:t>respectively</w:t>
      </w:r>
      <w:r>
        <w:rPr>
          <w:rFonts w:ascii="Arial;sans-serif" w:hAnsi="Arial;sans-serif"/>
          <w:b w:val="false"/>
          <w:color w:val="000000"/>
          <w:sz w:val="18"/>
        </w:rPr>
        <w:t xml:space="preserve">, and </w:t>
      </w:r>
      <w:r>
        <w:rPr>
          <w:rFonts w:ascii="Arial;sans-serif" w:hAnsi="Arial;sans-serif"/>
          <w:b w:val="false"/>
          <w:color w:val="000000"/>
          <w:sz w:val="20"/>
        </w:rPr>
        <w:t xml:space="preserve">$3.4 million and $2.7 million for the </w:t>
      </w:r>
      <w:r>
        <w:rPr>
          <w:rFonts w:ascii="Arial;sans-serif" w:hAnsi="Arial;sans-serif"/>
          <w:b w:val="false"/>
          <w:color w:val="000000"/>
          <w:sz w:val="20"/>
          <w:shd w:fill="FFFFFF" w:val="clear"/>
        </w:rPr>
        <w:t>six months ended June 30, 2026 and 2025, respectively</w:t>
      </w:r>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15. Segment Reporting</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entirety of the Company's business, inclusive of all income and expense from continuing operations of the Company as a whole, is reported as a single reportable segment. The approach of managing the whole Company as a single business is consistent with the manner in which its Chief Executive Officer, in the role as the Company's chief operating decision maker or CODM, assesses the allocation of resources and performance of the Company.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segment earnings measure is net income (loss) from continuing operations attributable to common stockholders.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CODM is provided with significant expense categories that are consistent with those disclosed in the consolidated statements of operations and additionally, budgeted fee revenue, compensation and administrative expenses of the Company. This information, along with the segment earnings measure, is used by the CODM to monitor financial performance from core operations of the business against budget and in making strategic decisions regarding key areas of growth for the business and consequently, investment or divestment of resources. The CODM does not review disaggregated assets by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firstLine="270"/>
        <w:jc w:val="left"/>
        <w:rPr>
          <w:rFonts w:ascii="Arial;sans-serif" w:hAnsi="Arial;sans-serif"/>
          <w:b/>
          <w:i/>
          <w:color w:val="000000"/>
          <w:sz w:val="20"/>
        </w:rPr>
      </w:pPr>
      <w:r>
        <w:rPr>
          <w:rFonts w:ascii="Arial;sans-serif" w:hAnsi="Arial;sans-serif"/>
          <w:b/>
          <w:i/>
          <w:color w:val="000000"/>
          <w:sz w:val="20"/>
        </w:rPr>
        <w:t>Segment Results of Operations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following table presents net income (loss) from continuing operations attributable to common stockholders for the Company's single reportable segment and is reconciled to the consolidated statement of operations. </w:t>
      </w:r>
    </w:p>
    <w:tbl>
      <w:tblPr>
        <w:tblW w:w="10205" w:type="dxa"/>
        <w:jc w:val="left"/>
        <w:tblInd w:w="0" w:type="dxa"/>
        <w:tblLayout w:type="fixed"/>
        <w:tblCellMar>
          <w:top w:w="28" w:type="dxa"/>
          <w:left w:w="28" w:type="dxa"/>
          <w:bottom w:w="28" w:type="dxa"/>
          <w:right w:w="28" w:type="dxa"/>
        </w:tblCellMar>
      </w:tblPr>
      <w:tblGrid>
        <w:gridCol w:w="1758"/>
        <w:gridCol w:w="1203"/>
        <w:gridCol w:w="1192"/>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6"/>
      </w:tblGrid>
      <w:tr>
        <w:trPr/>
        <w:tc>
          <w:tcPr>
            <w:tcW w:w="175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Carried interest allocation (reversal)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expense—cash and equity-based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Compensation expense—incentive fee and carried interest allocation (reversal)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Income (loss) from continuing operations attributable to DigitalBridge Group,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0"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10"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227,756 </w:t>
            </w:r>
          </w:p>
        </w:tc>
        <w:tc>
          <w:tcPr>
            <w:tcW w:w="109" w:type="dxa"/>
            <w:tcBorders>
              <w:top w:val="single" w:sz="10"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0"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10"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30,075 </w:t>
            </w:r>
          </w:p>
        </w:tc>
        <w:tc>
          <w:tcPr>
            <w:tcW w:w="109" w:type="dxa"/>
            <w:tcBorders>
              <w:top w:val="single" w:sz="10"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0"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10"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253,061 </w:t>
            </w:r>
          </w:p>
        </w:tc>
        <w:tc>
          <w:tcPr>
            <w:tcW w:w="109" w:type="dxa"/>
            <w:tcBorders>
              <w:top w:val="single" w:sz="10"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0"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10"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47,775 </w:t>
            </w:r>
          </w:p>
        </w:tc>
        <w:tc>
          <w:tcPr>
            <w:tcW w:w="109" w:type="dxa"/>
            <w:tcBorders>
              <w:top w:val="single" w:sz="10"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from continuing operations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Reconciliation of segment earnings measure to consolidated statement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discontinued operations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Geography</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Geographic information about the Company's total revenues from continuing operations and long-lived assets, excluding assets of discontinued operations, are as follows. Geography is generally presented as the location in which income generating services are substantially performed.</w:t>
      </w:r>
    </w:p>
    <w:tbl>
      <w:tblPr>
        <w:tblW w:w="8689" w:type="dxa"/>
        <w:jc w:val="left"/>
        <w:tblInd w:w="0" w:type="dxa"/>
        <w:tblLayout w:type="fixed"/>
        <w:tblCellMar>
          <w:top w:w="28" w:type="dxa"/>
          <w:left w:w="28" w:type="dxa"/>
          <w:bottom w:w="28" w:type="dxa"/>
          <w:right w:w="28" w:type="dxa"/>
        </w:tblCellMar>
      </w:tblPr>
      <w:tblGrid>
        <w:gridCol w:w="964"/>
        <w:gridCol w:w="850"/>
        <w:gridCol w:w="855"/>
        <w:gridCol w:w="109"/>
        <w:gridCol w:w="109"/>
        <w:gridCol w:w="109"/>
        <w:gridCol w:w="211"/>
        <w:gridCol w:w="826"/>
        <w:gridCol w:w="109"/>
        <w:gridCol w:w="109"/>
        <w:gridCol w:w="109"/>
        <w:gridCol w:w="109"/>
        <w:gridCol w:w="211"/>
        <w:gridCol w:w="796"/>
        <w:gridCol w:w="109"/>
        <w:gridCol w:w="109"/>
        <w:gridCol w:w="109"/>
        <w:gridCol w:w="109"/>
        <w:gridCol w:w="211"/>
        <w:gridCol w:w="826"/>
        <w:gridCol w:w="109"/>
        <w:gridCol w:w="109"/>
        <w:gridCol w:w="109"/>
        <w:gridCol w:w="109"/>
        <w:gridCol w:w="211"/>
        <w:gridCol w:w="721"/>
        <w:gridCol w:w="109"/>
        <w:gridCol w:w="109"/>
        <w:gridCol w:w="154"/>
      </w:tblGrid>
      <w:tr>
        <w:trPr/>
        <w:tc>
          <w:tcPr>
            <w:tcW w:w="9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 by geography: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Europe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983" w:type="dxa"/>
        <w:jc w:val="left"/>
        <w:tblInd w:w="0" w:type="dxa"/>
        <w:tblLayout w:type="fixed"/>
        <w:tblCellMar>
          <w:top w:w="28" w:type="dxa"/>
          <w:left w:w="28" w:type="dxa"/>
          <w:bottom w:w="28" w:type="dxa"/>
          <w:right w:w="28" w:type="dxa"/>
        </w:tblCellMar>
      </w:tblPr>
      <w:tblGrid>
        <w:gridCol w:w="1050"/>
        <w:gridCol w:w="927"/>
        <w:gridCol w:w="932"/>
        <w:gridCol w:w="109"/>
        <w:gridCol w:w="109"/>
        <w:gridCol w:w="109"/>
        <w:gridCol w:w="211"/>
        <w:gridCol w:w="721"/>
        <w:gridCol w:w="109"/>
        <w:gridCol w:w="109"/>
        <w:gridCol w:w="109"/>
        <w:gridCol w:w="109"/>
        <w:gridCol w:w="268"/>
        <w:gridCol w:w="916"/>
        <w:gridCol w:w="195"/>
      </w:tblGrid>
      <w:tr>
        <w:trPr/>
        <w:tc>
          <w:tcPr>
            <w:tcW w:w="105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Long-lived assets by geography: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28,225 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180"/>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Revenues generated in Europe are predominantly U.S. dollar denominated.</w:t>
      </w:r>
    </w:p>
    <w:p>
      <w:pPr>
        <w:pStyle w:val="TextBody"/>
        <w:bidi w:val="0"/>
        <w:spacing w:lineRule="auto" w:line="288" w:before="0" w:after="0"/>
        <w:ind w:left="0" w:right="0" w:hanging="180"/>
        <w:jc w:val="left"/>
        <w:rPr/>
      </w:pPr>
      <w:r>
        <w:rPr>
          <w:rFonts w:ascii="Arial;sans-serif" w:hAnsi="Arial;sans-serif"/>
          <w:b w:val="false"/>
          <w:color w:val="000000"/>
          <w:sz w:val="10"/>
        </w:rPr>
        <w:t>(2)</w:t>
      </w:r>
      <w:r>
        <w:rPr>
          <w:color w:val="000000"/>
        </w:rPr>
        <w:t>    </w:t>
      </w:r>
      <w:r>
        <w:rPr>
          <w:rFonts w:ascii="Arial;sans-serif" w:hAnsi="Arial;sans-serif"/>
          <w:b w:val="false"/>
          <w:color w:val="000000"/>
          <w:sz w:val="16"/>
        </w:rPr>
        <w:t xml:space="preserve">Total revenues excludes cost reimbursement income from affiliates (Note 14) that is included within other income. </w:t>
      </w:r>
    </w:p>
    <w:p>
      <w:pPr>
        <w:pStyle w:val="TextBody"/>
        <w:bidi w:val="0"/>
        <w:spacing w:lineRule="auto" w:line="288" w:before="0" w:after="0"/>
        <w:ind w:left="0" w:right="0" w:hanging="180"/>
        <w:jc w:val="left"/>
        <w:rPr/>
      </w:pPr>
      <w:r>
        <w:rPr>
          <w:rFonts w:ascii="Arial;sans-serif" w:hAnsi="Arial;sans-serif"/>
          <w:b w:val="false"/>
          <w:color w:val="000000"/>
          <w:sz w:val="10"/>
        </w:rPr>
        <w:t>(3)</w:t>
      </w:r>
      <w:r>
        <w:rPr>
          <w:color w:val="000000"/>
        </w:rPr>
        <w:t>    </w:t>
      </w:r>
      <w:r>
        <w:rPr>
          <w:rFonts w:ascii="Arial;sans-serif" w:hAnsi="Arial;sans-serif"/>
          <w:b w:val="false"/>
          <w:color w:val="000000"/>
          <w:sz w:val="16"/>
        </w:rPr>
        <w:t xml:space="preserve">Long-lived assets include lease right-of-use assets and fixed assets, and exclude financial instruments, goodwill and intangible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16. Commitments and Contingencies </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 xml:space="preserve">Litigation </w:t>
      </w:r>
    </w:p>
    <w:p>
      <w:pPr>
        <w:pStyle w:val="TextBody"/>
        <w:bidi w:val="0"/>
        <w:spacing w:lineRule="auto" w:line="288" w:before="120" w:after="283"/>
        <w:ind w:left="0" w:right="0" w:firstLine="450"/>
        <w:jc w:val="left"/>
        <w:rPr/>
      </w:pPr>
      <w:r>
        <w:rPr>
          <w:rFonts w:ascii="Arial;sans-serif" w:hAnsi="Arial;sans-serif"/>
          <w:b w:val="false"/>
          <w:color w:val="000000"/>
          <w:sz w:val="20"/>
        </w:rPr>
        <w:t xml:space="preserve">The Company may be involved in litigation and other proceedings that arise in the ordinary course of business. Other than as described below, as of </w:t>
      </w:r>
      <w:r>
        <w:rPr>
          <w:rFonts w:ascii="Arial;sans-serif" w:hAnsi="Arial;sans-serif"/>
          <w:b w:val="false"/>
          <w:color w:val="000000"/>
          <w:sz w:val="20"/>
          <w:shd w:fill="FFFFFF" w:val="clear"/>
        </w:rPr>
        <w:t xml:space="preserve">June 30, 2026, the </w:t>
      </w:r>
      <w:r>
        <w:rPr>
          <w:rFonts w:ascii="Arial;sans-serif" w:hAnsi="Arial;sans-serif"/>
          <w:b w:val="false"/>
          <w:color w:val="000000"/>
          <w:sz w:val="20"/>
        </w:rPr>
        <w:t xml:space="preserve">Company is not involved in any legal proceedings that are expected to have a material adverse effect on the Company’s results of operations, financial position or liquidity. </w:t>
      </w:r>
    </w:p>
    <w:p>
      <w:pPr>
        <w:pStyle w:val="TextBody"/>
        <w:bidi w:val="0"/>
        <w:spacing w:lineRule="auto" w:line="288" w:before="120" w:after="283"/>
        <w:ind w:left="0" w:right="0" w:firstLine="450"/>
        <w:jc w:val="left"/>
        <w:rPr/>
      </w:pPr>
      <w:r>
        <w:rPr>
          <w:rFonts w:ascii="Arial;sans-serif" w:hAnsi="Arial;sans-serif"/>
          <w:b w:val="false"/>
          <w:color w:val="000000"/>
          <w:sz w:val="20"/>
        </w:rPr>
        <w:t>On July 2, 2021, the Company was named as a defendant in the matter of Hernandez v. Colony Capital, Inc., et al., initially filed in the Superior Court of California, County of Sacramento on February 10, 2020 (the “Lawsuit”). The Lawsuit arises from the 2019 death of a resident at an assisted living facility located on a property that was part of a healthcare real estate investment portfolio owned by the Company prior to its strategic exit from the healthcare sector.</w:t>
      </w:r>
      <w:r>
        <w:rPr>
          <w:color w:val="000000"/>
        </w:rPr>
        <w:t xml:space="preserve"> </w:t>
      </w:r>
      <w:r>
        <w:rPr>
          <w:rFonts w:ascii="Arial;sans-serif" w:hAnsi="Arial;sans-serif"/>
          <w:b w:val="false"/>
          <w:color w:val="000000"/>
          <w:sz w:val="20"/>
        </w:rPr>
        <w:t xml:space="preserve">In the Lawsuit, the plaintiffs alleged claims including negligence and wrongful death, among others, and sought compensatory and punitive damages. On March 3, 2026, the jury issued a verdict against several defendants, including the Company, for approximately $10.2 million in compensatory damages and $100 million in punitive damages. The court has determined to offset the compensatory damages, for which the Company is jointly and severally liable, using $2.5 million of settlement proceeds from several defendants, including the operator of the facility, that settled with the plaintiffs prior to conclusion of the trial in a settlement that the court ruled was not entered into in good faith. The Company’s share of the punitive damages, based on the jury’s findings, is $92 million. However, as of the filing of this Quarterly Report, no judgment has been entered by the court.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 disagrees with the verdict and intends to appeal any judgment based on that verdict and pursue all available post-trial remedies. The Company believes there are substantial grounds to challenge both liability findings and the size of the punitive damages award. However, the timing and outcome of post-trial proceedings and any appeal are uncertain, and the Company cannot predict the ultimate outcome of the Lawsuit. The Company believes any compensatory damages would be adequately covered by insurance, although the Company cannot be certain of ultimate recovery at this time. The Company continues to operate its business in the ordinary course and no longer owns or operates healthcare-related assets, having divested its healthcare portfolio in 2022.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 has accrued a contingent loss of $7.7 million in discontinued operations in 2026, which management believes to be a reasonable estimate of the probable loss incurred as of the reporting date. It is reasonably possible that an exposure to loss may exceed the amount accrued and that such excess could be significant. However, because the Lawsuit remains subject to significant uncertainties, the Company is unable to reasonably estimate the range of possible loss that may be attributable to liabilities, if any, in excess of the amount accrued. The Company’s contingent liability will be adjusted based upon future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17. Subsequent Events</w:t>
      </w:r>
    </w:p>
    <w:p>
      <w:pPr>
        <w:pStyle w:val="TextBody"/>
        <w:bidi w:val="0"/>
        <w:spacing w:lineRule="auto" w:line="288" w:before="120" w:after="60"/>
        <w:ind w:left="0" w:right="0" w:firstLine="450"/>
        <w:jc w:val="left"/>
        <w:rPr>
          <w:rFonts w:ascii="Arial;sans-serif" w:hAnsi="Arial;sans-serif"/>
          <w:b w:val="false"/>
          <w:color w:val="000000"/>
          <w:sz w:val="20"/>
        </w:rPr>
      </w:pPr>
      <w:r>
        <w:rPr>
          <w:rFonts w:ascii="Arial;sans-serif" w:hAnsi="Arial;sans-serif"/>
          <w:b w:val="false"/>
          <w:color w:val="000000"/>
          <w:sz w:val="20"/>
        </w:rPr>
        <w:t>No subsequent events have occurred that would require recognition in the consolidated financial statements or disclosure in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417" w:before="0" w:after="12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300"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Some of the statements contained in this Quarterly Report on Form 10-Q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The forward-looking statements contained in this Quarterly Report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w:t>
      </w:r>
    </w:p>
    <w:p>
      <w:pPr>
        <w:pStyle w:val="TextBody"/>
        <w:bidi w:val="0"/>
        <w:spacing w:lineRule="auto" w:line="276" w:before="0" w:after="0"/>
        <w:ind w:left="0" w:right="0" w:hanging="180"/>
        <w:jc w:val="left"/>
        <w:rPr/>
      </w:pPr>
      <w:r>
        <w:rPr>
          <w:color w:val="000000"/>
        </w:rPr>
        <w:t>•</w:t>
      </w:r>
      <w:r>
        <w:rPr>
          <w:rFonts w:ascii="Arial;sans-serif" w:hAnsi="Arial;sans-serif"/>
          <w:b w:val="false"/>
          <w:color w:val="000000"/>
          <w:sz w:val="20"/>
        </w:rPr>
        <w:t>uncertainties as to the timing of the merger contemplated by the Agreement and Plan of Merger (the "SoftBank Merger Agreement"), dated as of December 29, 2025, by and among DBRG, the OP, and indirect subsidiaries of SoftBank Group Corp. (TSE: 9984, "SoftBank") (the "SoftBank Merger") and the timing of the transactions contemplated by the Agreement and Plan of Merger (the “ArcLight Agreement”), dated as of May 23, 2026, by and among DBRG, the OP, DB Marley Sub, LLC, ArcLight Capital Holdings, LLC (“ArcLight”), ACHP II, L.P., and Daniel R. Revers (the “ArcLight Acquisition”);</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 xml:space="preserve">the risk that the SoftBank Merger and/or the ArcLight Acquisition may not be completed on the anticipated terms in a timely manner or at all; </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the failure to satisfy any of the conditions to the consummation of the SoftBank Merger and/or the ArcLight Acquisition;</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 xml:space="preserve">the possibility that any or all of the various conditions to the consummation of the SoftBank Merger and/or the ArcLight Acquisition may not be satisfied, in a timely manner or at all, or waived, including the failure to receive any required regulatory approvals from any applicable governmental entities (or any conditions, limitations or restrictions placed on such approvals); </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 xml:space="preserve">the occurrence of any event, change or other circumstance that could give rise to the termination of the SoftBank Merger Agreement and/or the ArcLight Agreement, including in circumstances which would require the Company to pay a termination fee; </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 xml:space="preserve">the effect of the announcement or pendency of the transactions contemplated by the SoftBank Merger Agreement and/or the ArcLight Agreement on the Company’s ability to retain and hire key personnel, its ability to maintain relationships with its customers, suppliers and others with whom it does business, or its operating results and business generally; </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costs relating to the SoftBank Merger and/or the ArcLight Acquisition (including in respect of the financing of the ArcLight Acquisition) may be greater than expected;</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 xml:space="preserve">risks related to diverting management’s attention from the Company’s ongoing business operations as a result of the SoftBank Merger and/or the ArcLight Acquisition; </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 xml:space="preserve">certain restrictions during the pendency of the SoftBank Merger that may impact the Company’s ability to pursue certain business opportunities or strategic transactions; </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 xml:space="preserve">risks that the benefits of the SoftBank Merger and/or the ArcLight Acquisition are not realized when and as expected; </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the risk that the Company’s, SoftBank’s and/or ArcLight's businesses will be adversely impacted during the pendency of the respective acquisitions;</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our ability to obtain the secured bridge loan contemplated in connection with the ArcLight Acquisition on favorable terms or at all, and our ability to refinance outstanding amounts drawn from the bridge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difficult market and political conditions, including those resulting from inflation, high interest rates, trade barriers, a general economic slowdown or a recession;</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our ability to raise capital from investors for our Company, our funds and the companies that we manage;</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the performance of our funds and investments relative to our expectations and the highly variable nature of our revenues, earnings and cash flow;</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our exposure to risks inherent in the ownership and operation of infrastructure and digital infrastructure assets, including our reliance on third-party suppliers to provide power, network connectivity and certain other materials and services to our managed companies;</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our exposure to business risks in Europe, Asia, Latin America and other foreign markets, including the impact of changes in foreign exchange rates on the value of our investments;</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our ability to increase fee earning equity under management ("FEEUM") and expand our existing and new investment strategies while maintaining consistent standards and controls;</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our ability to appropriately manage conflicts of interest;</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our ability to expand into new investment strategies, geographic markets and businesses, including through acquisitions in the infrastructure and investment management industries;</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the impact of climate change and regulatory or societal efforts associated with environmental, social and governance matters;</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our ability to maintain effective information and cybersecurity policies, procedures and capabilities and the impact of any cybersecurity incident affecting our systems or network or the system and network of any of our managed companies or service providers;</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uncertainty around, and disruption from, new and emerging technologies, including the adoption and utilization of artificial intelligence;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ability of our portfolio companies to attract and retain key customers and to provide reliable services without disruption;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any litigation and contractual claims against us and our affiliates, including potential settlement and litigation of such claims and stockholder litigation in connection with the transactions contemplated by the SoftBank Merger Agreement, ArcLight Agreement or the outcome of any other legal proceedings that may be instituted against the Company, SoftBank, ArcLight and/or others relating to the SoftBank Merger and/or ArcLight Acquisition may result in significant costs of defense, indemnification and liability;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ability to obtain and maintain financing arrangements, including securitizations, on favorable or comparable terms or at all;</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the general volatility of the securities markets in which we participate;</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the market value of our assets and effects of hedging instruments on our assets;</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the impact of legislative, regulatory and competitive changes, including those related to privacy and data protection and new SEC rules governing investment advisers;</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 xml:space="preserve">whether we will be able to utilize existing tax attributes to offset taxable income to the extent contemplated; </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our ability to maintain our exemption from registration as an investment company under the Investment Company Act of 1940, as amended;</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 xml:space="preserve">changes in our board of directors or management team, and availability of qualified personnel; </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our ability to make or maintain distributions to our stockholders; and</w:t>
      </w:r>
    </w:p>
    <w:p>
      <w:pPr>
        <w:pStyle w:val="TextBody"/>
        <w:bidi w:val="0"/>
        <w:spacing w:lineRule="auto" w:line="288" w:before="60" w:after="120"/>
        <w:ind w:left="0" w:right="0" w:hanging="180"/>
        <w:jc w:val="left"/>
        <w:rPr/>
      </w:pPr>
      <w:r>
        <w:rPr>
          <w:color w:val="000000"/>
        </w:rPr>
        <w:t>•</w:t>
      </w:r>
      <w:r>
        <w:rPr>
          <w:rFonts w:ascii="Arial;sans-serif" w:hAnsi="Arial;sans-serif"/>
          <w:b w:val="false"/>
          <w:color w:val="000000"/>
          <w:sz w:val="20"/>
        </w:rPr>
        <w:t xml:space="preserve">our understanding of and ability to successfully navigate the competitive landscape in which we and our managed companies operate. </w:t>
      </w:r>
    </w:p>
    <w:p>
      <w:pPr>
        <w:pStyle w:val="TextBody"/>
        <w:bidi w:val="0"/>
        <w:spacing w:lineRule="auto" w:line="300" w:before="18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of new information, data or methods, future events or other changes. Moreover, because we operate in a very competitive and rapidly changing environment, new risk factors are likely to emerge from time to time. We caution investors not to place undue reliance on these forward-looking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300" w:before="180" w:after="120"/>
        <w:jc w:val="left"/>
        <w:rPr>
          <w:rFonts w:ascii="Arial;sans-serif" w:hAnsi="Arial;sans-serif"/>
          <w:b w:val="false"/>
          <w:color w:val="000000"/>
          <w:sz w:val="20"/>
        </w:rPr>
      </w:pPr>
      <w:r>
        <w:rPr>
          <w:rFonts w:ascii="Arial;sans-serif" w:hAnsi="Arial;sans-serif"/>
          <w:b w:val="false"/>
          <w:color w:val="000000"/>
          <w:sz w:val="20"/>
        </w:rPr>
        <w:t>statements and urge you to carefully review the disclosures we make concerning risks in Part I, Item 1A. "Risk Factors" and in Part II, Item 7. "Management's Discussion and Analysis of Financial Condition and Results of Operations" in our Annual Report on Form 10-K for the fiscal year ended December 31, 2025 and in Part II, item 1A. "Risk Factors" and Part I, Item 2. “Management’s Discussion and Analysis of Financial Condition and Results of Operations” in this Quarterly Report. Readers of this Quarterly Report should also read our other periodic filings made with the Securities and Exchange Commission (the "SEC") and other publicly filed documents for further discussion regarding such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Arial;sans-serif" w:hAnsi="Arial;sans-serif"/>
          <w:b/>
          <w:color w:val="000000"/>
          <w:sz w:val="20"/>
        </w:rPr>
      </w:pPr>
      <w:r>
        <w:rPr>
          <w:rFonts w:ascii="Arial;sans-serif" w:hAnsi="Arial;sans-serif"/>
          <w:b/>
          <w:color w:val="000000"/>
          <w:sz w:val="20"/>
        </w:rPr>
        <w:t xml:space="preserve">Item 2. Management’s Discussion and Analysis of Financial Condition and Results of Operations.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discussion should be read in conjunction with our unaudited consolidated financial statements and accompanying notes thereto, which are included in Item 1 of this Quarterly Report, as well as information contained in our Annual Report on Form 10-K for the year ended December 31, 2025, which is accessible on the SEC's website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In this Quarterly Report, unless specifically stated otherwise or the context indicates otherwise, the terms "the "Company," "DBRG," "we," "our" and "us" refer to DigitalBridge Group, Inc. and its consolidated subsidiaries. References to the “Operating Company” and the “OP” refer to DigitalBridge Operating Company, LLC, a Delaware limited liability company and the operating company of the Company,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Arial;sans-serif" w:hAnsi="Arial;sans-serif"/>
          <w:b/>
          <w:color w:val="000000"/>
          <w:sz w:val="20"/>
        </w:rPr>
      </w:pPr>
      <w:r>
        <w:rPr>
          <w:rFonts w:ascii="Arial;sans-serif" w:hAnsi="Arial;sans-serif"/>
          <w:b/>
          <w:color w:val="000000"/>
          <w:sz w:val="20"/>
        </w:rPr>
        <w:t xml:space="preserve">Our Business </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We are a leading global investment manager in digital infrastructure, deploying and managing capital across the digital ecosystem, including data centers, cell towers, and fiber networks. Our diverse global investor base includes public and private pensions, sovereign wealth funds, other asset managers, insurance companies, and endowments. At June 30, 2026, we had $40.2 billion of fee earning equity under management ("FEEUM").</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Our head office is in Boca Raton, Florida, with key offices in New York, London, Luxembourg and Singapore. At June 30, 2026, we had 303 employees.</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We operate as a taxable C Corporation and conduct substantially all of our activities and hold substantially all of our assets and liabilities through our Operating Company. As sole managing member, we own 98% of the Operating Company at June 30, 2026.</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SoftBank's Proposed Acquisition of DBRG</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December 29, 2025, DBRG, the Operating Company and indirect subsidiaries of SoftBank entered into the SoftBank Merger Agreement pursuant to which, among other things, DBRG and the Operating Company would be acquired by such indirect subsidiaries through a series of mergers.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SoftBank, through its indirect subsidiaries, will acquire all of (i) DBRG's issued and outstanding common stock and (ii) the OP common units that are not held by DBRG and the Operating Company (unless otherwise agreed by a holder of OP units and SoftBank through its indirect subsidiary), for $16.00 per share or per unit in cash. The preferred stock of DBRG and the Operating Company will remain outstanding. All warrants to purchase DBRG's common stock have either been exercised or otherwise expired in July 2026.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required approval or consent for the SoftBank Merger has been received from DBRG's common stockholders and from the Company's flagship investment funds and a specified percentage of fee-paying clients. As of the date of this filing, consummation of the SoftBank Merger is still subject to receipt of regulatory approvals and satisfaction of customary closing conditions.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SoftBank Merger Agreement contains customary termination rights for both parties, including, among others, the right of either party to terminate the SoftBank Merger Agreement if the SoftBank Merger is not consummated on or before March 29, 2027, which may be extended by either party by up to 90 days if the closing conditions related to required regulatory approvals or absence of legal restraints prohibiting the SoftBank Merger have not been satisfied or waived but all other conditions (other than those that by their nature are to be satisfied by actions taken at the closing) have been satisfied or waived. Under certain limited circumstances, the Company or SoftBank (through its indirect subsidiary) may be required to pay a termination fee of $96 million and $154 million, respectively, pursuant to the SoftBank Merger Agreement in connection with such termination.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Subject to conditions set forth in the SoftBank Merger Agreement, the SoftBank Merger is expected to be completed in the second half of 2026. Following consummation of the SoftBank Merger, the Company will become an indirect subsidiary of SoftBank, but will continue to operate as a separately managed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There can be no assurance that the SoftBank Merger will be consummated. Risks and uncertainties associated with the SoftBank Merger are discussed in Part II, Item 1A, “Risk Factors—Risks Related to the SoftBank Merger and the ArcLight Acquisition” in this quarterly report on Form 10-Q. All forward-looking statements herein do not take into account the impact of, or give any effect to, the SoftBank Merger.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Additional information related to the SoftBank Merger Agreement is included in our Current Report on Form 8-K filed on December 30, 2025 and our Current Report on Form 8-K filed on April 23, 2026.</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DBRG's Proposed Acquisition of ArcLight</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May 23, 2026, DBRG and its subsidiaries entered into a definitive agreement to acquire ArcLight, a leading specialist investor in power and electric infrastructure, for a total purchase price of up to $1.05 billion. The consideration is composed of a base purchase price of $650 million plus a contingent consideration of up to $400 million payable based upon annual ArcLight earnings for each fiscal year from 2027 through 2029.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ArcLight Acquisition will be funded through a combination of cash on hand and debt financing. In connection therewith, the Company has obtained a commitment for a secured bridge loan facility of up to $500 million. The Company expects that any amounts drawn therefrom will be refinanced through issuance of additional senior notes under its securitization facility.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ArcLight Acquisition is conditioned upon closing of the SoftBank Merger, and is subject to customary closing conditions, including regulatory approvals and consents from limited partners of ArcLight funds.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ArcLight Acquisition is subject to customary termination rights, including, among others, (a) the right of either party to terminate (i) if the ArcLight Acquisition is not consummated on or before the later of March 31, 2027 and six months after consummation of the SoftBank Merger (subject to extension in certain circumstances) or (ii) if the SoftBank Merger is validly terminated in accordance with its terms; and (b) the right of ArcLight to terminate (i) if the SoftBank Merger is not consummated on or before March 31, 2027 or (ii) if the ArcLight Acquisition is not consummated on or before March 31, 2027 (subject to extension in certain circumstances, and at such time all other conditions to closing are satisfied or capable of being satisfied, including consummation of the SoftBank Merger, except for receipt of certain regulatory approvals related to the ArcLight Acquisition). With respect to a termination under certain limited circumstances, the Company may be subject to a termination fee of $30 million.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There can be no assurance that the ArcLight Acquisition will be consummated. Risks and uncertainties associated with the ArcLight Acquisition are discussed in Part II, Item 1A, “Risk Factors—Risks Related to the SoftBank Merger and the ArcLight Acquisition” in this quarterly report on Form 10-Q. All forward-looking statements herein do not take into account the impact of, or give any effect to, the ArcLight Acquisition.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Additional information related to the ArcLight Acquisition is included in our Current Report on Form 8-K filed on May 27, 2026. </w:t>
      </w:r>
    </w:p>
    <w:p>
      <w:pPr>
        <w:pStyle w:val="TextBody"/>
        <w:bidi w:val="0"/>
        <w:spacing w:lineRule="auto" w:line="288" w:before="180" w:after="120"/>
        <w:ind w:left="0" w:right="0" w:hanging="720"/>
        <w:jc w:val="both"/>
        <w:rPr>
          <w:rFonts w:ascii="Arial;sans-serif" w:hAnsi="Arial;sans-serif"/>
          <w:b/>
          <w:color w:val="000000"/>
          <w:sz w:val="20"/>
        </w:rPr>
      </w:pPr>
      <w:r>
        <w:rPr>
          <w:rFonts w:ascii="Arial;sans-serif" w:hAnsi="Arial;sans-serif"/>
          <w:b/>
          <w:color w:val="000000"/>
          <w:sz w:val="20"/>
        </w:rPr>
        <w:t xml:space="preserve">Our Investment Management Platform </w:t>
      </w:r>
    </w:p>
    <w:p>
      <w:pPr>
        <w:pStyle w:val="TextBody"/>
        <w:bidi w:val="0"/>
        <w:spacing w:lineRule="auto" w:line="288" w:before="0" w:after="120"/>
        <w:ind w:left="0" w:right="0" w:firstLine="450"/>
        <w:jc w:val="left"/>
        <w:rPr/>
      </w:pPr>
      <w:r>
        <w:rPr>
          <w:rFonts w:ascii="Arial;sans-serif" w:hAnsi="Arial;sans-serif"/>
          <w:b w:val="false"/>
          <w:color w:val="000000"/>
          <w:sz w:val="20"/>
        </w:rPr>
        <w:t>Our investment management platform is anchored by our value-add funds within the DigitalBridge Partners ("DBP") infrastructure equity series. In providing institutional investors access to investments across different segments of the digital infrastructure ecosystem, our investment offerings have expanded to include core equity, credit and liquid securities.</w:t>
      </w:r>
      <w:r>
        <w:rPr>
          <w:color w:val="000000"/>
        </w:rPr>
        <w:t xml:space="preserve"> </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Our DBP series of commingled funds focus on value-add digital infrastructure, investing in and building businesses across the digital infrastructure sector.</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 xml:space="preserve">Core Equity invests in stabilized digital infrastructure platforms with long-duration cash flow profiles, primarily in more developed geographies, that offer consistent and predictable current yields, through our Strategic Assets Fund ("SAF"). </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 xml:space="preserve">DigitalBridge Credit is our credit strategy that delivers credit solutions to corporate borrowers in the digital infrastructure sector globally through credit financing products, ranging from first and second lien term loans, and mezzanine debt to preferred equity. </w:t>
      </w:r>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 xml:space="preserve">Our Liquid Strategies are fundamental long-only, long-short and market-neutral public equities strategies with well-defined mandates, leveraging the network and intellectual capital of our platform to build liquid portfolios of high quality, undervalued businesses across digital infrastructure, real estate, and technology, media, and telecom.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120"/>
        <w:ind w:left="0" w:right="0" w:hanging="180"/>
        <w:jc w:val="left"/>
        <w:rPr/>
      </w:pPr>
      <w:r>
        <w:rPr>
          <w:color w:val="000000"/>
        </w:rPr>
        <w:t>•</w:t>
      </w:r>
      <w:r>
        <w:rPr>
          <w:rFonts w:ascii="Arial;sans-serif" w:hAnsi="Arial;sans-serif"/>
          <w:b w:val="false"/>
          <w:color w:val="000000"/>
          <w:sz w:val="20"/>
        </w:rPr>
        <w:t>InfraBridge is a middle market equity investor, specializing in digital infrastructure, energy and digital adjacent areas of traditional infrastructure (predominantly transportation and logistics) via the Global Infrastructure Fund ("GIF") series of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Operating Metrics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Fee Earning Equity Under Management</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We present below our FEEUM, which is a key operating metric in the alternative investment management industry. Our calculation of FEEUM may differ from other investment managers, and as a result, may not be directly comparable to similar measures presented by other investment managers.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FEEUM represents the total capital managed by the Company and its affiliates which earns fee income. FEEUM is generally based upon committed capital, invested capital, NAV or gross asset value ("GAV"), pursuant to the terms of each underlying investment management agreement.</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Presented below is total FEEUM by product:</w:t>
      </w:r>
    </w:p>
    <w:tbl>
      <w:tblPr>
        <w:tblW w:w="6712" w:type="dxa"/>
        <w:jc w:val="left"/>
        <w:tblInd w:w="0" w:type="dxa"/>
        <w:tblLayout w:type="fixed"/>
        <w:tblCellMar>
          <w:top w:w="28" w:type="dxa"/>
          <w:left w:w="28" w:type="dxa"/>
          <w:bottom w:w="28" w:type="dxa"/>
          <w:right w:w="28" w:type="dxa"/>
        </w:tblCellMar>
      </w:tblPr>
      <w:tblGrid>
        <w:gridCol w:w="1330"/>
        <w:gridCol w:w="1172"/>
        <w:gridCol w:w="1187"/>
        <w:gridCol w:w="109"/>
        <w:gridCol w:w="109"/>
        <w:gridCol w:w="109"/>
        <w:gridCol w:w="487"/>
        <w:gridCol w:w="251"/>
        <w:gridCol w:w="251"/>
        <w:gridCol w:w="109"/>
        <w:gridCol w:w="109"/>
        <w:gridCol w:w="109"/>
        <w:gridCol w:w="614"/>
        <w:gridCol w:w="317"/>
        <w:gridCol w:w="449"/>
      </w:tblGrid>
      <w:tr>
        <w:trPr/>
        <w:tc>
          <w:tcPr>
            <w:tcW w:w="133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color w:val="000000"/>
                <w:sz w:val="18"/>
              </w:rPr>
            </w:pPr>
            <w:r>
              <w:rPr>
                <w:rFonts w:ascii="Arial;sans-serif" w:hAnsi="Arial;sans-serif"/>
                <w:b/>
                <w:color w:val="000000"/>
                <w:sz w:val="18"/>
              </w:rPr>
              <w:t>Fee Earning Equity Under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DBP Series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8"/>
              </w:rPr>
            </w:pPr>
            <w:r>
              <w:rPr>
                <w:rFonts w:ascii="Arial;sans-serif" w:hAnsi="Arial;sans-serif"/>
                <w:b w:val="false"/>
                <w:color w:val="000000"/>
                <w:sz w:val="18"/>
              </w:rPr>
              <w:t>17.8</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Co-Investment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8"/>
              </w:rPr>
            </w:pPr>
            <w:r>
              <w:rPr>
                <w:rFonts w:ascii="Arial;sans-serif" w:hAnsi="Arial;sans-serif"/>
                <w:b w:val="false"/>
                <w:color w:val="000000"/>
                <w:sz w:val="18"/>
              </w:rPr>
              <w:t>15.2</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InfraBridge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8"/>
              </w:rPr>
            </w:pPr>
            <w:r>
              <w:rPr>
                <w:rFonts w:ascii="Arial;sans-serif" w:hAnsi="Arial;sans-serif"/>
                <w:b w:val="false"/>
                <w:color w:val="000000"/>
                <w:sz w:val="18"/>
              </w:rPr>
              <w:t>3.6</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Credit and Liquid Strategies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8"/>
              </w:rPr>
            </w:pPr>
            <w:r>
              <w:rPr>
                <w:rFonts w:ascii="Arial;sans-serif" w:hAnsi="Arial;sans-serif"/>
                <w:b w:val="false"/>
                <w:color w:val="000000"/>
                <w:sz w:val="18"/>
              </w:rPr>
              <w:t>3.2</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Separately Capitalized Portfolio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41.0</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summarizes changes in FEEUM:</w:t>
      </w:r>
    </w:p>
    <w:tbl>
      <w:tblPr>
        <w:tblW w:w="6433" w:type="dxa"/>
        <w:jc w:val="left"/>
        <w:tblInd w:w="0" w:type="dxa"/>
        <w:tblLayout w:type="fixed"/>
        <w:tblCellMar>
          <w:top w:w="28" w:type="dxa"/>
          <w:left w:w="28" w:type="dxa"/>
          <w:bottom w:w="28" w:type="dxa"/>
          <w:right w:w="28" w:type="dxa"/>
        </w:tblCellMar>
      </w:tblPr>
      <w:tblGrid>
        <w:gridCol w:w="1244"/>
        <w:gridCol w:w="1096"/>
        <w:gridCol w:w="1110"/>
        <w:gridCol w:w="109"/>
        <w:gridCol w:w="109"/>
        <w:gridCol w:w="109"/>
        <w:gridCol w:w="552"/>
        <w:gridCol w:w="1338"/>
        <w:gridCol w:w="285"/>
        <w:gridCol w:w="109"/>
        <w:gridCol w:w="109"/>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 2026</w:t>
            </w:r>
          </w:p>
        </w:tc>
        <w:tc>
          <w:tcPr>
            <w:tcW w:w="481" w:type="dxa"/>
            <w:gridSpan w:val="4"/>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Fee Earning Equity Under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Inflows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Outflows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8"/>
              </w:rPr>
              <w:t xml:space="preserve">Market activity </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________</w:t>
      </w:r>
    </w:p>
    <w:p>
      <w:pPr>
        <w:pStyle w:val="TextBody"/>
        <w:bidi w:val="0"/>
        <w:spacing w:lineRule="auto" w:line="288" w:before="60" w:after="283"/>
        <w:ind w:left="0" w:right="0" w:hanging="270"/>
        <w:jc w:val="left"/>
        <w:rPr/>
      </w:pPr>
      <w:r>
        <w:rPr>
          <w:rFonts w:ascii="Arial;sans-serif" w:hAnsi="Arial;sans-serif"/>
          <w:b w:val="false"/>
          <w:color w:val="000000"/>
          <w:sz w:val="10"/>
        </w:rPr>
        <w:t>(1)    </w:t>
      </w:r>
      <w:r>
        <w:rPr>
          <w:rFonts w:ascii="Arial;sans-serif" w:hAnsi="Arial;sans-serif"/>
          <w:b w:val="false"/>
          <w:color w:val="000000"/>
          <w:sz w:val="16"/>
        </w:rPr>
        <w:t xml:space="preserve">Inflows include closing on new capital raised where fees are earned on committed capital, deployment of capital where fees are earned on invested capital, new subscriptions where fees are based on NAV, other changes in invested capital such as the effect of recapitalization and syndication, and FEEUM from acquired investment vehicles. </w:t>
      </w:r>
    </w:p>
    <w:p>
      <w:pPr>
        <w:pStyle w:val="TextBody"/>
        <w:bidi w:val="0"/>
        <w:spacing w:lineRule="auto" w:line="288" w:before="60" w:after="283"/>
        <w:ind w:left="0" w:right="0" w:hanging="270"/>
        <w:jc w:val="left"/>
        <w:rPr/>
      </w:pPr>
      <w:r>
        <w:rPr>
          <w:rFonts w:ascii="Arial;sans-serif" w:hAnsi="Arial;sans-serif"/>
          <w:b w:val="false"/>
          <w:color w:val="000000"/>
          <w:sz w:val="10"/>
        </w:rPr>
        <w:t>(2)    </w:t>
      </w:r>
      <w:r>
        <w:rPr>
          <w:rFonts w:ascii="Arial;sans-serif" w:hAnsi="Arial;sans-serif"/>
          <w:b w:val="false"/>
          <w:color w:val="000000"/>
          <w:sz w:val="16"/>
        </w:rPr>
        <w:t>Outflows include redemptions and withdrawals in Liquid Strategies, realizations where fees are based on invested capital, other changes in invested capital such as the effect of recapitalization and syndication, change in fee basis from committed to invested capital, permanent write-down in investment values, and expiration of fee paying capital.</w:t>
      </w:r>
    </w:p>
    <w:p>
      <w:pPr>
        <w:pStyle w:val="TextBody"/>
        <w:bidi w:val="0"/>
        <w:spacing w:lineRule="auto" w:line="288" w:before="60" w:after="283"/>
        <w:ind w:left="0" w:right="0" w:hanging="270"/>
        <w:jc w:val="left"/>
        <w:rPr/>
      </w:pPr>
      <w:r>
        <w:rPr>
          <w:rFonts w:ascii="Arial;sans-serif" w:hAnsi="Arial;sans-serif"/>
          <w:b w:val="false"/>
          <w:color w:val="000000"/>
          <w:sz w:val="10"/>
        </w:rPr>
        <w:t>(3)    </w:t>
      </w:r>
      <w:r>
        <w:rPr>
          <w:rFonts w:ascii="Arial;sans-serif" w:hAnsi="Arial;sans-serif"/>
          <w:b w:val="false"/>
          <w:color w:val="000000"/>
          <w:sz w:val="16"/>
        </w:rPr>
        <w:t>Market activity includes changes in investment value based on NAV or GAV, and the effect of foreign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Fund Performance Metrics</w:t>
      </w:r>
    </w:p>
    <w:p>
      <w:pPr>
        <w:pStyle w:val="TextBody"/>
        <w:bidi w:val="0"/>
        <w:spacing w:lineRule="auto" w:line="288" w:before="18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Certain performance metrics for our key investment funds from inception through June 30, 2026 are presented in the table below. Excluded are funds with less than one year of performance history as of June 30, 2026, funds and separately managed accounts in the liquid strategy, co-investment vehicles and separately capitalized portfolio companies. The historical performance of our funds is not indicative of their future performance nor indicative of the performance of our other existing funds or of any of our future funds. An investment in DBRG is not an investment in any of our funds and these fund performance metrics are not indicative of the performance of DBRG. </w:t>
      </w:r>
    </w:p>
    <w:tbl>
      <w:tblPr>
        <w:tblW w:w="12784" w:type="dxa"/>
        <w:jc w:val="left"/>
        <w:tblInd w:w="0" w:type="dxa"/>
        <w:tblLayout w:type="fixed"/>
        <w:tblCellMar>
          <w:top w:w="28" w:type="dxa"/>
          <w:left w:w="28" w:type="dxa"/>
          <w:bottom w:w="28" w:type="dxa"/>
          <w:right w:w="28" w:type="dxa"/>
        </w:tblCellMar>
      </w:tblPr>
      <w:tblGrid>
        <w:gridCol w:w="380"/>
        <w:gridCol w:w="333"/>
        <w:gridCol w:w="308"/>
        <w:gridCol w:w="109"/>
        <w:gridCol w:w="109"/>
        <w:gridCol w:w="109"/>
        <w:gridCol w:w="230"/>
        <w:gridCol w:w="230"/>
        <w:gridCol w:w="231"/>
        <w:gridCol w:w="109"/>
        <w:gridCol w:w="109"/>
        <w:gridCol w:w="109"/>
        <w:gridCol w:w="223"/>
        <w:gridCol w:w="652"/>
        <w:gridCol w:w="116"/>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65"/>
        <w:gridCol w:w="165"/>
        <w:gridCol w:w="166"/>
        <w:gridCol w:w="109"/>
        <w:gridCol w:w="109"/>
        <w:gridCol w:w="109"/>
        <w:gridCol w:w="150"/>
        <w:gridCol w:w="150"/>
        <w:gridCol w:w="151"/>
        <w:gridCol w:w="109"/>
        <w:gridCol w:w="109"/>
        <w:gridCol w:w="109"/>
        <w:gridCol w:w="165"/>
        <w:gridCol w:w="165"/>
        <w:gridCol w:w="166"/>
        <w:gridCol w:w="327"/>
        <w:gridCol w:w="511"/>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Inception Date </w:t>
            </w:r>
            <w:r>
              <w:rPr>
                <w:rFonts w:ascii="Arial;sans-serif" w:hAnsi="Arial;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Invested Capital </w:t>
            </w:r>
            <w:r>
              <w:rPr>
                <w:rFonts w:ascii="Arial;sans-serif" w:hAnsi="Arial;sans-serif"/>
                <w:b w:val="false"/>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Available Capital </w:t>
            </w:r>
            <w:r>
              <w:rPr>
                <w:rFonts w:ascii="Arial;sans-serif" w:hAnsi="Arial;sans-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Investment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MOIC </w:t>
            </w:r>
            <w:r>
              <w:rPr>
                <w:rFonts w:ascii="Arial;sans-serif" w:hAnsi="Arial;sans-serif"/>
                <w:b/>
                <w:color w:val="000000"/>
                <w:sz w:val="9"/>
              </w:rPr>
              <w:t>(8)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IRR </w:t>
            </w:r>
            <w:r>
              <w:rPr>
                <w:rFonts w:ascii="Arial;sans-serif" w:hAnsi="Arial;sans-serif"/>
                <w:b/>
                <w:color w:val="000000"/>
                <w:sz w:val="9"/>
              </w:rPr>
              <w:t>(9) (10)</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Fund</w:t>
            </w:r>
            <w:r>
              <w:rPr>
                <w:color w:val="000000"/>
              </w:rPr>
              <w:t xml:space="preserve"> </w:t>
            </w:r>
            <w:r>
              <w:rPr>
                <w:rFonts w:ascii="Arial;sans-serif" w:hAnsi="Arial;sans-serif"/>
                <w:b w:val="false"/>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Unrealized </w:t>
            </w:r>
            <w:r>
              <w:rPr>
                <w:rFonts w:ascii="Arial;sans-serif" w:hAnsi="Arial;sans-serif"/>
                <w:b/>
                <w:color w:val="000000"/>
                <w:sz w:val="9"/>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Realized </w:t>
            </w:r>
            <w:r>
              <w:rPr>
                <w:rFonts w:ascii="Arial;sans-serif" w:hAnsi="Arial;sans-serif"/>
                <w:b/>
                <w:color w:val="000000"/>
                <w:sz w:val="9"/>
              </w:rPr>
              <w:t>(6)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Total </w:t>
            </w:r>
            <w:r>
              <w:rPr>
                <w:rFonts w:ascii="Arial;sans-serif" w:hAnsi="Arial;sans-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Value-Add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DBP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val="false"/>
                <w:color w:val="000000"/>
                <w:sz w:val="18"/>
              </w:rPr>
            </w:pPr>
            <w:r>
              <w:rPr>
                <w:rFonts w:ascii="Arial;sans-serif" w:hAnsi="Arial;sans-serif"/>
                <w:b w:val="false"/>
                <w:color w:val="000000"/>
                <w:sz w:val="18"/>
              </w:rPr>
              <w:t>6.0%</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DBP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7.8%</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&lt;0%</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InfraBridge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GIF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val="false"/>
                <w:color w:val="000000"/>
                <w:sz w:val="18"/>
              </w:rPr>
            </w:pPr>
            <w:r>
              <w:rPr>
                <w:rFonts w:ascii="Arial;sans-serif" w:hAnsi="Arial;sans-serif"/>
                <w:b w:val="false"/>
                <w:color w:val="000000"/>
                <w:sz w:val="18"/>
              </w:rPr>
              <w:t>5.7%</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GIF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&lt;0%</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val="false"/>
                <w:color w:val="000000"/>
                <w:sz w:val="18"/>
              </w:rPr>
            </w:pPr>
            <w:r>
              <w:rPr>
                <w:rFonts w:ascii="Arial;sans-serif" w:hAnsi="Arial;sans-serif"/>
                <w:b w:val="false"/>
                <w:color w:val="000000"/>
                <w:sz w:val="18"/>
              </w:rPr>
              <w:t>8.5%</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11.6%</w:t>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270"/>
        <w:jc w:val="left"/>
        <w:rPr/>
      </w:pPr>
      <w:r>
        <w:rPr>
          <w:rFonts w:ascii="Arial;sans-serif" w:hAnsi="Arial;sans-serif"/>
          <w:b w:val="false"/>
          <w:color w:val="000000"/>
          <w:sz w:val="10"/>
        </w:rPr>
        <w:t>(1)    </w:t>
      </w:r>
      <w:r>
        <w:rPr>
          <w:rFonts w:ascii="Arial;sans-serif" w:hAnsi="Arial;sans-serif"/>
          <w:b w:val="false"/>
          <w:color w:val="000000"/>
          <w:sz w:val="16"/>
        </w:rPr>
        <w:t xml:space="preserve">Performance metrics are presented in aggregate for main fund vehicle, its parallel vehicles and alternative investment vehicles. </w:t>
      </w:r>
    </w:p>
    <w:p>
      <w:pPr>
        <w:pStyle w:val="TextBody"/>
        <w:bidi w:val="0"/>
        <w:spacing w:lineRule="auto" w:line="288" w:before="60" w:after="283"/>
        <w:ind w:left="0" w:right="0" w:hanging="270"/>
        <w:jc w:val="left"/>
        <w:rPr/>
      </w:pPr>
      <w:r>
        <w:rPr>
          <w:rFonts w:ascii="Arial;sans-serif" w:hAnsi="Arial;sans-serif"/>
          <w:b w:val="false"/>
          <w:color w:val="000000"/>
          <w:sz w:val="10"/>
        </w:rPr>
        <w:t>(2)    </w:t>
      </w:r>
      <w:r>
        <w:rPr>
          <w:rFonts w:ascii="Arial;sans-serif" w:hAnsi="Arial;sans-serif"/>
          <w:b w:val="false"/>
          <w:color w:val="000000"/>
          <w:sz w:val="16"/>
        </w:rPr>
        <w:t>Inception date represents first close date of the fund, except for Credit funds which is the first capital call date. The manager/general partner of the InfraBridge funds were acquired in February 2023.</w:t>
      </w:r>
    </w:p>
    <w:p>
      <w:pPr>
        <w:pStyle w:val="TextBody"/>
        <w:bidi w:val="0"/>
        <w:spacing w:lineRule="auto" w:line="288" w:before="60" w:after="283"/>
        <w:ind w:left="0" w:right="0" w:hanging="270"/>
        <w:jc w:val="left"/>
        <w:rPr/>
      </w:pPr>
      <w:r>
        <w:rPr>
          <w:rFonts w:ascii="Arial;sans-serif" w:hAnsi="Arial;sans-serif"/>
          <w:b w:val="false"/>
          <w:color w:val="000000"/>
          <w:sz w:val="10"/>
        </w:rPr>
        <w:t>(3)    </w:t>
      </w:r>
      <w:r>
        <w:rPr>
          <w:rFonts w:ascii="Arial;sans-serif" w:hAnsi="Arial;sans-serif"/>
          <w:b w:val="false"/>
          <w:color w:val="000000"/>
          <w:sz w:val="16"/>
        </w:rPr>
        <w:t>Invested capital represents the original cost and subsequent fundings to investments. Invested capital includes financing costs and investment related expenses which are capitalized. With respect to InfraBridge funds, such costs are expensed during the period and excluded from their determination of invested capital.</w:t>
      </w:r>
    </w:p>
    <w:p>
      <w:pPr>
        <w:pStyle w:val="TextBody"/>
        <w:bidi w:val="0"/>
        <w:spacing w:lineRule="auto" w:line="288" w:before="60" w:after="283"/>
        <w:ind w:left="0" w:right="0" w:hanging="270"/>
        <w:jc w:val="left"/>
        <w:rPr/>
      </w:pPr>
      <w:r>
        <w:rPr>
          <w:rFonts w:ascii="Arial;sans-serif" w:hAnsi="Arial;sans-serif"/>
          <w:b w:val="false"/>
          <w:color w:val="000000"/>
          <w:sz w:val="10"/>
        </w:rPr>
        <w:t>(4)    </w:t>
      </w:r>
      <w:r>
        <w:rPr>
          <w:rFonts w:ascii="Arial;sans-serif" w:hAnsi="Arial;sans-serif"/>
          <w:b w:val="false"/>
          <w:color w:val="000000"/>
          <w:sz w:val="16"/>
        </w:rPr>
        <w:t>Available capital represents unfunded commitments, including recallable capital.</w:t>
      </w:r>
    </w:p>
    <w:p>
      <w:pPr>
        <w:pStyle w:val="TextBody"/>
        <w:bidi w:val="0"/>
        <w:spacing w:lineRule="auto" w:line="288" w:before="60" w:after="283"/>
        <w:ind w:left="0" w:right="0" w:hanging="270"/>
        <w:jc w:val="left"/>
        <w:rPr/>
      </w:pPr>
      <w:r>
        <w:rPr>
          <w:rFonts w:ascii="Arial;sans-serif" w:hAnsi="Arial;sans-serif"/>
          <w:b w:val="false"/>
          <w:color w:val="000000"/>
          <w:sz w:val="10"/>
        </w:rPr>
        <w:t>(5)    </w:t>
      </w:r>
      <w:r>
        <w:rPr>
          <w:rFonts w:ascii="Arial;sans-serif" w:hAnsi="Arial;sans-serif"/>
          <w:b w:val="false"/>
          <w:color w:val="000000"/>
          <w:sz w:val="16"/>
        </w:rPr>
        <w:t>Unrealized value represents total fair value of investments, net of outstanding balance under the fund’s credit facility, if any.</w:t>
      </w:r>
    </w:p>
    <w:p>
      <w:pPr>
        <w:pStyle w:val="TextBody"/>
        <w:bidi w:val="0"/>
        <w:spacing w:lineRule="auto" w:line="288" w:before="60" w:after="283"/>
        <w:ind w:left="0" w:right="0" w:hanging="270"/>
        <w:jc w:val="left"/>
        <w:rPr/>
      </w:pPr>
      <w:r>
        <w:rPr>
          <w:rFonts w:ascii="Arial;sans-serif" w:hAnsi="Arial;sans-serif"/>
          <w:b w:val="false"/>
          <w:color w:val="000000"/>
          <w:sz w:val="10"/>
        </w:rPr>
        <w:t>(6)    </w:t>
      </w:r>
      <w:r>
        <w:rPr>
          <w:rFonts w:ascii="Arial;sans-serif" w:hAnsi="Arial;sans-serif"/>
          <w:b w:val="false"/>
          <w:color w:val="000000"/>
          <w:sz w:val="16"/>
        </w:rPr>
        <w:t>Realized value represents proceeds from dispositions that have closed and all earnings from both realized and unrealized investments, including interest, dividend and ticking fees.</w:t>
      </w:r>
    </w:p>
    <w:p>
      <w:pPr>
        <w:pStyle w:val="TextBody"/>
        <w:bidi w:val="0"/>
        <w:spacing w:lineRule="auto" w:line="288" w:before="60" w:after="283"/>
        <w:ind w:left="0" w:right="0" w:hanging="270"/>
        <w:jc w:val="left"/>
        <w:rPr/>
      </w:pPr>
      <w:r>
        <w:rPr>
          <w:rFonts w:ascii="Arial;sans-serif" w:hAnsi="Arial;sans-serif"/>
          <w:b w:val="false"/>
          <w:color w:val="000000"/>
          <w:sz w:val="10"/>
        </w:rPr>
        <w:t>(7)    </w:t>
      </w:r>
      <w:r>
        <w:rPr>
          <w:rFonts w:ascii="Arial;sans-serif" w:hAnsi="Arial;sans-serif"/>
          <w:b w:val="false"/>
          <w:color w:val="000000"/>
          <w:sz w:val="16"/>
        </w:rPr>
        <w:t>Total value is the sum of unrealized fair value and realized value of investments.</w:t>
      </w:r>
    </w:p>
    <w:p>
      <w:pPr>
        <w:pStyle w:val="TextBody"/>
        <w:bidi w:val="0"/>
        <w:spacing w:lineRule="auto" w:line="288" w:before="60" w:after="283"/>
        <w:ind w:left="0" w:right="0" w:hanging="270"/>
        <w:jc w:val="left"/>
        <w:rPr/>
      </w:pPr>
      <w:r>
        <w:rPr>
          <w:rFonts w:ascii="Arial;sans-serif" w:hAnsi="Arial;sans-serif"/>
          <w:b w:val="false"/>
          <w:color w:val="000000"/>
          <w:sz w:val="10"/>
        </w:rPr>
        <w:t>(8)    </w:t>
      </w:r>
      <w:r>
        <w:rPr>
          <w:rFonts w:ascii="Arial;sans-serif" w:hAnsi="Arial;sans-serif"/>
          <w:b w:val="false"/>
          <w:color w:val="000000"/>
          <w:sz w:val="16"/>
        </w:rPr>
        <w:t xml:space="preserve">Total gross multiple of invested capital ("MOIC") is calculated as the limited partners' portion of the fair value of unrealized investments, net of outstanding balance funded through the fund's credit facility, if any, plus any accrued but unpaid interest and coupon payments received, and limited partner realized distributions gross of general partner carried interest, divided by total limited partner contributions, without giving effect to the allocation of management fee expense, other fund expenses and general partner carried interest (both distributed and unrealized). </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xml:space="preserve">Total net MOIC is calculated as the limited partners' portion of the fund's NAV plus limited partner realized distributions net of carried interest, divided by total limited partner contributions, after giving effect to the allocation of management fee expense, other fund expenses and general partner carried interest (both distributed and unrealized). </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xml:space="preserve">MOIC calculations exclude capital not subject to fees and/or carried interest, including general partner and general partner affiliate capital. MOICs are calculated at the fund level and do not reflect MOICs at the individual investor level. </w:t>
      </w:r>
    </w:p>
    <w:p>
      <w:pPr>
        <w:pStyle w:val="TextBody"/>
        <w:bidi w:val="0"/>
        <w:spacing w:lineRule="auto" w:line="288" w:before="60" w:after="283"/>
        <w:ind w:left="0" w:right="0" w:hanging="270"/>
        <w:jc w:val="left"/>
        <w:rPr/>
      </w:pPr>
      <w:r>
        <w:rPr>
          <w:rFonts w:ascii="Arial;sans-serif" w:hAnsi="Arial;sans-serif"/>
          <w:b w:val="false"/>
          <w:color w:val="000000"/>
          <w:sz w:val="10"/>
        </w:rPr>
        <w:t>(9)    </w:t>
      </w:r>
      <w:r>
        <w:rPr>
          <w:rFonts w:ascii="Arial;sans-serif" w:hAnsi="Arial;sans-serif"/>
          <w:b w:val="false"/>
          <w:color w:val="000000"/>
          <w:sz w:val="16"/>
        </w:rPr>
        <w:t>Gross internal rate of return ("IRR") represents annualized money-weighted return on invested capital based upon total value of limited partner contributions, that is limited partner realized distributions and limited partner unrealized NAV (based upon fair value of unrealized investments), without giving effect to the allocation of management fee expense, other fund expenses and general partner carried interest (both distributed and unrealized). Gross IRR is calculated from the date of the first capital call from limited partners (and therefore taking into account the use of any credit facility at the fund level) through the date of limited partner distributions for realized investments. For funds with unrealized investments, gross IRR uses a liquidating distribution equal to the limited partners' portion of the fair value of unrealized investments, net of outstanding amounts funded through the fund's credit facility, if any. Gross IRR is calculated at the fund level and does not reflect gross IRR of any individual investor due to timing of investor level inflows and outflows, among other factors.</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Net IRR is gross IRR after giving effect to the allocation of management fee expense, other fund expenses and general partner carried interest (both distributed and unrealized). Net IRR is calculated at the total fee-paying limited partner level and based upon the timing and amount of fee-paying third party limited partner inflows and outflows, and excludes capital not subject to fees and/or carried interest, including the portion of capital attributable to the general partner and general partner affiliate. As fees may vary by individual investor, net IRR does not represent the return of any individual investor.</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With respect to funds that have utilized borrowings from a credit facility to fund portfolio investments, organization expenses, partnership expenses, management fees, or other amounts in lieu of calling capital from limited partners for such purposes, gross and net IRR of the fund differs from what the IRR would have been if such borrowings or financings had not been utilized. Because IRR is calculated based on the actual dates of capital contributions from, and distributions to, limited partners (rather than based on the timing of when investments were made, for example), the use of such borrowings and financings in lieu or in advance of calling capital delays capital contributions from limited partners, generally resulting in higher IRRs than if such borrowings or financings had not been utilized and capital was called earlier from limited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60" w:after="283"/>
        <w:ind w:left="0" w:right="0" w:hanging="270"/>
        <w:jc w:val="left"/>
        <w:rPr/>
      </w:pPr>
      <w:r>
        <w:rPr>
          <w:rFonts w:ascii="Arial;sans-serif" w:hAnsi="Arial;sans-serif"/>
          <w:b w:val="false"/>
          <w:color w:val="000000"/>
          <w:sz w:val="10"/>
        </w:rPr>
        <w:t>(10)    </w:t>
      </w:r>
      <w:r>
        <w:rPr>
          <w:rFonts w:ascii="Arial;sans-serif" w:hAnsi="Arial;sans-serif"/>
          <w:b w:val="false"/>
          <w:color w:val="000000"/>
          <w:sz w:val="16"/>
        </w:rPr>
        <w:t xml:space="preserve">Our funds generally permit us to recycle certain capital distributed to limited partners during certain time periods. The exclusion of recycled capital generally causes invested and realized amounts to be lower and MOICs to be higher than had recycled capital been included. </w:t>
      </w:r>
    </w:p>
    <w:p>
      <w:pPr>
        <w:pStyle w:val="TextBody"/>
        <w:bidi w:val="0"/>
        <w:spacing w:before="60" w:after="283"/>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504" w:type="dxa"/>
        <w:jc w:val="left"/>
        <w:tblInd w:w="0" w:type="dxa"/>
        <w:tblLayout w:type="fixed"/>
        <w:tblCellMar>
          <w:top w:w="28" w:type="dxa"/>
          <w:left w:w="28" w:type="dxa"/>
          <w:bottom w:w="28" w:type="dxa"/>
          <w:right w:w="28" w:type="dxa"/>
        </w:tblCellMar>
      </w:tblPr>
      <w:tblGrid>
        <w:gridCol w:w="1089"/>
        <w:gridCol w:w="325"/>
        <w:gridCol w:w="297"/>
        <w:gridCol w:w="109"/>
        <w:gridCol w:w="109"/>
        <w:gridCol w:w="109"/>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51"/>
        <w:gridCol w:w="575"/>
        <w:gridCol w:w="109"/>
        <w:gridCol w:w="109"/>
        <w:gridCol w:w="109"/>
        <w:gridCol w:w="109"/>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Carried interest allocation (reversal)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expense—cash and equity-based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expense—incentive fee and carried interest allocation (reversal)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(Loss) from discontinued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attributable to DigitalBridge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Revenues</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Total revenues were $508.7 million and $580.9 million in the three and six months ended June 30, 2026, respectively. In 2025, total revenues were negative $3.2 million in the three months ended June 30, 2025, and positive $42.2 million in the six months ended June 30, 2025. The changes in total revenues were driven by variability in unrealized carried interest (which could be subject to reversal) and unrealized principal investment income, both of which are a function of fair value changes in the underlying investments of our funds. </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key components of revenue are discussed in more detail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Fee Revenue</w:t>
      </w:r>
    </w:p>
    <w:tbl>
      <w:tblPr>
        <w:tblW w:w="10205" w:type="dxa"/>
        <w:jc w:val="left"/>
        <w:tblInd w:w="0" w:type="dxa"/>
        <w:tblLayout w:type="fixed"/>
        <w:tblCellMar>
          <w:top w:w="28" w:type="dxa"/>
          <w:left w:w="28" w:type="dxa"/>
          <w:bottom w:w="28" w:type="dxa"/>
          <w:right w:w="28" w:type="dxa"/>
        </w:tblCellMar>
      </w:tblPr>
      <w:tblGrid>
        <w:gridCol w:w="732"/>
        <w:gridCol w:w="555"/>
        <w:gridCol w:w="558"/>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6"/>
      </w:tblGrid>
      <w:tr>
        <w:trPr/>
        <w:tc>
          <w:tcPr>
            <w:tcW w:w="7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Arial;sans-serif" w:hAnsi="Arial;sans-serif"/>
                <w:b w:val="false"/>
                <w:color w:val="000000"/>
                <w:sz w:val="18"/>
              </w:rPr>
            </w:pPr>
            <w:r>
              <w:rPr>
                <w:rFonts w:ascii="Arial;sans-serif" w:hAnsi="Arial;sans-serif"/>
                <w:b w:val="false"/>
                <w:color w:val="000000"/>
                <w:sz w:val="18"/>
              </w:rPr>
              <w:t xml:space="preserve">Management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Management fees—catch up</w:t>
            </w:r>
            <w:r>
              <w:rPr>
                <w:color w:val="000000"/>
              </w:rPr>
              <w:t xml:space="preserv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18"/>
              </w:rPr>
            </w:pPr>
            <w:r>
              <w:rPr>
                <w:rFonts w:ascii="Arial;sans-serif" w:hAnsi="Arial;sans-serif"/>
                <w:b w:val="false"/>
                <w:color w:val="000000"/>
                <w:sz w:val="18"/>
              </w:rPr>
              <w:t>Incentive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Arial;sans-serif" w:hAnsi="Arial;sans-serif"/>
                <w:b w:val="false"/>
                <w:color w:val="000000"/>
                <w:sz w:val="18"/>
              </w:rPr>
            </w:pPr>
            <w:r>
              <w:rPr>
                <w:rFonts w:ascii="Arial;sans-serif" w:hAnsi="Arial;sans-serif"/>
                <w:b w:val="false"/>
                <w:color w:val="000000"/>
                <w:sz w:val="18"/>
              </w:rPr>
              <w:t>Other 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180"/>
        <w:jc w:val="left"/>
        <w:rPr/>
      </w:pPr>
      <w:r>
        <w:rPr>
          <w:rFonts w:ascii="Arial;sans-serif" w:hAnsi="Arial;sans-serif"/>
          <w:b w:val="false"/>
          <w:color w:val="000000"/>
          <w:sz w:val="10"/>
        </w:rPr>
        <w:t>(1)    </w:t>
      </w:r>
      <w:r>
        <w:rPr>
          <w:rFonts w:ascii="Arial;sans-serif" w:hAnsi="Arial;sans-serif"/>
          <w:b w:val="false"/>
          <w:color w:val="000000"/>
          <w:sz w:val="16"/>
        </w:rPr>
        <w:t>Catch-up fees are management fees charged in any given period that pertain to prior periods. With respect to subsequent closing of commitments during the fundraising period, management fees based upon commitments are charged retroactively to the fee activation date at initial closing of the fund through the subsequent close date.</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Fee revenue was $2.6 million or 3% higher at $87.8 million in the quarter-to-date comparison, but largely consistent at $175.1 million in the year-to-date comparison.</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higher fees in the second quarter of 2026 can be attributed mainly to deal transaction fees. While capital raises and deployments since July 2025 contributed additional fees, this was partially offset by the absence of catch-up fees in 2026 from our third flagship fund (which had its final closing in October 2025) and the effect of investment realizations.</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 xml:space="preserve">Carried Interest </w:t>
      </w:r>
    </w:p>
    <w:tbl>
      <w:tblPr>
        <w:tblW w:w="10037" w:type="dxa"/>
        <w:jc w:val="left"/>
        <w:tblInd w:w="0" w:type="dxa"/>
        <w:tblLayout w:type="fixed"/>
        <w:tblCellMar>
          <w:top w:w="28" w:type="dxa"/>
          <w:left w:w="28" w:type="dxa"/>
          <w:bottom w:w="28" w:type="dxa"/>
          <w:right w:w="28" w:type="dxa"/>
        </w:tblCellMar>
      </w:tblPr>
      <w:tblGrid>
        <w:gridCol w:w="515"/>
        <w:gridCol w:w="454"/>
        <w:gridCol w:w="455"/>
        <w:gridCol w:w="109"/>
        <w:gridCol w:w="109"/>
        <w:gridCol w:w="109"/>
        <w:gridCol w:w="211"/>
        <w:gridCol w:w="826"/>
        <w:gridCol w:w="109"/>
        <w:gridCol w:w="109"/>
        <w:gridCol w:w="109"/>
        <w:gridCol w:w="109"/>
        <w:gridCol w:w="211"/>
        <w:gridCol w:w="901"/>
        <w:gridCol w:w="109"/>
        <w:gridCol w:w="109"/>
        <w:gridCol w:w="109"/>
        <w:gridCol w:w="109"/>
        <w:gridCol w:w="211"/>
        <w:gridCol w:w="616"/>
        <w:gridCol w:w="109"/>
        <w:gridCol w:w="109"/>
        <w:gridCol w:w="109"/>
        <w:gridCol w:w="109"/>
        <w:gridCol w:w="211"/>
        <w:gridCol w:w="826"/>
        <w:gridCol w:w="109"/>
        <w:gridCol w:w="109"/>
        <w:gridCol w:w="109"/>
        <w:gridCol w:w="109"/>
        <w:gridCol w:w="211"/>
        <w:gridCol w:w="901"/>
        <w:gridCol w:w="109"/>
        <w:gridCol w:w="109"/>
        <w:gridCol w:w="109"/>
        <w:gridCol w:w="109"/>
        <w:gridCol w:w="211"/>
        <w:gridCol w:w="616"/>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4"/>
              </w:rPr>
            </w:pPr>
            <w:r>
              <w:rPr>
                <w:rFonts w:ascii="Arial;sans-serif" w:hAnsi="Arial;sans-serif"/>
                <w:b/>
                <w:color w:val="000000"/>
                <w:sz w:val="14"/>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Carried interest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Carried interest allocation represents gross carried interest from our general partner interests in sponsored investment vehicles prior to allocations to management and a third party participation interest. Unrealized carried interest is subject to adjustments each period, including reversals, based upon the extent to which cumulative performance of the funds, which are driven by underlying investments that are measured at fair value, exceed their minimum return hurdles. When investment fair values fall below fund return hurdles or remain constant and preferred returns on unreturned capital accumulate, this may result in a reversal of unrealized carried interest previously recognized. The resulting effects may be further exacerbated given the early lifecycle of our funds. This is described further in Note 3 to the consolidated financial statements.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Distributed carried interest was $9.4 million in the second quarter of 2026 (of which our share net of management allocation was $3.8 million) and $2.5 million in the first quarter of 2025 (of which our share net of management allocation was $0.9 million), with the higher amount in 2026 contributed by our credit fund.</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Unrealized carried interest saw a large positive swing in 2026 driven by fair value increases in data center investments held primarily by our co-investment vehicles.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Unrealized carried interest in the 2026 year-to-date period also included an incremental obligation to clawback carried interest of $7.7 million assuming a hypothetical liquidation of a carry paying fund. Of this amount, $6.8 million would be recoverable from current and former employees and a third party participation interest, resulting in an incremental liability to the Company of $0.9 million in 2026.</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Principal Investment Income</w:t>
      </w:r>
    </w:p>
    <w:tbl>
      <w:tblPr>
        <w:tblW w:w="10205" w:type="dxa"/>
        <w:jc w:val="left"/>
        <w:tblInd w:w="0" w:type="dxa"/>
        <w:tblLayout w:type="fixed"/>
        <w:tblCellMar>
          <w:top w:w="28" w:type="dxa"/>
          <w:left w:w="28" w:type="dxa"/>
          <w:bottom w:w="28" w:type="dxa"/>
          <w:right w:w="28" w:type="dxa"/>
        </w:tblCellMar>
      </w:tblPr>
      <w:tblGrid>
        <w:gridCol w:w="664"/>
        <w:gridCol w:w="576"/>
        <w:gridCol w:w="569"/>
        <w:gridCol w:w="109"/>
        <w:gridCol w:w="109"/>
        <w:gridCol w:w="109"/>
        <w:gridCol w:w="211"/>
        <w:gridCol w:w="826"/>
        <w:gridCol w:w="109"/>
        <w:gridCol w:w="109"/>
        <w:gridCol w:w="109"/>
        <w:gridCol w:w="109"/>
        <w:gridCol w:w="211"/>
        <w:gridCol w:w="757"/>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616"/>
        <w:gridCol w:w="156"/>
      </w:tblGrid>
      <w:tr>
        <w:trPr/>
        <w:tc>
          <w:tcPr>
            <w:tcW w:w="66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4"/>
              </w:rPr>
            </w:pPr>
            <w:r>
              <w:rPr>
                <w:rFonts w:ascii="Arial;sans-serif" w:hAnsi="Arial;sans-serif"/>
                <w:b/>
                <w:color w:val="000000"/>
                <w:sz w:val="14"/>
              </w:rPr>
              <w:t>Change</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investment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Principal investment income represents the Company's proportionate share of net income (loss) from investments in its sponsored investment vehicles. Income (loss) on principal investments is realized generally when all or a portion of an investment is disposed, redeemed or repaid or if the Company no longer retains control, or when the Company receives income such as dividends, interest or other distributions of earnings.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Realized principal investment loss in the second quarter of 2025 was driven by a $40.3 million loss from a portfolio company in an InfraBridge fund that pertained to invested capital funded in prior years. In the 2025 year-to-date period, this loss was more than offset by realized income from other investments, primarily $34.0 million of income distribution in connection with a secondary sale of equity by our DataBank portfolio company.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2026, the large unrealized principal investment income can be attributed to fair value increases in data center investments in the second quarter, held primarily by our co-investment vehicles. </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Other income saw marginal increases of $0.8 million to $7.0 million in the quarter-to-date comparison and $0.4 million to $12.1 million in the year-to-date comparison. The increases resulted from higher interest income from corporate cash and from consolidated liquid funds in both periods under comparison, while cost reimbursements from managed investment vehicles were higher in the quarter-to-date comparison ($0.5 million) but lower in the year-to-date comparison ($0.6 million).</w:t>
      </w:r>
    </w:p>
    <w:p>
      <w:pPr>
        <w:pStyle w:val="TextBody"/>
        <w:bidi w:val="0"/>
        <w:spacing w:lineRule="auto" w:line="288" w:before="180" w:after="283"/>
        <w:ind w:left="0" w:right="0" w:firstLine="180"/>
        <w:jc w:val="left"/>
        <w:rPr>
          <w:rFonts w:ascii="Arial;sans-serif" w:hAnsi="Arial;sans-serif"/>
          <w:b/>
          <w:color w:val="000000"/>
          <w:sz w:val="20"/>
        </w:rPr>
      </w:pPr>
      <w:r>
        <w:rPr>
          <w:rFonts w:ascii="Arial;sans-serif" w:hAnsi="Arial;sans-serif"/>
          <w:b/>
          <w:color w:val="000000"/>
          <w:sz w:val="20"/>
        </w:rPr>
        <w:t>Expenses</w:t>
      </w:r>
    </w:p>
    <w:p>
      <w:pPr>
        <w:pStyle w:val="TextBody"/>
        <w:bidi w:val="0"/>
        <w:spacing w:lineRule="auto" w:line="288" w:before="180" w:after="283"/>
        <w:ind w:left="0" w:right="0" w:firstLine="450"/>
        <w:jc w:val="left"/>
        <w:rPr/>
      </w:pPr>
      <w:r>
        <w:rPr>
          <w:rFonts w:ascii="Arial;sans-serif" w:hAnsi="Arial;sans-serif"/>
          <w:b w:val="false"/>
          <w:color w:val="000000"/>
          <w:sz w:val="20"/>
        </w:rPr>
        <w:t>Total expenses were $274.9 million and $32.4 million in the three months ended June 30, 2026 and 2025</w:t>
      </w:r>
      <w:r>
        <w:rPr>
          <w:rFonts w:ascii="Arial;sans-serif" w:hAnsi="Arial;sans-serif"/>
          <w:b w:val="false"/>
          <w:color w:val="000000"/>
          <w:sz w:val="18"/>
        </w:rPr>
        <w:t xml:space="preserve">, </w:t>
      </w:r>
      <w:r>
        <w:rPr>
          <w:rFonts w:ascii="Arial;sans-serif" w:hAnsi="Arial;sans-serif"/>
          <w:b w:val="false"/>
          <w:color w:val="000000"/>
          <w:sz w:val="20"/>
        </w:rPr>
        <w:t>respectively</w:t>
      </w:r>
      <w:r>
        <w:rPr>
          <w:rFonts w:ascii="Arial;sans-serif" w:hAnsi="Arial;sans-serif"/>
          <w:b w:val="false"/>
          <w:color w:val="000000"/>
          <w:sz w:val="18"/>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$343.7 million and $87.7 million in the six months ended June 30, 2026 and 2025, respectively. The significant increase in both periods is driven by higher unrealized carried interest compensation, which is a function of changes in unrealized fair value of underlying fund investments.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Changes in the various expense items are discussed below.</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Compensation Expense</w:t>
      </w:r>
    </w:p>
    <w:tbl>
      <w:tblPr>
        <w:tblW w:w="10205" w:type="dxa"/>
        <w:jc w:val="left"/>
        <w:tblInd w:w="0" w:type="dxa"/>
        <w:tblLayout w:type="fixed"/>
        <w:tblCellMar>
          <w:top w:w="28" w:type="dxa"/>
          <w:left w:w="28" w:type="dxa"/>
          <w:bottom w:w="28" w:type="dxa"/>
          <w:right w:w="28" w:type="dxa"/>
        </w:tblCellMar>
      </w:tblPr>
      <w:tblGrid>
        <w:gridCol w:w="688"/>
        <w:gridCol w:w="606"/>
        <w:gridCol w:w="610"/>
        <w:gridCol w:w="109"/>
        <w:gridCol w:w="109"/>
        <w:gridCol w:w="109"/>
        <w:gridCol w:w="211"/>
        <w:gridCol w:w="826"/>
        <w:gridCol w:w="109"/>
        <w:gridCol w:w="109"/>
        <w:gridCol w:w="109"/>
        <w:gridCol w:w="109"/>
        <w:gridCol w:w="211"/>
        <w:gridCol w:w="744"/>
        <w:gridCol w:w="109"/>
        <w:gridCol w:w="109"/>
        <w:gridCol w:w="109"/>
        <w:gridCol w:w="109"/>
        <w:gridCol w:w="211"/>
        <w:gridCol w:w="616"/>
        <w:gridCol w:w="109"/>
        <w:gridCol w:w="109"/>
        <w:gridCol w:w="109"/>
        <w:gridCol w:w="109"/>
        <w:gridCol w:w="211"/>
        <w:gridCol w:w="826"/>
        <w:gridCol w:w="109"/>
        <w:gridCol w:w="109"/>
        <w:gridCol w:w="109"/>
        <w:gridCol w:w="109"/>
        <w:gridCol w:w="211"/>
        <w:gridCol w:w="744"/>
        <w:gridCol w:w="109"/>
        <w:gridCol w:w="109"/>
        <w:gridCol w:w="109"/>
        <w:gridCol w:w="109"/>
        <w:gridCol w:w="211"/>
        <w:gridCol w:w="616"/>
        <w:gridCol w:w="156"/>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4"/>
              </w:rPr>
            </w:pPr>
            <w:r>
              <w:rPr>
                <w:rFonts w:ascii="Arial;sans-serif" w:hAnsi="Arial;sans-serif"/>
                <w:b/>
                <w:color w:val="000000"/>
                <w:sz w:val="14"/>
              </w:rPr>
              <w:t>Change</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equity-based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Incentive fee and carried interest compensation allocation (reversal)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Carried interest distributed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Carried interest unrealized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Incentive fees realized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increase in cash compensation for both periods under comparison is driven by higher accruals of performance based incentive compensation, as well as severance and retention costs. Additionally, cash compensation and incentive fee compensation increased in the year-to-date comparison due to an incentive arrangement tied to income earned in prior periods.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Equity-based compensation was lower in both periods under comparison, driven by timing of annual equity award grants which occurred in June this year compared to March in prior years and a reduction in accelerated vesting.</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Carried interest compensation in all periods were consistent with carried interest allocation (reversal) recognized in the corresponding period, as discussed in the revenue section above. </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Administrative and Other Expenses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Administrative and other expenses were $10.3 million higher at $21.8 million in the quarter-to-date comparison and $14.1 million higher at $41.5 million in the year-to-date comparison. In 2025, expenses were netted down by insurance recoveries related to litigation costs incurred in prior years ($7.6 million quarter-to-date and $18.8 million year-to-date), and also included estimated loss related to an employment arbitration (net reduction of $3.1 million quarter-to-date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net accrual of $2.2 million year-to-date). Excluding these discrete items in 2025, expenses were largely consistent in both periods under comparison. </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20" w:after="283"/>
        <w:ind w:left="0" w:right="0" w:firstLine="450"/>
        <w:jc w:val="left"/>
        <w:rPr/>
      </w:pPr>
      <w:r>
        <w:rPr>
          <w:rFonts w:ascii="Arial;sans-serif" w:hAnsi="Arial;sans-serif"/>
          <w:b w:val="false"/>
          <w:color w:val="000000"/>
          <w:sz w:val="20"/>
        </w:rPr>
        <w:t>Interest expense was $5.5 million and $9.0 million in the three and six months ended June 30, 2026</w:t>
      </w:r>
      <w:r>
        <w:rPr>
          <w:rFonts w:ascii="Arial;sans-serif" w:hAnsi="Arial;sans-serif"/>
          <w:b w:val="false"/>
          <w:color w:val="000000"/>
          <w:sz w:val="18"/>
        </w:rPr>
        <w:t xml:space="preserve">, </w:t>
      </w:r>
      <w:r>
        <w:rPr>
          <w:rFonts w:ascii="Arial;sans-serif" w:hAnsi="Arial;sans-serif"/>
          <w:b w:val="false"/>
          <w:color w:val="000000"/>
          <w:sz w:val="20"/>
        </w:rPr>
        <w:t>an increase of $0.9 million and $0.6 million, respectively, due to higher interest rate on our replacement senior notes issued in May 2026.</w:t>
      </w:r>
    </w:p>
    <w:p>
      <w:pPr>
        <w:pStyle w:val="TextBody"/>
        <w:bidi w:val="0"/>
        <w:spacing w:lineRule="auto" w:line="288" w:before="180" w:after="283"/>
        <w:ind w:left="0" w:right="0" w:firstLine="270"/>
        <w:jc w:val="left"/>
        <w:rPr>
          <w:rFonts w:ascii="Arial;sans-serif" w:hAnsi="Arial;sans-serif"/>
          <w:b/>
          <w:i/>
          <w:color w:val="000000"/>
          <w:sz w:val="20"/>
        </w:rPr>
      </w:pPr>
      <w:r>
        <w:rPr>
          <w:rFonts w:ascii="Arial;sans-serif" w:hAnsi="Arial;sans-serif"/>
          <w:b/>
          <w:i/>
          <w:color w:val="000000"/>
          <w:sz w:val="20"/>
        </w:rPr>
        <w:t>Transaction-Related Costs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Transaction-related costs were $6.2 million and $20.4 million in the three and six months ended June 30, 2026, an increase of $2.0 million and $11.7 million, respectively, reflecting costs incurred related to the Company's two pending acquisition transactions, separately as acquiree and acquirer.</w:t>
      </w:r>
    </w:p>
    <w:p>
      <w:pPr>
        <w:pStyle w:val="TextBody"/>
        <w:bidi w:val="0"/>
        <w:spacing w:lineRule="auto" w:line="288" w:before="180" w:after="120"/>
        <w:ind w:left="0" w:right="0" w:firstLine="270"/>
        <w:jc w:val="left"/>
        <w:rPr>
          <w:rFonts w:ascii="Arial;sans-serif" w:hAnsi="Arial;sans-serif"/>
          <w:b/>
          <w:i/>
          <w:color w:val="000000"/>
          <w:sz w:val="20"/>
        </w:rPr>
      </w:pPr>
      <w:r>
        <w:rPr>
          <w:rFonts w:ascii="Arial;sans-serif" w:hAnsi="Arial;sans-serif"/>
          <w:b/>
          <w:i/>
          <w:color w:val="000000"/>
          <w:sz w:val="20"/>
        </w:rPr>
        <w:t>Depreciation and Amortization</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Depreciation and amortization expense was $5.5 million and $10.8 million in the three and six months ended June 30, 2026, a decrease of $3.1 million and $5.0 million, respectively, attributed to (i) management contract intangibles that have a declining amortization rate over time, and (ii) accelerated depreciation of fixed assets disposed in connection with the assignment of an office lease in the second quarter of 2025.</w:t>
      </w:r>
    </w:p>
    <w:p>
      <w:pPr>
        <w:pStyle w:val="TextBody"/>
        <w:bidi w:val="0"/>
        <w:spacing w:lineRule="auto" w:line="288" w:before="240" w:after="283"/>
        <w:ind w:left="0" w:right="0" w:firstLine="180"/>
        <w:jc w:val="left"/>
        <w:rPr>
          <w:rFonts w:ascii="Arial;sans-serif" w:hAnsi="Arial;sans-serif"/>
          <w:b/>
          <w:color w:val="000000"/>
          <w:sz w:val="20"/>
        </w:rPr>
      </w:pPr>
      <w:r>
        <w:rPr>
          <w:rFonts w:ascii="Arial;sans-serif" w:hAnsi="Arial;sans-serif"/>
          <w:b/>
          <w:color w:val="000000"/>
          <w:sz w:val="20"/>
        </w:rPr>
        <w:t>Other Gain (Loss), Net</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Other gain, net was $4.5 million and $8.5 million in the three and six months ended June 30, 2026, respectively, and $9.1 million and $8.5 million in the three and six months ended June 30, 2025, respectively, reflecting predominantly unrealized fair value changes in financial assets and financial liabilities, related largely to our consolidated funds. </w:t>
      </w:r>
    </w:p>
    <w:p>
      <w:pPr>
        <w:pStyle w:val="TextBody"/>
        <w:bidi w:val="0"/>
        <w:spacing w:lineRule="auto" w:line="288" w:before="240" w:after="283"/>
        <w:ind w:left="0" w:right="0" w:firstLine="270"/>
        <w:jc w:val="left"/>
        <w:rPr>
          <w:rFonts w:ascii="Arial;sans-serif" w:hAnsi="Arial;sans-serif"/>
          <w:b/>
          <w:color w:val="000000"/>
          <w:sz w:val="20"/>
        </w:rPr>
      </w:pPr>
      <w:r>
        <w:rPr>
          <w:rFonts w:ascii="Arial;sans-serif" w:hAnsi="Arial;sans-serif"/>
          <w:b/>
          <w:color w:val="000000"/>
          <w:sz w:val="20"/>
        </w:rPr>
        <w:t>Income Tax Benefit (Expense)</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Income tax expense was immaterial in all periods under comparison. The Company has operating losses and capital loss carryforwards that can be applied against current income tax expense for its domestic entities, and the deferred tax assets of these entities are currently subject to a full valuation allowance, resulting in an immaterial income tax impact for its domestic entities. With respect to the Company's foreign subsidiaries, the resulting foreign income tax impact remains immaterial, driven largely by its U.K. subsidiaries. </w:t>
      </w:r>
    </w:p>
    <w:p>
      <w:pPr>
        <w:pStyle w:val="TextBody"/>
        <w:bidi w:val="0"/>
        <w:spacing w:lineRule="auto" w:line="288" w:before="120" w:after="283"/>
        <w:ind w:left="0" w:right="0" w:firstLine="270"/>
        <w:jc w:val="left"/>
        <w:rPr>
          <w:rFonts w:ascii="Arial;sans-serif" w:hAnsi="Arial;sans-serif"/>
          <w:b/>
          <w:color w:val="000000"/>
          <w:sz w:val="20"/>
        </w:rPr>
      </w:pPr>
      <w:r>
        <w:rPr>
          <w:rFonts w:ascii="Arial;sans-serif" w:hAnsi="Arial;sans-serif"/>
          <w:b/>
          <w:color w:val="000000"/>
          <w:sz w:val="20"/>
        </w:rPr>
        <w:t>Income (Loss) from Discontinued Operations</w:t>
      </w:r>
    </w:p>
    <w:p>
      <w:pPr>
        <w:pStyle w:val="TextBody"/>
        <w:bidi w:val="0"/>
        <w:spacing w:lineRule="auto" w:line="288" w:before="120" w:after="283"/>
        <w:ind w:left="0" w:right="0" w:firstLine="450"/>
        <w:jc w:val="left"/>
        <w:rPr/>
      </w:pPr>
      <w:r>
        <w:rPr>
          <w:rFonts w:ascii="Arial;sans-serif" w:hAnsi="Arial;sans-serif"/>
          <w:b w:val="false"/>
          <w:color w:val="000000"/>
          <w:sz w:val="20"/>
        </w:rPr>
        <w:t>Discontinued operations had net loss of $0.4 million and $5.9 million in the three and six months ended June 30, 2026, respectively, and net gain</w:t>
      </w:r>
      <w:r>
        <w:rPr>
          <w:color w:val="000000"/>
        </w:rPr>
        <w:t xml:space="preserve"> </w:t>
      </w:r>
      <w:r>
        <w:rPr>
          <w:rFonts w:ascii="Arial;sans-serif" w:hAnsi="Arial;sans-serif"/>
          <w:b w:val="false"/>
          <w:color w:val="000000"/>
          <w:sz w:val="20"/>
        </w:rPr>
        <w:t>of $1.6 million and net loss of $2.5 million in the three and six months ended June 30, 2025. 2026 included a litigation related contingent loss, while 2025 included primarily an accrued loss for a state tax audit that was partially reversed in 2026 upon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Non-GAAP Supplemental Financial Measures </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We report the following non-GAAP financial measures attributable to the Operating Company: Fee Related Earnings (“FRE”) and Distributable Earnings (“DE”). FRE and DE are common metrics utilized in the investment management sector.</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We present FRE and DE at the Operating Company level, that is, net of amounts attributed to noncontrolling interests, which include (i) carried interest allocation and equity interests held by current and former employees in general partner entities of the Company's sponsored funds; (ii) participation rights held by a third party investor to a share of carried interest and economics in a sponsored fund; and (iii) limited partners of consolidated funds.</w:t>
      </w:r>
    </w:p>
    <w:p>
      <w:pPr>
        <w:pStyle w:val="TextBody"/>
        <w:bidi w:val="0"/>
        <w:spacing w:lineRule="auto" w:line="288" w:before="0" w:after="120"/>
        <w:ind w:left="0" w:right="0" w:firstLine="450"/>
        <w:jc w:val="left"/>
        <w:rPr/>
      </w:pPr>
      <w:r>
        <w:rPr>
          <w:rFonts w:ascii="Arial;sans-serif" w:hAnsi="Arial;sans-serif"/>
          <w:b w:val="false"/>
          <w:color w:val="000000"/>
          <w:sz w:val="20"/>
        </w:rPr>
        <w:t xml:space="preserve">We believe the non-GAAP financial measures of FRE and DE supplement and enhance the overall understanding of our underlying financial performance and trends, and facilitate comparison among current, past and future periods and </w:t>
      </w:r>
      <w:r>
        <w:rPr>
          <w:rFonts w:ascii="Arial;sans-serif" w:hAnsi="Arial;sans-serif"/>
          <w:b w:val="false"/>
          <w:color w:val="000000"/>
          <w:sz w:val="20"/>
          <w:shd w:fill="FFFFFF" w:val="clear"/>
        </w:rPr>
        <w:t xml:space="preserve">to other companies in similar lines of business. </w:t>
      </w:r>
      <w:r>
        <w:rPr>
          <w:rFonts w:ascii="Arial;sans-serif" w:hAnsi="Arial;sans-serif"/>
          <w:b w:val="false"/>
          <w:color w:val="000000"/>
          <w:sz w:val="20"/>
        </w:rPr>
        <w:t>We use FRE and DE in evaluating the Company’s ongoing business performance and in making operating decisions. For the same reasons, we believe FRE and DE are useful financial measures to the Company’s investors and analysts.</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These non-GAAP financial measures should be considered as a supplement to and not an alternative or in lieu of GAAP net income (loss) as measures of operating performance, or to cash flows from operating activities as indicators of liquidity. Our calculation of these non-GAAP measures may differ from methodologies utilized by other companies for similarly titled performance measures and, as a result, may not be fully comparable to those calculated by our peers.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80" w:after="120"/>
        <w:ind w:left="0" w:right="0" w:firstLine="360"/>
        <w:jc w:val="left"/>
        <w:rPr>
          <w:rFonts w:ascii="Arial;sans-serif" w:hAnsi="Arial;sans-serif"/>
          <w:b/>
          <w:color w:val="000000"/>
          <w:sz w:val="20"/>
        </w:rPr>
      </w:pPr>
      <w:r>
        <w:rPr>
          <w:rFonts w:ascii="Arial;sans-serif" w:hAnsi="Arial;sans-serif"/>
          <w:b/>
          <w:color w:val="000000"/>
          <w:sz w:val="20"/>
        </w:rPr>
        <w:t>Fee-Related Earnings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FRE is used to assess the extent to which direct base compensation and core operating expenses are covered by recurring fee revenues in our investment management business. FRE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consistent with DE, FRE excludes non-core items, and presents costs reimbursable by our managed funds on a net basis (as opposed to a gross-up of other income and administrative expenses).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Fee revenues earned from consolidated funds are eliminated in consolidation. However, because the fees are funded by and earned from third party investors in these consolidated funds who represent noncontrolling interests, our allocated share of net income from the consolidated funds is increased by the amount of fees that are eliminated. The elimination of these fees, therefore, does not affect net income (loss) attributable to DBRG. Accordingly, FRE is presented without giving effect to the elimination of fee revenue to the extent such fees meet the definition of FRE.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FRE does not include distributed carried interest as these are not recurring revenues and are subject to variability given that they are dependent upon realization events related to underlying fund investments. Placement fees are also excluded from FRE as they are inconsistent in amount and frequency depending upon timing of fundraising for our funds. Other items excluded from FRE include realized principal investment income (loss); and interest, dividend and other income, all of which are not core to the investment management fee service business. Unlike DE, which is a post-tax measure, FRE is a pre-tax measure and does not incorporate the effect of income taxes.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We believe that FRE is a useful measure to investors as it reflects the Company’s profitability based upon recurring fee streams that are not subject to realization events related to underlying fund investments, and without the effects of income taxes, leverage, non-cash expenses, income (loss) items that are unrealized and other items that may not be indicative of core operating results in an investment management fee service business. This allows for better comparability of the Company's profitability on a recurring and sustainable basis and relative to its peers.</w:t>
      </w:r>
    </w:p>
    <w:p>
      <w:pPr>
        <w:pStyle w:val="TextBody"/>
        <w:bidi w:val="0"/>
        <w:spacing w:lineRule="auto" w:line="288" w:before="180" w:after="120"/>
        <w:ind w:left="0" w:right="0" w:firstLine="360"/>
        <w:jc w:val="left"/>
        <w:rPr>
          <w:rFonts w:ascii="Arial;sans-serif" w:hAnsi="Arial;sans-serif"/>
          <w:b/>
          <w:color w:val="000000"/>
          <w:sz w:val="20"/>
        </w:rPr>
      </w:pPr>
      <w:r>
        <w:rPr>
          <w:rFonts w:ascii="Arial;sans-serif" w:hAnsi="Arial;sans-serif"/>
          <w:b/>
          <w:color w:val="000000"/>
          <w:sz w:val="20"/>
        </w:rPr>
        <w:t>Distributable Earnings</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DE generally represents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 </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DE is an after-tax measure that reflects the ongoing operating performance of the Company’s core business by including earnings that are realized and generally excluding non-cash expenses, other income (loss) items that are unrealized and items that may not be indicative of core operating results. This allows the Company and its investors and analysts to assess its operating results on a more comparable basis period-over-period. </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Realized earnings included in DE are generally comprised of fee revenue, including all incentive fees, realized principal investment income (loss), distributed carried interest, interest and dividend income. Income (loss) on principal investments is realized generally when all or a portion of an investment is disposed, redeemed or repaid or if the Company no longer retains control, or when the Company receives income such as dividends, interest or other distributions of earnings.</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following items are excluded from DE: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equity-based compensation costs; and preferred stock redemption gain (loss). </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Transaction-related costs are incurred in connection with acquisitions and costs of unconsummated transactions. 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 These costs, along with certain other gain (loss) amounts, are excluded from DE as they are related to discrete items, are not considered part of our ongoing operating cost structure, and are not reflective of our core operating performance.</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Other items excluded from DE are generally non-cash in nature, including income (loss) items that are unrealized, or otherwise do not represent current or future cash obligations. These items are excluded from DE as they do not contribute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to the measurement of DE as a net realized earnings measure that is used in decision making related to distributions and reinvestments. </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Income taxes applied in the determination of DE generally represents GAAP income tax related to continued operations, and includes the benefit of deductions available to the Company on certain expense items 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w:t>
      </w:r>
    </w:p>
    <w:p>
      <w:pPr>
        <w:pStyle w:val="TextBody"/>
        <w:bidi w:val="0"/>
        <w:spacing w:lineRule="auto" w:line="288" w:before="180" w:after="120"/>
        <w:ind w:left="0" w:right="0" w:firstLine="360"/>
        <w:jc w:val="left"/>
        <w:rPr>
          <w:rFonts w:ascii="Arial;sans-serif" w:hAnsi="Arial;sans-serif"/>
          <w:b/>
          <w:color w:val="000000"/>
          <w:sz w:val="20"/>
        </w:rPr>
      </w:pPr>
      <w:r>
        <w:rPr>
          <w:rFonts w:ascii="Arial;sans-serif" w:hAnsi="Arial;sans-serif"/>
          <w:b/>
          <w:color w:val="000000"/>
          <w:sz w:val="20"/>
        </w:rPr>
        <w:t>Non-GAAP Results</w:t>
      </w:r>
    </w:p>
    <w:p>
      <w:pPr>
        <w:pStyle w:val="TextBody"/>
        <w:bidi w:val="0"/>
        <w:spacing w:lineRule="auto" w:line="288" w:before="0" w:after="18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Results of our non-GAAP measures attributable to the Operating Company were determined as follows: </w:t>
      </w:r>
    </w:p>
    <w:tbl>
      <w:tblPr>
        <w:tblW w:w="10088" w:type="dxa"/>
        <w:jc w:val="left"/>
        <w:tblInd w:w="0" w:type="dxa"/>
        <w:tblLayout w:type="fixed"/>
        <w:tblCellMar>
          <w:top w:w="28" w:type="dxa"/>
          <w:left w:w="28" w:type="dxa"/>
          <w:bottom w:w="28" w:type="dxa"/>
          <w:right w:w="28" w:type="dxa"/>
        </w:tblCellMar>
      </w:tblPr>
      <w:tblGrid>
        <w:gridCol w:w="2154"/>
        <w:gridCol w:w="1897"/>
        <w:gridCol w:w="1903"/>
        <w:gridCol w:w="109"/>
        <w:gridCol w:w="109"/>
        <w:gridCol w:w="109"/>
        <w:gridCol w:w="211"/>
        <w:gridCol w:w="736"/>
        <w:gridCol w:w="109"/>
        <w:gridCol w:w="109"/>
        <w:gridCol w:w="109"/>
        <w:gridCol w:w="109"/>
        <w:gridCol w:w="211"/>
        <w:gridCol w:w="796"/>
        <w:gridCol w:w="109"/>
        <w:gridCol w:w="109"/>
        <w:gridCol w:w="109"/>
        <w:gridCol w:w="109"/>
        <w:gridCol w:w="211"/>
        <w:gridCol w:w="616"/>
        <w:gridCol w:w="154"/>
      </w:tblGrid>
      <w:tr>
        <w:trPr/>
        <w:tc>
          <w:tcPr>
            <w:tcW w:w="2154"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Fee revenue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Cash compensation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Administrative and other expenses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Fee-Related Earnings—attributable to Operating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31,975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carried interest and incentive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principal investment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and 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income (expense), net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Distributable Earnings, after tax—attributable to Operating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(18,618)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w:t>
      </w:r>
    </w:p>
    <w:p>
      <w:pPr>
        <w:pStyle w:val="TextBody"/>
        <w:bidi w:val="0"/>
        <w:spacing w:lineRule="auto" w:line="288" w:before="60" w:after="283"/>
        <w:ind w:left="0" w:right="0" w:hanging="180"/>
        <w:jc w:val="left"/>
        <w:rPr/>
      </w:pPr>
      <w:r>
        <w:rPr>
          <w:rFonts w:ascii="Arial;sans-serif" w:hAnsi="Arial;sans-serif"/>
          <w:b w:val="false"/>
          <w:color w:val="000000"/>
          <w:sz w:val="10"/>
        </w:rPr>
        <w:t>(1)    </w:t>
      </w:r>
      <w:r>
        <w:rPr>
          <w:rFonts w:ascii="Arial;sans-serif" w:hAnsi="Arial;sans-serif"/>
          <w:b w:val="false"/>
          <w:color w:val="000000"/>
          <w:sz w:val="16"/>
        </w:rPr>
        <w:t>These amounts are determined based upon the definition of FRE as described above and therefore, differ from those presented on the consolidated statements of operations.</w:t>
      </w:r>
    </w:p>
    <w:p>
      <w:pPr>
        <w:pStyle w:val="TextBody"/>
        <w:bidi w:val="0"/>
        <w:spacing w:lineRule="auto" w:line="288" w:before="60" w:after="283"/>
        <w:ind w:left="0" w:right="0" w:hanging="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Other income (expense), net, includes interest, dividend and other income, placement fee and other expense, and other realized gain (loss).</w:t>
      </w:r>
    </w:p>
    <w:p>
      <w:pPr>
        <w:pStyle w:val="TextBody"/>
        <w:bidi w:val="0"/>
        <w:spacing w:lineRule="auto" w:line="288" w:before="240" w:after="283"/>
        <w:ind w:left="0" w:right="0" w:firstLine="90"/>
        <w:jc w:val="left"/>
        <w:rPr>
          <w:rFonts w:ascii="Arial;sans-serif" w:hAnsi="Arial;sans-serif"/>
          <w:b/>
          <w:i/>
          <w:color w:val="000000"/>
          <w:sz w:val="20"/>
        </w:rPr>
      </w:pPr>
      <w:r>
        <w:rPr>
          <w:rFonts w:ascii="Arial;sans-serif" w:hAnsi="Arial;sans-serif"/>
          <w:b/>
          <w:i/>
          <w:color w:val="000000"/>
          <w:sz w:val="20"/>
        </w:rPr>
        <w:t>Fee-Related Earnings</w:t>
      </w:r>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FRE was $26.6 million for the second quarter of 2026, compared to $32.0 million for the second quarter of 2025, a decrease of $5.4 million. The decrease was driven by an $8.0 million increase in operating costs, principally compensation expense, partially offset by a $2.7 million increase in fee revenue largely attributable to investment origination fees earned in 2026. While 2026 had higher recurring fees from capital raises and deployments that occurred since the third quarter of 2025, this was partially offset by the absence of catch-up fees in 2026 and the effect of investment realizations over time.</w:t>
      </w:r>
    </w:p>
    <w:p>
      <w:pPr>
        <w:pStyle w:val="TextBody"/>
        <w:bidi w:val="0"/>
        <w:spacing w:lineRule="auto" w:line="288" w:before="180" w:after="120"/>
        <w:ind w:left="0" w:right="0" w:firstLine="270"/>
        <w:jc w:val="left"/>
        <w:rPr>
          <w:rFonts w:ascii="Arial;sans-serif" w:hAnsi="Arial;sans-serif"/>
          <w:b/>
          <w:i/>
          <w:color w:val="000000"/>
          <w:sz w:val="20"/>
        </w:rPr>
      </w:pPr>
      <w:r>
        <w:rPr>
          <w:rFonts w:ascii="Arial;sans-serif" w:hAnsi="Arial;sans-serif"/>
          <w:b/>
          <w:i/>
          <w:color w:val="000000"/>
          <w:sz w:val="20"/>
        </w:rPr>
        <w:t>Distributable Earnings</w:t>
      </w:r>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DE was $17.8 million for the second quarter of 2026, compared to negative $18.6 million for the second quarter of 2025. The 2025 result reflected a $40.3 million realized principal investment loss from an InfraBridge fund portfolio company, relating to capital funded in prior periods. Excluding that loss, DE for the second quarter of 2025 would have been $21.7 million, and the year-over-year decrease would have been $3.9 million. This decrease was driven by the $5.4 million decline in FRE and lower realized principal investment income, partially offset by $3.8 million of net realized carried interest from our credit fund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240" w:after="120"/>
        <w:ind w:left="0" w:right="0" w:firstLine="360"/>
        <w:jc w:val="left"/>
        <w:rPr>
          <w:rFonts w:ascii="Arial;sans-serif" w:hAnsi="Arial;sans-serif"/>
          <w:b w:val="false"/>
          <w:color w:val="000000"/>
          <w:sz w:val="20"/>
          <w:u w:val="single"/>
        </w:rPr>
      </w:pPr>
      <w:r>
        <w:rPr>
          <w:rFonts w:ascii="Arial;sans-serif" w:hAnsi="Arial;sans-serif"/>
          <w:b w:val="false"/>
          <w:color w:val="000000"/>
          <w:sz w:val="20"/>
          <w:u w:val="single"/>
        </w:rPr>
        <w:t>Distributable Earnings and Fee-Related Earnings Reconciliation</w:t>
      </w:r>
    </w:p>
    <w:tbl>
      <w:tblPr>
        <w:tblW w:w="9441" w:type="dxa"/>
        <w:jc w:val="left"/>
        <w:tblInd w:w="0" w:type="dxa"/>
        <w:tblLayout w:type="fixed"/>
        <w:tblCellMar>
          <w:top w:w="28" w:type="dxa"/>
          <w:left w:w="28" w:type="dxa"/>
          <w:bottom w:w="28" w:type="dxa"/>
          <w:right w:w="28" w:type="dxa"/>
        </w:tblCellMar>
      </w:tblPr>
      <w:tblGrid>
        <w:gridCol w:w="2365"/>
        <w:gridCol w:w="2082"/>
        <w:gridCol w:w="2093"/>
        <w:gridCol w:w="109"/>
        <w:gridCol w:w="109"/>
        <w:gridCol w:w="109"/>
        <w:gridCol w:w="211"/>
        <w:gridCol w:w="826"/>
        <w:gridCol w:w="109"/>
        <w:gridCol w:w="109"/>
        <w:gridCol w:w="109"/>
        <w:gridCol w:w="109"/>
        <w:gridCol w:w="211"/>
        <w:gridCol w:w="736"/>
        <w:gridCol w:w="154"/>
      </w:tblGrid>
      <w:tr>
        <w:trPr/>
        <w:tc>
          <w:tcPr>
            <w:tcW w:w="236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r>
      <w:tr>
        <w:trPr/>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 in Operating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attributable to Operating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8"/>
              </w:rPr>
              <w:t xml:space="preserve">Transaction-related costs and non-core items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8"/>
              </w:rPr>
              <w:t xml:space="preserve">Other (gain) loss, net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8"/>
              </w:rPr>
              <w:t xml:space="preserve">Unrealized principal investment income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8"/>
              </w:rPr>
              <w:t xml:space="preserve">Unrealized carried interest, net of associated expense (allocation) reversal </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costs, debt premiums and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8"/>
              </w:rPr>
              <w:t xml:space="preserve">Adjustments attributable to noncontrolling interests in investment entities </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 share of (income)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Distributable Earnings, after tax—attributable to Operating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(18,618)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carried interest and incentive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principal investment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and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8"/>
              </w:rPr>
              <w:t xml:space="preserve">Other (income) expense, net </w:t>
            </w:r>
            <w:r>
              <w:rPr>
                <w:rFonts w:ascii="Arial;sans-serif" w:hAnsi="Arial;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Fee-Related Earnings—attributable to Operating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31,975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ind w:left="0" w:right="0" w:hanging="270"/>
        <w:jc w:val="left"/>
        <w:rPr/>
      </w:pPr>
      <w:r>
        <w:rPr>
          <w:rFonts w:ascii="Arial;sans-serif" w:hAnsi="Arial;sans-serif"/>
          <w:b w:val="false"/>
          <w:color w:val="000000"/>
          <w:sz w:val="10"/>
        </w:rPr>
        <w:t>(1)    </w:t>
      </w:r>
      <w:r>
        <w:rPr>
          <w:rFonts w:ascii="Arial;sans-serif" w:hAnsi="Arial;sans-serif"/>
          <w:b w:val="false"/>
          <w:color w:val="000000"/>
          <w:sz w:val="16"/>
        </w:rPr>
        <w:t>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w:t>
      </w:r>
    </w:p>
    <w:p>
      <w:pPr>
        <w:pStyle w:val="TextBody"/>
        <w:bidi w:val="0"/>
        <w:spacing w:lineRule="auto" w:line="288" w:before="60" w:after="283"/>
        <w:ind w:left="0" w:right="0" w:hanging="270"/>
        <w:jc w:val="left"/>
        <w:rPr/>
      </w:pPr>
      <w:r>
        <w:rPr>
          <w:rFonts w:ascii="Arial;sans-serif" w:hAnsi="Arial;sans-serif"/>
          <w:b w:val="false"/>
          <w:color w:val="000000"/>
          <w:sz w:val="10"/>
        </w:rPr>
        <w:t>(2)    </w:t>
      </w:r>
      <w:r>
        <w:rPr>
          <w:rFonts w:ascii="Arial;sans-serif" w:hAnsi="Arial;sans-serif"/>
          <w:b w:val="false"/>
          <w:color w:val="000000"/>
          <w:sz w:val="16"/>
        </w:rPr>
        <w:t>Comprises (i) all unrealized gains and losses; and (ii) realized gains and losses associated with consolidated funds or non-core investments.</w:t>
      </w:r>
    </w:p>
    <w:p>
      <w:pPr>
        <w:pStyle w:val="TextBody"/>
        <w:bidi w:val="0"/>
        <w:spacing w:lineRule="auto" w:line="288" w:before="60" w:after="283"/>
        <w:ind w:left="0" w:right="0" w:hanging="270"/>
        <w:jc w:val="left"/>
        <w:rPr/>
      </w:pPr>
      <w:r>
        <w:rPr>
          <w:rFonts w:ascii="Arial;sans-serif" w:hAnsi="Arial;sans-serif"/>
          <w:b w:val="false"/>
          <w:color w:val="000000"/>
          <w:sz w:val="10"/>
        </w:rPr>
        <w:t>(3)    </w:t>
      </w:r>
      <w:r>
        <w:rPr>
          <w:rFonts w:ascii="Arial;sans-serif" w:hAnsi="Arial;sans-serif"/>
          <w:b w:val="false"/>
          <w:color w:val="000000"/>
          <w:sz w:val="16"/>
        </w:rPr>
        <w:t>Unrealized principal investment income represents only the Operating Company's share, net of a third party participation interest.</w:t>
      </w:r>
    </w:p>
    <w:p>
      <w:pPr>
        <w:pStyle w:val="TextBody"/>
        <w:bidi w:val="0"/>
        <w:spacing w:lineRule="auto" w:line="288" w:before="60" w:after="283"/>
        <w:ind w:left="0" w:right="0" w:hanging="270"/>
        <w:jc w:val="left"/>
        <w:rPr/>
      </w:pPr>
      <w:r>
        <w:rPr>
          <w:rFonts w:ascii="Arial;sans-serif" w:hAnsi="Arial;sans-serif"/>
          <w:b w:val="false"/>
          <w:color w:val="000000"/>
          <w:sz w:val="10"/>
        </w:rPr>
        <w:t>(4)    </w:t>
      </w:r>
      <w:r>
        <w:rPr>
          <w:rFonts w:ascii="Arial;sans-serif" w:hAnsi="Arial;sans-serif"/>
          <w:b w:val="false"/>
          <w:color w:val="000000"/>
          <w:sz w:val="16"/>
        </w:rPr>
        <w:t xml:space="preserve">Carried interest is presented net of expense allocation or reversal, representing only the Operating Company's share. The expense component is included within compensation expense—incentive fees and carried interest allocation (reversal), and net income (loss) attributable to noncontrolling interests in investment entities on the GAAP income statement. </w:t>
      </w:r>
    </w:p>
    <w:p>
      <w:pPr>
        <w:pStyle w:val="TextBody"/>
        <w:bidi w:val="0"/>
        <w:spacing w:lineRule="auto" w:line="288" w:before="60" w:after="283"/>
        <w:ind w:left="0" w:right="0" w:hanging="270"/>
        <w:jc w:val="left"/>
        <w:rPr/>
      </w:pPr>
      <w:r>
        <w:rPr>
          <w:rFonts w:ascii="Arial;sans-serif" w:hAnsi="Arial;sans-serif"/>
          <w:b w:val="false"/>
          <w:color w:val="000000"/>
          <w:sz w:val="10"/>
        </w:rPr>
        <w:t>(5)    </w:t>
      </w:r>
      <w:r>
        <w:rPr>
          <w:rFonts w:ascii="Arial;sans-serif" w:hAnsi="Arial;sans-serif"/>
          <w:b w:val="false"/>
          <w:color w:val="000000"/>
          <w:sz w:val="16"/>
        </w:rPr>
        <w:t>Adjustments attributable to noncontrolling interests in investment entities pertain to other gain (loss) attributed to limited partners of consolidated funds. Allocation of: (i) unrealized carried interest to management and a third party participation interest; and (ii) unrealized principal investment income to a third party participation interest, are netted against "unrealized carried interest, net of expense (allocation) reversal" and "unrealized principal investment income", respectively, for all periods presented.</w:t>
      </w:r>
    </w:p>
    <w:p>
      <w:pPr>
        <w:pStyle w:val="TextBody"/>
        <w:bidi w:val="0"/>
        <w:spacing w:lineRule="auto" w:line="288" w:before="60" w:after="283"/>
        <w:ind w:left="0" w:right="0" w:hanging="27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Other income (expense), net, includes interest, dividend and other income, placement fee and other expense, and other realized gain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regularly evaluate our liquidity position, and anticipated cash needs to fund our business and operations based upon our projected financial performance. Our evaluation of future liquidity requirements is regularly reviewed and updated for changes in internal projections, economic conditions, and other factors as applicable. </w:t>
      </w:r>
    </w:p>
    <w:p>
      <w:pPr>
        <w:pStyle w:val="TextBody"/>
        <w:bidi w:val="0"/>
        <w:spacing w:lineRule="auto" w:line="288" w:before="180" w:after="283"/>
        <w:ind w:left="0" w:right="0" w:firstLine="180"/>
        <w:jc w:val="left"/>
        <w:rPr>
          <w:rFonts w:ascii="Arial;sans-serif" w:hAnsi="Arial;sans-serif"/>
          <w:b/>
          <w:color w:val="000000"/>
          <w:sz w:val="20"/>
        </w:rPr>
      </w:pPr>
      <w:r>
        <w:rPr>
          <w:rFonts w:ascii="Arial;sans-serif" w:hAnsi="Arial;sans-serif"/>
          <w:b/>
          <w:color w:val="000000"/>
          <w:sz w:val="20"/>
        </w:rPr>
        <w:t xml:space="preserve">Liquidity Needs and Sources of Liquidity </w:t>
      </w:r>
    </w:p>
    <w:p>
      <w:pPr>
        <w:pStyle w:val="TextBody"/>
        <w:bidi w:val="0"/>
        <w:spacing w:lineRule="auto" w:line="288" w:before="120" w:after="283"/>
        <w:ind w:left="0" w:right="0" w:firstLine="270"/>
        <w:jc w:val="left"/>
        <w:rPr>
          <w:rFonts w:ascii="Arial;sans-serif" w:hAnsi="Arial;sans-serif"/>
          <w:b w:val="false"/>
          <w:color w:val="000000"/>
          <w:sz w:val="20"/>
        </w:rPr>
      </w:pPr>
      <w:r>
        <w:rPr>
          <w:rFonts w:ascii="Arial;sans-serif" w:hAnsi="Arial;sans-serif"/>
          <w:b w:val="false"/>
          <w:color w:val="000000"/>
          <w:sz w:val="20"/>
        </w:rPr>
        <w:t xml:space="preserve">Our primary liquidity needs, both short term and long term, are to fund: </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our operations, including compensation and administrative costs;</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our general partner and general partner affiliate commitments to our investment vehicles;</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 xml:space="preserve">principal and interest payments on our debt; </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dividends to our preferred and common stockholders;</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our liability for corporate and other taxes;</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acquisitions of target investment management businesses;</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lease payments on our corporate offices; and</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 xml:space="preserve">other obligations, including carried interest clawback and contingencies. </w:t>
      </w:r>
    </w:p>
    <w:p>
      <w:pPr>
        <w:pStyle w:val="TextBody"/>
        <w:bidi w:val="0"/>
        <w:spacing w:lineRule="auto" w:line="288" w:before="120" w:after="283"/>
        <w:ind w:left="0" w:right="0" w:firstLine="270"/>
        <w:jc w:val="left"/>
        <w:rPr>
          <w:rFonts w:ascii="Arial;sans-serif" w:hAnsi="Arial;sans-serif"/>
          <w:b w:val="false"/>
          <w:color w:val="000000"/>
          <w:sz w:val="20"/>
        </w:rPr>
      </w:pPr>
      <w:r>
        <w:rPr>
          <w:rFonts w:ascii="Arial;sans-serif" w:hAnsi="Arial;sans-serif"/>
          <w:b w:val="false"/>
          <w:color w:val="000000"/>
          <w:sz w:val="20"/>
        </w:rPr>
        <w:t xml:space="preserve">Our primary sources of liquidity are: </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cash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 xml:space="preserve">fees received from our investment management business, including our share of realized net incentive fees and carried interest distributed; </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cash flow generated from our investments, both from distributions of income and return of capital, including proceeds from full or partial realization of investments;</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availability under our Variable Funding Notes ("VFN");</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issuance of additional term notes under our corporate securitization; and</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 xml:space="preserve">proceeds from public or private equity and debt offerings. </w:t>
      </w:r>
    </w:p>
    <w:p>
      <w:pPr>
        <w:pStyle w:val="TextBody"/>
        <w:bidi w:val="0"/>
        <w:spacing w:lineRule="auto" w:line="288" w:before="240" w:after="283"/>
        <w:ind w:left="0" w:right="0" w:firstLine="1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At June 30, 2026, we had $294 million of available corporate cash. This generally represents cash at our OP entity after allocating cash for certain compensatory liabilities, and excludes cash held at subsidiaries of the OP, including cash maintained to satisfy regulatory capital requirements in applicable foreign jurisdictions and cash held by consolidated funds. We also have the full $100 million available to be drawn under our VFN facility.</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We believe we have sufficient cash on hand, and anticipated cash generated from operating activities and availability of external financing sources, to meet our short term and long term liquidity and capital requirements.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While we have sufficient liquidity to meet our operational needs, we continuously evaluate alternatives to efficiently manage our capital structure and market opportunities to strengthen our liquidity and provide further operational and strategic flexibility. </w:t>
      </w:r>
    </w:p>
    <w:p>
      <w:pPr>
        <w:pStyle w:val="TextBody"/>
        <w:bidi w:val="0"/>
        <w:spacing w:lineRule="auto" w:line="288" w:before="240" w:after="283"/>
        <w:ind w:left="0" w:right="0" w:firstLine="180"/>
        <w:jc w:val="left"/>
        <w:rPr>
          <w:rFonts w:ascii="Arial;sans-serif" w:hAnsi="Arial;sans-serif"/>
          <w:b/>
          <w:color w:val="000000"/>
          <w:sz w:val="20"/>
        </w:rPr>
      </w:pPr>
      <w:r>
        <w:rPr>
          <w:rFonts w:ascii="Arial;sans-serif" w:hAnsi="Arial;sans-serif"/>
          <w:b/>
          <w:color w:val="000000"/>
          <w:sz w:val="20"/>
        </w:rPr>
        <w:t>Liquidity Needs and Capital Activities</w:t>
      </w:r>
    </w:p>
    <w:p>
      <w:pPr>
        <w:pStyle w:val="TextBody"/>
        <w:bidi w:val="0"/>
        <w:spacing w:lineRule="auto" w:line="288" w:before="120" w:after="283"/>
        <w:ind w:left="0" w:right="0" w:firstLine="270"/>
        <w:jc w:val="left"/>
        <w:rPr>
          <w:rFonts w:ascii="Arial;sans-serif" w:hAnsi="Arial;sans-serif"/>
          <w:b/>
          <w:i/>
          <w:color w:val="000000"/>
          <w:sz w:val="20"/>
        </w:rPr>
      </w:pPr>
      <w:r>
        <w:rPr>
          <w:rFonts w:ascii="Arial;sans-serif" w:hAnsi="Arial;sans-serif"/>
          <w:b/>
          <w:i/>
          <w:color w:val="000000"/>
          <w:sz w:val="20"/>
        </w:rPr>
        <w:t xml:space="preserve">Dividends </w:t>
      </w:r>
    </w:p>
    <w:p>
      <w:pPr>
        <w:pStyle w:val="TextBody"/>
        <w:bidi w:val="0"/>
        <w:spacing w:lineRule="auto" w:line="288" w:before="120" w:after="283"/>
        <w:ind w:left="0" w:right="0" w:firstLine="450"/>
        <w:jc w:val="left"/>
        <w:rPr/>
      </w:pPr>
      <w:r>
        <w:rPr>
          <w:rFonts w:ascii="Arial;sans-serif" w:hAnsi="Arial;sans-serif"/>
          <w:b w:val="false"/>
          <w:i/>
          <w:color w:val="000000"/>
          <w:sz w:val="20"/>
        </w:rPr>
        <w:t>Common Stock</w:t>
      </w:r>
      <w:r>
        <w:rPr>
          <w:color w:val="000000"/>
        </w:rPr>
        <w:t>—</w:t>
      </w:r>
      <w:r>
        <w:rPr>
          <w:rFonts w:ascii="Arial;sans-serif" w:hAnsi="Arial;sans-serif"/>
          <w:b w:val="false"/>
          <w:color w:val="000000"/>
          <w:sz w:val="20"/>
        </w:rPr>
        <w:t>The payment of common stock dividends and determination of the amount thereof is at the discretion of our Board of Directors. In August 2026, our Board of Directors declared a dividend of $0.01 per share of common stock to be paid on October 15, 2026 to common stockholders of record at the close of business on September 30, 2026.</w:t>
      </w:r>
    </w:p>
    <w:p>
      <w:pPr>
        <w:pStyle w:val="TextBody"/>
        <w:bidi w:val="0"/>
        <w:spacing w:lineRule="auto" w:line="288" w:before="120" w:after="283"/>
        <w:ind w:left="0" w:right="0" w:firstLine="450"/>
        <w:jc w:val="left"/>
        <w:rPr/>
      </w:pPr>
      <w:r>
        <w:rPr>
          <w:rFonts w:ascii="Arial;sans-serif" w:hAnsi="Arial;sans-serif"/>
          <w:b w:val="false"/>
          <w:i/>
          <w:color w:val="000000"/>
          <w:sz w:val="20"/>
        </w:rPr>
        <w:t>Preferred Stock—</w:t>
      </w:r>
      <w:r>
        <w:rPr>
          <w:rFonts w:ascii="Arial;sans-serif" w:hAnsi="Arial;sans-serif"/>
          <w:b w:val="false"/>
          <w:color w:val="000000"/>
          <w:sz w:val="20"/>
        </w:rPr>
        <w:t xml:space="preserve">We have outstanding preferred stock with a redemption value totaling $822 million (at $25 per share), bearing a weighted average dividend rate of 7.135% per annum, with aggregate dividend payments of $14.7 million per quarter. </w:t>
      </w:r>
    </w:p>
    <w:p>
      <w:pPr>
        <w:pStyle w:val="TextBody"/>
        <w:bidi w:val="0"/>
        <w:spacing w:lineRule="auto" w:line="288" w:before="120" w:after="283"/>
        <w:ind w:left="0" w:right="0" w:firstLine="180"/>
        <w:jc w:val="left"/>
        <w:rPr>
          <w:rFonts w:ascii="Arial;sans-serif" w:hAnsi="Arial;sans-serif"/>
          <w:b/>
          <w:color w:val="000000"/>
          <w:sz w:val="20"/>
        </w:rPr>
      </w:pPr>
      <w:r>
        <w:rPr>
          <w:rFonts w:ascii="Arial;sans-serif" w:hAnsi="Arial;sans-serif"/>
          <w:b/>
          <w:color w:val="000000"/>
          <w:sz w:val="20"/>
        </w:rPr>
        <w:t>Contractual Obligations, Commitments and Contingencies</w:t>
      </w:r>
    </w:p>
    <w:p>
      <w:pPr>
        <w:pStyle w:val="TextBody"/>
        <w:bidi w:val="0"/>
        <w:spacing w:lineRule="auto" w:line="288" w:before="120" w:after="283"/>
        <w:ind w:left="0" w:right="0" w:firstLine="270"/>
        <w:jc w:val="left"/>
        <w:rPr>
          <w:rFonts w:ascii="Arial;sans-serif" w:hAnsi="Arial;sans-serif"/>
          <w:b/>
          <w:i/>
          <w:color w:val="000000"/>
          <w:sz w:val="20"/>
        </w:rPr>
      </w:pPr>
      <w:r>
        <w:rPr>
          <w:rFonts w:ascii="Arial;sans-serif" w:hAnsi="Arial;sans-serif"/>
          <w:b/>
          <w:i/>
          <w:color w:val="000000"/>
          <w:sz w:val="20"/>
        </w:rPr>
        <w:t>Debt Obligations</w:t>
      </w:r>
    </w:p>
    <w:p>
      <w:pPr>
        <w:pStyle w:val="TextBody"/>
        <w:bidi w:val="0"/>
        <w:spacing w:lineRule="auto" w:line="288" w:before="120" w:after="60"/>
        <w:ind w:left="0" w:right="0" w:firstLine="450"/>
        <w:jc w:val="left"/>
        <w:rPr>
          <w:rFonts w:ascii="Arial;sans-serif" w:hAnsi="Arial;sans-serif"/>
          <w:b w:val="false"/>
          <w:color w:val="000000"/>
          <w:sz w:val="20"/>
        </w:rPr>
      </w:pPr>
      <w:r>
        <w:rPr>
          <w:rFonts w:ascii="Arial;sans-serif" w:hAnsi="Arial;sans-serif"/>
          <w:b w:val="false"/>
          <w:color w:val="000000"/>
          <w:sz w:val="20"/>
        </w:rPr>
        <w:t>As of the date of this filing, our corporate debt is composed of our Class A-2 Notes, with our VFN undrawn. This represents a new issuance in May 2026 of Series 2026-1 securitization notes; the proceeds of which were used to repay the previous Series 2021-1 securitization notes.</w:t>
      </w:r>
    </w:p>
    <w:tbl>
      <w:tblPr>
        <w:tblW w:w="9220" w:type="dxa"/>
        <w:jc w:val="left"/>
        <w:tblInd w:w="0" w:type="dxa"/>
        <w:tblLayout w:type="fixed"/>
        <w:tblCellMar>
          <w:top w:w="28" w:type="dxa"/>
          <w:left w:w="28" w:type="dxa"/>
          <w:bottom w:w="28" w:type="dxa"/>
          <w:right w:w="28" w:type="dxa"/>
        </w:tblCellMar>
      </w:tblPr>
      <w:tblGrid>
        <w:gridCol w:w="521"/>
        <w:gridCol w:w="459"/>
        <w:gridCol w:w="460"/>
        <w:gridCol w:w="109"/>
        <w:gridCol w:w="109"/>
        <w:gridCol w:w="109"/>
        <w:gridCol w:w="276"/>
        <w:gridCol w:w="1081"/>
        <w:gridCol w:w="142"/>
        <w:gridCol w:w="109"/>
        <w:gridCol w:w="109"/>
        <w:gridCol w:w="109"/>
        <w:gridCol w:w="285"/>
        <w:gridCol w:w="286"/>
        <w:gridCol w:w="518"/>
        <w:gridCol w:w="109"/>
        <w:gridCol w:w="109"/>
        <w:gridCol w:w="109"/>
        <w:gridCol w:w="634"/>
        <w:gridCol w:w="634"/>
        <w:gridCol w:w="636"/>
        <w:gridCol w:w="109"/>
        <w:gridCol w:w="109"/>
        <w:gridCol w:w="109"/>
        <w:gridCol w:w="580"/>
        <w:gridCol w:w="580"/>
        <w:gridCol w:w="820"/>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Outstanding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Rate</w:t>
              <w:br/>
              <w:t>(Per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Anticipated 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Years Remaining to Maturity</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A-2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6.326</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r>
    </w:tbl>
    <w:p>
      <w:pPr>
        <w:pStyle w:val="TextBody"/>
        <w:bidi w:val="0"/>
        <w:spacing w:lineRule="auto" w:line="288" w:before="120" w:after="283"/>
        <w:ind w:left="0" w:right="0" w:hanging="180"/>
        <w:jc w:val="left"/>
        <w:rPr>
          <w:rFonts w:ascii="Arial;sans-serif" w:hAnsi="Arial;sans-serif"/>
          <w:b/>
          <w:i/>
          <w:color w:val="000000"/>
          <w:sz w:val="20"/>
        </w:rPr>
      </w:pPr>
      <w:r>
        <w:rPr>
          <w:rFonts w:ascii="Arial;sans-serif" w:hAnsi="Arial;sans-serif"/>
          <w:b/>
          <w:i/>
          <w:color w:val="000000"/>
          <w:sz w:val="20"/>
        </w:rPr>
        <w:t xml:space="preserve">Investment Commitments </w:t>
      </w:r>
    </w:p>
    <w:p>
      <w:pPr>
        <w:pStyle w:val="TextBody"/>
        <w:bidi w:val="0"/>
        <w:spacing w:lineRule="auto" w:line="288" w:before="120" w:after="283"/>
        <w:ind w:left="0" w:right="0" w:firstLine="450"/>
        <w:jc w:val="left"/>
        <w:rPr/>
      </w:pPr>
      <w:r>
        <w:rPr>
          <w:rFonts w:ascii="Arial;sans-serif" w:hAnsi="Arial;sans-serif"/>
          <w:b w:val="false"/>
          <w:i/>
          <w:color w:val="000000"/>
          <w:sz w:val="20"/>
        </w:rPr>
        <w:t>Fund Commitments</w:t>
      </w:r>
      <w:r>
        <w:rPr>
          <w:color w:val="000000"/>
        </w:rPr>
        <w:t>—</w:t>
      </w:r>
      <w:r>
        <w:rPr>
          <w:rFonts w:ascii="Arial;sans-serif" w:hAnsi="Arial;sans-serif"/>
          <w:b w:val="false"/>
          <w:color w:val="000000"/>
          <w:sz w:val="20"/>
        </w:rPr>
        <w:t xml:space="preserve">As general partner, we typically have minimum capital commitments to our sponsored funds ranging from 0.03% to 0.72% of the total capital commitments of a fund at final closing, although we may elect to make additional investments in new products. With respect to our flagship value-add DBP fund series, and InfraBridge funds, we have made additional capital commitments as a general partner affiliate, generally ranging from 1.43% to 4.29%, alongside our investors. Our fund capital investments further align our interests to our investors. As of June 30, 2026, we had unfunded equity commitments to our sponsored funds totaling $228 million as general partner and general partner affiliate (including commitments attributed to the ownership by employees and former employees in our general partner entities). Generally, the timing for funding of these commitments is not known and the commitments are callable on demand at any time prior to their respective expirations. </w:t>
      </w:r>
    </w:p>
    <w:p>
      <w:pPr>
        <w:pStyle w:val="TextBody"/>
        <w:bidi w:val="0"/>
        <w:spacing w:lineRule="auto" w:line="288" w:before="120" w:after="283"/>
        <w:ind w:left="0" w:right="0" w:firstLine="270"/>
        <w:jc w:val="left"/>
        <w:rPr>
          <w:rFonts w:ascii="Arial;sans-serif" w:hAnsi="Arial;sans-serif"/>
          <w:b/>
          <w:i/>
          <w:color w:val="000000"/>
          <w:sz w:val="20"/>
        </w:rPr>
      </w:pPr>
      <w:r>
        <w:rPr>
          <w:rFonts w:ascii="Arial;sans-serif" w:hAnsi="Arial;sans-serif"/>
          <w:b/>
          <w:i/>
          <w:color w:val="000000"/>
          <w:sz w:val="20"/>
        </w:rPr>
        <w:t xml:space="preserve">Investments or Commitments Transferred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 may acquire investments on behalf of prospective sponsored investment vehicles or subscribe to commitments in its sponsored funds on behalf of prospective investors. The investments or commitments are transferred to the investment vehicle or prospective investor when sufficient third party capital, including debt, is raised. The Company may be paid a fee by the investment vehicle or investor, akin to an interest charge, typically calculated as a percentage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acquisition price of the investment or the commitment amount funded, to compensate the Company for its holding cost. The terms of such arrangements may differ for each sponsored investment vehicle and by investment or investor. </w:t>
      </w:r>
    </w:p>
    <w:p>
      <w:pPr>
        <w:pStyle w:val="TextBody"/>
        <w:bidi w:val="0"/>
        <w:spacing w:lineRule="auto" w:line="288" w:before="180" w:after="283"/>
        <w:ind w:left="0" w:right="0" w:hanging="180"/>
        <w:jc w:val="left"/>
        <w:rPr>
          <w:rFonts w:ascii="Arial;sans-serif" w:hAnsi="Arial;sans-serif"/>
          <w:b/>
          <w:i/>
          <w:color w:val="000000"/>
          <w:sz w:val="20"/>
        </w:rPr>
      </w:pPr>
      <w:r>
        <w:rPr>
          <w:rFonts w:ascii="Arial;sans-serif" w:hAnsi="Arial;sans-serif"/>
          <w:b/>
          <w:i/>
          <w:color w:val="000000"/>
          <w:sz w:val="20"/>
        </w:rPr>
        <w:t>Carried Interest Clawback</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Depending on the final realized value of all investments at the end of the life of a fund (and, with respect to certain funds, periodically during the life of the fund), if it is determined that cumulative carried interest distributed has exceeded the final carried interest amount due (or amount due as of the calculation date), the Company is obligated to return the excess carried interest previously received. Therefore, carried interest distributed to the Company may be subject to clawback, up to the amount previously received on an after-tax basis. A liability would be established if a potential clawback obligation arises assuming a hypothetical liquidation of the investments of the fund at their prevailing fair values as of reporting date. However, the actual determination of a clawback, if any, and payment thereof would occur only after final disposition of investments at the end of the life of a fund, except for funds that have interim clawback provisions. The Company, through the OP, has guaranteed the clawback obligation of its subsidiaries that act as general partner or special limited partner of its respective sponsored funds, for the benefit of these funds and their limited partners.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If the related carried interest distributions received by the Company are subject to clawback, the previously distributed carried interest to employees and a third party participation interest would be similarly subject to clawback. The Company withholds a portion of the distribution of carried interest to employees to satisfy their potential clawback obligation.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At June 30, 2026, $32.6 million of previously distributed carried interest on an after-tax basis would be subject to clawback assuming a hypothetical liquidation of carry paying funds at the June 30, 2026 estimated fair values. Of this amount, $27.4 million and $1.5 million of the clawback obligation would be the responsibility of current/former employees and a third party participation interest, respectively. The Company's share of the clawback obligation would be $3.7 million as of June 30, 2026. In this case, actual clawback obligation, if any, would be determined and become payable at the end of the life of the fund. To satisfy the employees' share of this clawback obligation, $15.2 million of carried interest had been withheld from payment to employees at the time of distribution. </w:t>
      </w:r>
    </w:p>
    <w:p>
      <w:pPr>
        <w:pStyle w:val="TextBody"/>
        <w:bidi w:val="0"/>
        <w:spacing w:lineRule="auto" w:line="288" w:before="120" w:after="283"/>
        <w:ind w:left="0" w:right="0" w:hanging="180"/>
        <w:jc w:val="left"/>
        <w:rPr>
          <w:rFonts w:ascii="Arial;sans-serif" w:hAnsi="Arial;sans-serif"/>
          <w:b/>
          <w:i/>
          <w:color w:val="000000"/>
          <w:sz w:val="20"/>
        </w:rPr>
      </w:pPr>
      <w:r>
        <w:rPr>
          <w:rFonts w:ascii="Arial;sans-serif" w:hAnsi="Arial;sans-serif"/>
          <w:b/>
          <w:i/>
          <w:color w:val="000000"/>
          <w:sz w:val="20"/>
        </w:rPr>
        <w:t>Lease Obligations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At June 30, 2026, we have operating lease obligations of $27.9 million for in-place leases on corporate offices. A portion of our existing space is sub-leased over the remaining term of the respective leases with fixed sub-lease payments totaling $7.6 million expected to be received over the remaining life of the sub-lease contracts.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We also have commitments on three office leases commencing in July and September 2026, with fixed lease payments totaling $57.9 million over their respective lease terms between 2.2 and 10.8 years. We intend to sub-lease a portion of our committed space in the future, which will partially reduce our future net cash outlay.</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Company's lease obligations will be funded through corporate operating cash. Lease obligation amounts represent discounted fixed lease payments over contractual lease terms of up to 10.0 years, excluding any contingent or other variable lease payments, and factor in lease renewal or termination options only if it is reasonably certain that such options would be exercised.</w:t>
      </w:r>
    </w:p>
    <w:p>
      <w:pPr>
        <w:pStyle w:val="TextBody"/>
        <w:bidi w:val="0"/>
        <w:spacing w:lineRule="auto" w:line="288" w:before="120" w:after="283"/>
        <w:ind w:left="0" w:right="0" w:hanging="180"/>
        <w:jc w:val="left"/>
        <w:rPr>
          <w:rFonts w:ascii="Arial;sans-serif" w:hAnsi="Arial;sans-serif"/>
          <w:b/>
          <w:i/>
          <w:color w:val="000000"/>
          <w:sz w:val="20"/>
        </w:rPr>
      </w:pPr>
      <w:r>
        <w:rPr>
          <w:rFonts w:ascii="Arial;sans-serif" w:hAnsi="Arial;sans-serif"/>
          <w:b/>
          <w:i/>
          <w:color w:val="000000"/>
          <w:sz w:val="20"/>
        </w:rPr>
        <w:t>Other Contingencies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may be involved in litigation and other proceedings that arise in the ordinary course of business, as discussed in Note 16 to the consolidated financial statements in Item 1 of this Quarterly Report. </w:t>
      </w:r>
    </w:p>
    <w:p>
      <w:pPr>
        <w:pStyle w:val="TextBody"/>
        <w:bidi w:val="0"/>
        <w:spacing w:lineRule="auto" w:line="288" w:before="180" w:after="283"/>
        <w:ind w:left="0" w:right="0" w:firstLine="180"/>
        <w:jc w:val="left"/>
        <w:rPr>
          <w:rFonts w:ascii="Arial;sans-serif" w:hAnsi="Arial;sans-serif"/>
          <w:b/>
          <w:color w:val="000000"/>
          <w:sz w:val="20"/>
        </w:rPr>
      </w:pPr>
      <w:r>
        <w:rPr>
          <w:rFonts w:ascii="Arial;sans-serif" w:hAnsi="Arial;sans-serif"/>
          <w:b/>
          <w:color w:val="000000"/>
          <w:sz w:val="20"/>
        </w:rPr>
        <w:t>Sources of Liquidity</w:t>
      </w:r>
    </w:p>
    <w:p>
      <w:pPr>
        <w:pStyle w:val="TextBody"/>
        <w:bidi w:val="0"/>
        <w:spacing w:lineRule="auto" w:line="288" w:before="120" w:after="283"/>
        <w:ind w:left="0" w:right="0" w:firstLine="270"/>
        <w:jc w:val="left"/>
        <w:rPr>
          <w:rFonts w:ascii="Arial;sans-serif" w:hAnsi="Arial;sans-serif"/>
          <w:b/>
          <w:i/>
          <w:color w:val="000000"/>
          <w:sz w:val="20"/>
        </w:rPr>
      </w:pPr>
      <w:r>
        <w:rPr>
          <w:rFonts w:ascii="Arial;sans-serif" w:hAnsi="Arial;sans-serif"/>
          <w:b/>
          <w:i/>
          <w:color w:val="000000"/>
          <w:sz w:val="20"/>
        </w:rPr>
        <w:t>Debt Funding</w:t>
      </w:r>
    </w:p>
    <w:p>
      <w:pPr>
        <w:pStyle w:val="TextBody"/>
        <w:bidi w:val="0"/>
        <w:spacing w:lineRule="auto" w:line="288" w:before="120" w:after="283"/>
        <w:ind w:left="0" w:right="0" w:firstLine="450"/>
        <w:jc w:val="left"/>
        <w:rPr/>
      </w:pPr>
      <w:r>
        <w:rPr>
          <w:rFonts w:ascii="Arial;sans-serif" w:hAnsi="Arial;sans-serif"/>
          <w:b w:val="false"/>
          <w:color w:val="000000"/>
          <w:sz w:val="20"/>
        </w:rPr>
        <w:t>As of the date of this filing, we have $300 million of outstanding principal on our corporate debt, as discussed above under "</w:t>
      </w:r>
      <w:r>
        <w:rPr>
          <w:color w:val="000000"/>
        </w:rPr>
        <w:t>—</w:t>
      </w:r>
      <w:r>
        <w:rPr>
          <w:rFonts w:ascii="Arial;sans-serif" w:hAnsi="Arial;sans-serif"/>
          <w:b w:val="false"/>
          <w:i/>
          <w:color w:val="000000"/>
          <w:sz w:val="20"/>
        </w:rPr>
        <w:t>Debt Obligation.</w:t>
      </w:r>
      <w:r>
        <w:rPr>
          <w:rFonts w:ascii="Arial;sans-serif" w:hAnsi="Arial;sans-serif"/>
          <w:b w:val="false"/>
          <w:color w:val="000000"/>
          <w:sz w:val="20"/>
        </w:rPr>
        <w:t xml:space="preserve">"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securitized financing facility is subject to various covenants, including financial covenants that require the maintenance of minimum thresholds for debt service coverage ratio and maximum loan-to-value ratio, as defined. As of the date of this filing, we are in compliance with all of the financial covenants, and the full $100 million is available to be drawn on our VFN. </w:t>
      </w:r>
    </w:p>
    <w:p>
      <w:pPr>
        <w:pStyle w:val="TextBody"/>
        <w:bidi w:val="0"/>
        <w:spacing w:lineRule="auto" w:line="288" w:before="120" w:after="6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connection with the ArcLight Acquisition, the Company has obtained a commitment for a secured bridge loan facility of up to $500 million. The Company expects that any amounts drawn therefrom will be refinanced through issuance of additional senior notes under its securitization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Generally, the decision to enter into a particular financing arrangement is made after consideration of various factors including future cash needs, current sources of liquidity, demand for the Company’s debt or equity, and prevailing interest rates.</w:t>
      </w:r>
    </w:p>
    <w:p>
      <w:pPr>
        <w:pStyle w:val="TextBody"/>
        <w:bidi w:val="0"/>
        <w:spacing w:lineRule="auto" w:line="288" w:before="120" w:after="283"/>
        <w:ind w:left="0" w:right="0" w:firstLine="270"/>
        <w:jc w:val="left"/>
        <w:rPr>
          <w:rFonts w:ascii="Arial;sans-serif" w:hAnsi="Arial;sans-serif"/>
          <w:b/>
          <w:i/>
          <w:color w:val="000000"/>
          <w:sz w:val="20"/>
        </w:rPr>
      </w:pPr>
      <w:r>
        <w:rPr>
          <w:rFonts w:ascii="Arial;sans-serif" w:hAnsi="Arial;sans-serif"/>
          <w:b/>
          <w:i/>
          <w:color w:val="000000"/>
          <w:sz w:val="20"/>
        </w:rPr>
        <w:t xml:space="preserve">Cash From Operations </w:t>
      </w:r>
    </w:p>
    <w:p>
      <w:pPr>
        <w:pStyle w:val="TextBody"/>
        <w:bidi w:val="0"/>
        <w:spacing w:lineRule="auto" w:line="288" w:before="120" w:after="283"/>
        <w:ind w:left="0" w:right="0" w:firstLine="450"/>
        <w:jc w:val="left"/>
        <w:rPr/>
      </w:pPr>
      <w:r>
        <w:rPr>
          <w:rFonts w:ascii="Arial;sans-serif" w:hAnsi="Arial;sans-serif"/>
          <w:b w:val="false"/>
          <w:i/>
          <w:color w:val="000000"/>
          <w:sz w:val="20"/>
        </w:rPr>
        <w:t>Fee-Related Earnings—</w:t>
      </w:r>
      <w:r>
        <w:rPr>
          <w:rFonts w:ascii="Arial;sans-serif" w:hAnsi="Arial;sans-serif"/>
          <w:b w:val="false"/>
          <w:color w:val="000000"/>
          <w:sz w:val="20"/>
        </w:rPr>
        <w:t xml:space="preserve">We generate FRE from our investment management business, generally encompassing recurring fee revenue net of associated compensation and administrative expenses. Management fee revenue is generally a predictable and stable revenue stream. Our ability to generate new management fee streams through establishing new investment vehicles and raising investor capital depends on general market conditions and availability of attractive investment opportunities as well as availability of debt capital. </w:t>
      </w:r>
    </w:p>
    <w:p>
      <w:pPr>
        <w:pStyle w:val="TextBody"/>
        <w:bidi w:val="0"/>
        <w:spacing w:lineRule="auto" w:line="288" w:before="120" w:after="283"/>
        <w:ind w:left="0" w:right="0" w:firstLine="450"/>
        <w:jc w:val="left"/>
        <w:rPr/>
      </w:pPr>
      <w:r>
        <w:rPr>
          <w:rFonts w:ascii="Arial;sans-serif" w:hAnsi="Arial;sans-serif"/>
          <w:b w:val="false"/>
          <w:i/>
          <w:color w:val="000000"/>
          <w:sz w:val="20"/>
        </w:rPr>
        <w:t>Incentive Fees—</w:t>
      </w:r>
      <w:r>
        <w:rPr>
          <w:rFonts w:ascii="Arial;sans-serif" w:hAnsi="Arial;sans-serif"/>
          <w:b w:val="false"/>
          <w:color w:val="000000"/>
          <w:sz w:val="20"/>
        </w:rPr>
        <w:t xml:space="preserve">Incentive fees, net of employee allocations, are earned based upon the financial performance of a vehicle above a specified return threshold, which is largely driven by appreciation in value of underlying investments. Incentive fees are recognized as fee revenue when they are no longer probable of significant reversal. As investment fair values and changes thereof could be affected by various factors, including market and economic conditions, incentive fees are by nature less predictable in amount and timing. </w:t>
      </w:r>
    </w:p>
    <w:p>
      <w:pPr>
        <w:pStyle w:val="TextBody"/>
        <w:bidi w:val="0"/>
        <w:spacing w:lineRule="auto" w:line="288" w:before="120" w:after="283"/>
        <w:ind w:left="0" w:right="0" w:firstLine="450"/>
        <w:jc w:val="left"/>
        <w:rPr/>
      </w:pPr>
      <w:r>
        <w:rPr>
          <w:rFonts w:ascii="Arial;sans-serif" w:hAnsi="Arial;sans-serif"/>
          <w:b w:val="false"/>
          <w:i/>
          <w:color w:val="000000"/>
          <w:sz w:val="20"/>
        </w:rPr>
        <w:t>Carried Interest Distributions—</w:t>
      </w:r>
      <w:r>
        <w:rPr>
          <w:rFonts w:ascii="Arial;sans-serif" w:hAnsi="Arial;sans-serif"/>
          <w:b w:val="false"/>
          <w:color w:val="000000"/>
          <w:sz w:val="20"/>
        </w:rPr>
        <w:t>Carried interest is distributed generally upon profitable disposition of an investment if at the time of distribution, cumulative returns of the fund exceed minimum return hurdles. Carried interest distributions are recognized in earnings net of clawback obligations, if any. The amount and timing of carried interest distributions received may vary substantially from period to period depending upon the occurrence and size of investments realized by our sponsored funds.</w:t>
      </w:r>
    </w:p>
    <w:p>
      <w:pPr>
        <w:pStyle w:val="TextBody"/>
        <w:bidi w:val="0"/>
        <w:spacing w:lineRule="auto" w:line="288" w:before="120" w:after="283"/>
        <w:ind w:left="0" w:right="0" w:firstLine="450"/>
        <w:jc w:val="left"/>
        <w:rPr/>
      </w:pPr>
      <w:r>
        <w:rPr>
          <w:rFonts w:ascii="Arial;sans-serif" w:hAnsi="Arial;sans-serif"/>
          <w:b w:val="false"/>
          <w:i/>
          <w:color w:val="000000"/>
          <w:sz w:val="20"/>
        </w:rPr>
        <w:t>Investments—</w:t>
      </w:r>
      <w:r>
        <w:rPr>
          <w:rFonts w:ascii="Arial;sans-serif" w:hAnsi="Arial;sans-serif"/>
          <w:b w:val="false"/>
          <w:color w:val="000000"/>
          <w:sz w:val="20"/>
        </w:rPr>
        <w:t xml:space="preserve">Our investments in our sponsored funds as general partner and general partner affiliate generate cash largely through capital appreciation of underlying investments that are realized upon a recapitalization, syndication or liquidation event, income distributions from equity investments and interest income from credit investments. </w:t>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Consolidated Cash Flows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activities from our consolidated statements of cash flows, including discontinued operations. </w:t>
      </w:r>
    </w:p>
    <w:tbl>
      <w:tblPr>
        <w:tblW w:w="9028" w:type="dxa"/>
        <w:jc w:val="left"/>
        <w:tblInd w:w="0" w:type="dxa"/>
        <w:tblLayout w:type="fixed"/>
        <w:tblCellMar>
          <w:top w:w="28" w:type="dxa"/>
          <w:left w:w="28" w:type="dxa"/>
          <w:bottom w:w="28" w:type="dxa"/>
          <w:right w:w="28" w:type="dxa"/>
        </w:tblCellMar>
      </w:tblPr>
      <w:tblGrid>
        <w:gridCol w:w="2102"/>
        <w:gridCol w:w="1850"/>
        <w:gridCol w:w="1867"/>
        <w:gridCol w:w="109"/>
        <w:gridCol w:w="109"/>
        <w:gridCol w:w="109"/>
        <w:gridCol w:w="211"/>
        <w:gridCol w:w="826"/>
        <w:gridCol w:w="109"/>
        <w:gridCol w:w="109"/>
        <w:gridCol w:w="109"/>
        <w:gridCol w:w="109"/>
        <w:gridCol w:w="211"/>
        <w:gridCol w:w="826"/>
        <w:gridCol w:w="109"/>
        <w:gridCol w:w="109"/>
        <w:gridCol w:w="154"/>
      </w:tblGrid>
      <w:tr>
        <w:trPr/>
        <w:tc>
          <w:tcPr>
            <w:tcW w:w="210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cash equivalents and restricted cash—beginning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generated by (used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cash equivalents and restricted cash—end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Arial;sans-serif" w:hAnsi="Arial;sans-serif"/>
          <w:b/>
          <w:i/>
          <w:color w:val="000000"/>
          <w:sz w:val="20"/>
        </w:rPr>
      </w:pPr>
      <w:r>
        <w:rPr>
          <w:rFonts w:ascii="Arial;sans-serif" w:hAnsi="Arial;sans-serif"/>
          <w:b/>
          <w:i/>
          <w:color w:val="000000"/>
          <w:sz w:val="20"/>
        </w:rPr>
        <w:t xml:space="preserve">Operating Activities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Cash inflows from operating activities are generated primarily through fee-related earnings, distributions of our share of net carried interest, and distribution of earnings from our general partner affiliate interests in our sponsored funds.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operating activities generated net cash inflows of $47.2 million in 2026 and $127.3 million in 2025. Outside of recurring operating activities, cash inflows in 2025 also included distribution of earnings from the secondary sale of equity in our DataBank portfolio company of $34.0 million and $18.8 million of net insurance recoveries related to litigation costs largely incurred in prior years.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Investing activities relate largely to our consolidated liquid funds that invest in marketable equity securities, and our general partner and general partner affiliate investments in sponsored funds, including drawdown of commitments and return of capital from syndications or realized fund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Our investing activities generated net cash inflows of $139.6 million in 2026 and outflows of $68.5 million in 2025.</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 xml:space="preserve">In 2026, net cash inflows included $80.0 million of proceeds received in January 2026 from syndication of our interests in sponsored funds in December 2025, $56.4 million of capital distributions received net of fundings, related to our general partner and general partner affiliate commitments in our sponsored funds, and $1.3 million of net outflows from investing activities of our consolidated liquid funds that hold marketable equity securities. </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In 2025, net cash outflows resulted from $73.6 million of fundings, net of distributions, related to our general partner and general partner affiliate commitments in our sponsored funds, and $32.6 million of investments warehoused for potential new products. This was partially offset by return of capital of $24.8 million from the secondary sale of equity in our DataBank portfolio company and $12.1 million from disposition and recapitalization of investments in our InfraBridge fund.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incur cash outlays primarily for dividends to our preferred and common stockholders. Other financing activities relate to investment activities of limited partners in consolidated funds and third party interests (including employees) in the general partner entities of our sponsored funds.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Financing activities generated net cash outflows of $66.4 million in 2026 and $25.1 million in 2025. Dividend payments for two quarters on our common and preferred stock approximate $33.0 million each year. </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 xml:space="preserve">In 2026, our corporate debt was refinanced through issuance of $300.0 million of new senior notes that repaid a prior series of maturing notes in the same principal amount, with a net cash outlay for debt offering cost of $8.5 million. </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In 2025, cash outflows were partially offset by a follow-on investment of $14.2 million contributed by limited partners of a consolidated single asset fund.</w:t>
      </w:r>
    </w:p>
    <w:p>
      <w:pPr>
        <w:pStyle w:val="TextBody"/>
        <w:bidi w:val="0"/>
        <w:spacing w:lineRule="auto" w:line="288" w:before="240" w:after="283"/>
        <w:jc w:val="left"/>
        <w:rPr/>
      </w:pPr>
      <w:r>
        <w:rPr>
          <w:rFonts w:ascii="Arial;sans-serif" w:hAnsi="Arial;sans-serif"/>
          <w:b/>
          <w:color w:val="000000"/>
          <w:sz w:val="20"/>
          <w:shd w:fill="FFFFFF" w:val="clear"/>
        </w:rPr>
        <w:t>Guarantees</w:t>
      </w:r>
      <w:r>
        <w:rPr>
          <w:color w:val="000000"/>
        </w:rPr>
        <w:t xml:space="preserve"> </w:t>
      </w:r>
      <w:r>
        <w:rPr>
          <w:rFonts w:ascii="Arial;sans-serif" w:hAnsi="Arial;sans-serif"/>
          <w:b/>
          <w:color w:val="000000"/>
          <w:sz w:val="20"/>
        </w:rPr>
        <w:t xml:space="preserve">and Off-Balance Sheet Arrangements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no guarantees or off-balance sheet arrangements that we believe are reasonably likely to have a material effect on our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Our financial statements are prepared in accordance with GAAP, which requires the use of estimates and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assumptions that involve the exercise of judgment and that affect the reported amounts of assets, liabilities, and the disclosure of contingent assets and liabilities at the date of the financial statements and the reported amounts of revenues and expenses during the reporting period. Our critical accounting policies and estimates are integral to understanding and evaluating our reported financial results as they require subjective or complex management judgments, resulting from the need to make estimates about the effect of matters that are inherently uncertain and unpredictable.</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There have been no changes to our critical accounting policies since the filing of our Annual Report on Form 10-K for the year ended December 31, 2025. </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With respect to all critical estimates, we have established policies and control procedures which seek to ensure that estimates and assumptions are appropriately governed and applied consistently from period to period. We believe that all of the decisions and assessments applied were reasonable at the time made, based upon information available to us at that time. Due to the inherently judgmental nature of the various projections and assumptions used, and unpredictability of economic and market conditions, actual results may differ from estimates, and changes in estimates and assumptions could have a material effect on our financial statements in the future.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Recent Accounting Updates </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effects of accounting standards adopted in 2026 and the potential effects of accounting standards to be adopted in the future are described in Note 2 to our consolidated financial statements in Item 1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Arial;sans-serif" w:hAnsi="Arial;sans-serif"/>
          <w:b/>
          <w:color w:val="000000"/>
          <w:sz w:val="20"/>
        </w:rPr>
      </w:pPr>
      <w:r>
        <w:rPr>
          <w:rFonts w:ascii="Arial;sans-serif" w:hAnsi="Arial;sans-serif"/>
          <w:b/>
          <w:color w:val="000000"/>
          <w:sz w:val="20"/>
        </w:rPr>
        <w:t xml:space="preserve">Item 3. Quantitative and Qualitative Disclosures About Market Risk </w:t>
      </w:r>
    </w:p>
    <w:p>
      <w:pPr>
        <w:pStyle w:val="TextBody"/>
        <w:bidi w:val="0"/>
        <w:spacing w:lineRule="auto" w:line="288" w:before="18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Market risk represents the risk of financial loss from adverse movement in market prices. The primary sources of market risk are interest rates, foreign currency rates and equity prices.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business is exposed primarily to the effect of market risk on our fee revenue, principal investment income and net carried interest allocation, foreign currency risk on non-U.S. investment management business, interest rate risk on our VFN, and equity price risk on marketable equity securities held by consolidated investment vehicles. </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Market Risk Effect on Fee Revenue, Principal Investment Income and Net Carried Interest Allocation</w:t>
      </w:r>
    </w:p>
    <w:p>
      <w:pPr>
        <w:pStyle w:val="TextBody"/>
        <w:bidi w:val="0"/>
        <w:spacing w:lineRule="auto" w:line="288" w:before="120" w:after="120"/>
        <w:ind w:left="0" w:right="0" w:firstLine="450"/>
        <w:jc w:val="left"/>
        <w:rPr/>
      </w:pPr>
      <w:r>
        <w:rPr>
          <w:rFonts w:ascii="Arial;sans-serif" w:hAnsi="Arial;sans-serif"/>
          <w:b w:val="false"/>
          <w:i/>
          <w:color w:val="000000"/>
          <w:sz w:val="20"/>
        </w:rPr>
        <w:t>Management Fees</w:t>
      </w:r>
      <w:r>
        <w:rPr>
          <w:color w:val="000000"/>
        </w:rPr>
        <w:t>—</w:t>
      </w:r>
      <w:r>
        <w:rPr>
          <w:rFonts w:ascii="Arial;sans-serif" w:hAnsi="Arial;sans-serif"/>
          <w:b w:val="false"/>
          <w:color w:val="000000"/>
          <w:sz w:val="20"/>
        </w:rPr>
        <w:t>To the extent management fees are based upon fair value of the underlying investments of our managed investment vehicles, an increase or decrease in fair value will directly affect our management fee revenue. Generally, our management fee revenue is calculated based upon investors' committed capital during the commitment period of the vehicle, and thereafter, contributed or invested capital during the investing and liquidating periods, or invested capital from inception for Credit and co-investment vehicles. To a lesser extent, management fees are based upon the NAV of vehicles in our Liquid Strategies or GAV for certain InfraBridge vehicles, measured at fair value. At June 30, 2026, vehicles with NAV or GAV fee basis made up 4% of our $40.2 billion FEEUM and accounted for $7.2 million of management fees for the six months ended June 30, 2026. Accordingly, most of our management fee revenue are not directly affected by changes in investment fair values.</w:t>
      </w:r>
    </w:p>
    <w:p>
      <w:pPr>
        <w:pStyle w:val="TextBody"/>
        <w:bidi w:val="0"/>
        <w:spacing w:lineRule="auto" w:line="288" w:before="120" w:after="120"/>
        <w:ind w:left="0" w:right="0" w:firstLine="450"/>
        <w:jc w:val="left"/>
        <w:rPr/>
      </w:pPr>
      <w:r>
        <w:rPr>
          <w:rFonts w:ascii="Arial;sans-serif" w:hAnsi="Arial;sans-serif"/>
          <w:b w:val="false"/>
          <w:i/>
          <w:color w:val="000000"/>
          <w:sz w:val="20"/>
        </w:rPr>
        <w:t>Principal Investment Income (Loss)</w:t>
      </w:r>
      <w:r>
        <w:rPr>
          <w:color w:val="000000"/>
        </w:rPr>
        <w:t>—</w:t>
      </w:r>
      <w:r>
        <w:rPr>
          <w:rFonts w:ascii="Arial;sans-serif" w:hAnsi="Arial;sans-serif"/>
          <w:b w:val="false"/>
          <w:color w:val="000000"/>
          <w:sz w:val="20"/>
        </w:rPr>
        <w:t>This is our share of income (loss) from equity interests in our sponsored funds, which in turn is largely driven by fair value changes in the underlying investments of the funds.</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A hypothetical 10% decline in the fair value of fund investments at June 30, 2026 would decrease the OP's share of principal investment income by approximately $75 million.</w:t>
      </w:r>
    </w:p>
    <w:p>
      <w:pPr>
        <w:pStyle w:val="TextBody"/>
        <w:bidi w:val="0"/>
        <w:spacing w:lineRule="auto" w:line="288" w:before="120" w:after="120"/>
        <w:ind w:left="0" w:right="0" w:firstLine="450"/>
        <w:jc w:val="left"/>
        <w:rPr/>
      </w:pPr>
      <w:r>
        <w:rPr>
          <w:rFonts w:ascii="Arial;sans-serif" w:hAnsi="Arial;sans-serif"/>
          <w:b w:val="false"/>
          <w:i/>
          <w:color w:val="000000"/>
          <w:sz w:val="20"/>
        </w:rPr>
        <w:t>Incentive Fees and Carried Interest</w:t>
      </w:r>
      <w:r>
        <w:rPr>
          <w:color w:val="000000"/>
        </w:rPr>
        <w:t>—</w:t>
      </w:r>
      <w:r>
        <w:rPr>
          <w:rFonts w:ascii="Arial;sans-serif" w:hAnsi="Arial;sans-serif"/>
          <w:b w:val="false"/>
          <w:color w:val="000000"/>
          <w:sz w:val="20"/>
        </w:rPr>
        <w:t xml:space="preserve">Incentive fees and carried interest, net of management allocations, are earned based upon the financial performance of a vehicle above a specified return threshold, which is largely driven by appreciation in value of underlying investments. The amount of carried interest allocation recognized is based upon the cumulative performance of the fund if it were liquidated as of the reporting date. The extent of the effect of fair value changes to the amount of incentive fees and carried interest earned will depend upon the cumulative performance of an investment vehicle relative to its return threshold, the performance measurement period used to calculate incentives and carried interest, and the stage of the vehicle's lifecycle. </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 hypothetical 10% decline in the fair value of fund investments at June 30, 2026 would decrease unrealized carried interest by approximately $126 million, representing the OP's share of carried interest net of allocations to employees and a third party participation interest. </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Our incentive fees are recognized when it is probable that a significant reversal of the cumulative incentive fees will not occur, which is typically when the fees become realizable or realized at the end of the performance measurement period. At June 30, 2026, there were no incentive fees recorded that have not been fully realized.</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Foreign Currency Risk</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As of June 30, 2026, we had limited direct foreign currency exposure from our foreign operations and there were no foreign currency denominated investments on the balance sheet. Changes in foreign currency rates can adversely affect earnings and the value of our foreign currency denominated investments, including investments in our foreign subsidiaries.</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We have exposure to foreign currency risk from the operations of our foreign subsidiaries to the extent these subsidiaries do not transact in U.S. dollars. Generally, this is limited to our InfraBridge advisor subsidiary which receives fee revenue predominantly in U.S. dollars but incur operating costs in Pound Sterling.</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 xml:space="preserve">Interest Rate Risk </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Instruments bearing variable interest rates include debt obligations, which are subject to interest rate fluctuations that will affect future cash flows, specifically interest expense. </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corporate debt exposure to variable interest rates is limited to our VFN revolver, which had no outstanding balance at June 30, 2026.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Equity Price Risk</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At June 30, 2026, we had $136 million of long positions and $92 million of short positions in marketable equity securities held by our consolidated liquid funds. Realized and unrealized gains and losses from marketable equity securities are recorded in other gain (loss) on the consolidated statement of operations. Market prices for publicly traded equity securities may fluctuate due to a myriad of factors, including but not limited to, financial performance of the investee, industry conditions, economic and political environment, trade volume, and general sentiments in the equity markets. Therefore the level of volatility and price fluctuations are unpredictable. Our funds constantly rebalance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investment portfolio to take advantage of market opportunities and to manage risk. Additionally, one of our funds employs a long/short equity strategy, taking long positions that serve as collateral for short positions, which in combination, reduces its market risk exposure. The effect of equity price decreases to earnings attributable to our stockholders is further reduced as our consolidated liquid funds are partially owned by third party capital, which represent redeemable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Arial;sans-serif" w:hAnsi="Arial;sans-serif"/>
          <w:b/>
          <w:color w:val="000000"/>
          <w:sz w:val="20"/>
        </w:rPr>
      </w:pPr>
      <w:r>
        <w:rPr>
          <w:rFonts w:ascii="Arial;sans-serif" w:hAnsi="Arial;sans-serif"/>
          <w:b/>
          <w:color w:val="000000"/>
          <w:sz w:val="20"/>
        </w:rPr>
        <w:t xml:space="preserve">Item 4. Controls and Procedures. </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 xml:space="preserve">Evaluation of Disclosure Controls and Procedures </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maintain disclosure controls and procedures (as defined in Rule 13a-15(e) and 15d-15(e) of the Exchange Act) that are designed to ensure that information required to be disclosed in our reports that we file or submit under the Exchange Act is recorded, processed, summarized and reported within the time period specified in the SEC’s rules and forms, and that such information is accumulated and communicated to our management, including our Chief Executive Officer and Chief Financial Officer, as appropriate, to allow for timely decisions regarding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Accordingly, even effective disclosure controls and procedures can only provide reasonable assurance of achieving their control objectives. </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required by Rule 13a-15(b) of the Exchange Act, we have evaluated, under the supervision and with the participation of management, including our Chief Executive Officer and Chief Financial Officer, the effectiveness of our disclosure controls and procedures    . Based upon our evaluation, our Chief Executive Officer and Chief Financial Officer concluded that our disclosure controls and procedures were effective at June 30, 2026. </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(as defined in Rule 13a-15(f) and 15d-15(f) of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 xml:space="preserve">Item 1.  Legal Proceedings. </w:t>
      </w:r>
    </w:p>
    <w:p>
      <w:pPr>
        <w:pStyle w:val="TextBody"/>
        <w:bidi w:val="0"/>
        <w:spacing w:lineRule="auto" w:line="288" w:before="120" w:after="283"/>
        <w:ind w:left="0" w:right="0" w:firstLine="450"/>
        <w:jc w:val="left"/>
        <w:rPr/>
      </w:pPr>
      <w:r>
        <w:rPr>
          <w:rFonts w:ascii="Arial;sans-serif" w:hAnsi="Arial;sans-serif"/>
          <w:b w:val="false"/>
          <w:color w:val="000000"/>
          <w:sz w:val="20"/>
        </w:rPr>
        <w:t>The information set forth under "</w:t>
      </w:r>
      <w:hyperlink w:anchor="i8ec40b4c9789460d9dc097fd9b01d5ee_25">
        <w:r>
          <w:rPr>
            <w:rStyle w:val="InternetLink"/>
            <w:rFonts w:ascii="Arial;sans-serif" w:hAnsi="Arial;sans-serif"/>
            <w:b w:val="false"/>
            <w:color w:val="0000FF"/>
            <w:sz w:val="20"/>
            <w:u w:val="single"/>
          </w:rPr>
          <w:t>Litigation</w:t>
        </w:r>
      </w:hyperlink>
      <w:r>
        <w:rPr>
          <w:rFonts w:ascii="Arial;sans-serif" w:hAnsi="Arial;sans-serif"/>
          <w:b w:val="false"/>
          <w:color w:val="000000"/>
          <w:sz w:val="20"/>
        </w:rPr>
        <w:t xml:space="preserve">" in Note 16 to the consolidated financial statements in Item 1 of this Quarterly Report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20" w:after="283"/>
        <w:ind w:left="0" w:right="0" w:firstLine="450"/>
        <w:jc w:val="left"/>
        <w:rPr/>
      </w:pPr>
      <w:r>
        <w:rPr>
          <w:rFonts w:ascii="Arial;sans-serif" w:hAnsi="Arial;sans-serif"/>
          <w:b w:val="false"/>
          <w:color w:val="000000"/>
          <w:sz w:val="20"/>
        </w:rPr>
        <w:t>Except as set forth below, there</w:t>
      </w:r>
      <w:r>
        <w:rPr>
          <w:strike/>
          <w:color w:val="000000"/>
        </w:rPr>
        <w:t xml:space="preserve"> </w:t>
      </w:r>
      <w:r>
        <w:rPr>
          <w:rFonts w:ascii="Arial;sans-serif" w:hAnsi="Arial;sans-serif"/>
          <w:b w:val="false"/>
          <w:color w:val="000000"/>
          <w:sz w:val="20"/>
          <w:shd w:fill="FFFFFF" w:val="clear"/>
        </w:rPr>
        <w:t xml:space="preserve">have been no material changes from the risk factors previously disclosed in response to "Part I—Item 1A. Risk Factors" of our Annual Report on Form 10-K for the year ended December 31, 2025, which is available on the SEC's website at www.sec.gov. </w:t>
      </w:r>
      <w:r>
        <w:rPr>
          <w:rFonts w:ascii="Arial;sans-serif" w:hAnsi="Arial;sans-serif"/>
          <w:b w:val="false"/>
          <w:color w:val="000000"/>
          <w:sz w:val="20"/>
        </w:rPr>
        <w:t>In addition to the other information set forth in this Quarterly Report, you should carefully consider the factors discussed in our Annual Report on Form 10-K for the year ended December 31, 2025.</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Risks Related to the SoftBank Merger and the ArcLight Acquisition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The SoftBank Merger and/or the ArcLight Acquisition may not be completed on the terms or timelines currently contemplated or at all.</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consummation of the SoftBank Merger and the ArcLight Acquisition are each subject to certain closing conditions, including among other things: (a) expiration or early termination of the applicable waiting period under the Hart-Scott-Rodino Antitrust Improvements Act of 1976, as amended and the receipt of certain non-U.S. antitrust approvals; (b) the receipt of certain required consents or approvals, including, among others, from (i) the Committee on Foreign Investment in the United States and the applicable regulators in certain non-U.S. jurisdictions under foreign investment laws, (ii) the Federal Energy Regulatory Commission, (iii) the Federal Communications Commission, (iv) the Monetary Authority of Singapore, (v) the UK Financial Conduct Authority, and (vi) the European Union under the EU Foreign Subsidies Regulation 2022/2560; (c) the absence of legal restraints prohibiting the SoftBank Merger and/or the ArcLight Acquisition, as applicable; (d) the absence of certain materially adverse conditions or remedies imposed in connection with the foregoing regulatory approvals; and (e) the receipt of required consents for investment funds and clients, as applicable, as well as other customary closing conditions. There can be no assurance that such conditions will be satisfied in a timely manner or at all, or that an effect, event, development or change will not transpire that could delay or prevent these conditions from being satisfied. While many of the required governmental approvals for the SoftBank Merger and the ArcLight Acquisition have been obtained, certain governmental agencies may not approve the SoftBank Merger, the ArcLight Acquisition and/or the related transactions necessary to complete the SoftBank Merger and/or the ArcLight Acquisition, or may impose conditions to the approval of such transactions or require changes to the terms of such transactions. Any such conditions or changes could have the effect of delaying completion of the SoftBank Merger and/or the ArcLight Acquisition, or imposing costs on or limiting the operation of the Company's business following the SoftBank Merger and/or the ArcLight Acquisition, and such conditions or changes could lead to the termination of the SoftBank Merger Agreement and/or the ArcLight Agreement.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An adverse judgment in one or more lawsuits challenging the SoftBank Merger and/or the ArcLight Acquisition, should they occur, may prevent such transactions from becoming effective or from becoming effective within the expected timeframes, and may result in significant costs and divert management’s attention and resources.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Stockholders may file lawsuits challenging the SoftBank Merger, the ArcLight Acquisition or the other transactions contemplated by the SoftBank Merger Agreement or the ArcLight Agreement, as applicable, which may name the Company, members of the board of directors or others as defendants. No assurance can be made as to the outcome of such lawsuits, should they occur, including the amount of costs associated with defending these claims or any other liabilities that may be incurred in connection with the litigation of these claims. If plaintiffs are successful in obtaining an injunction prohibiting the parties from completing the SoftBank Merger or the ArcLight Agreement on the applicable agreed-upon terms, such an injunction may delay the completion of the SoftBank Merger and/or the ArcLight Acquisition, in the expected timeframe, or may prevent such transactions from being completed altogether. Whether or not any plaintiff’s claim is successful, this type of litigation may result in significant costs and diverts management’s attention and resources, which could adversely affect the operation of our business.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Failure to consummate the proposed SoftBank Merger and/or the ArcLight Acquisition could have a material adverse impact on our business, results of operations and financial condition.</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In the event the SoftBank Merger and/or the ArcLight Acquisition are not completed, we will be subject to a number of risks without realizing any of the benefits of having completed such transactions,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Because consummation of the ArcLight Acquisition is conditioned upon prior completion of the SoftBank Merger, if the SoftBank Merger is not completed, the ArcLight Acquisition likewise will not be consummated and we will not realize any of its anticipated benefits;</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We may be required to pay a termination fee of $96 million if the SoftBank Merger is terminated under qualifying circumstances and/or a termination fee of $30 million if the ArcLight Agreement is terminated under qualifying circumstances, in each case as described in the SoftBank Merger Agreement or ArcLight Agreement, as applicable;</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We have incurred and will continue to incur substantial costs relating to the SoftBank Merger and the ArcLight Acquisition, such as financial advisor, legal, accounting, and, with respect to the ArcLight Acquisition, debt financing costs and fees, regardless of whether the SoftBank Merger and the ArcLight Acquisition are completed;</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Time and resources committed by management to matters relating to the SoftBank Merger and the ArcLight Acquisition (including integration planning) could otherwise have been devoted to pursuing other beneficial opportunities; and</w:t>
      </w:r>
    </w:p>
    <w:p>
      <w:pPr>
        <w:pStyle w:val="TextBody"/>
        <w:bidi w:val="0"/>
        <w:spacing w:lineRule="auto" w:line="288" w:before="60" w:after="283"/>
        <w:ind w:left="0" w:right="0" w:hanging="180"/>
        <w:jc w:val="left"/>
        <w:rPr/>
      </w:pPr>
      <w:r>
        <w:rPr>
          <w:color w:val="000000"/>
        </w:rPr>
        <w:t>•</w:t>
      </w:r>
      <w:r>
        <w:rPr>
          <w:rFonts w:ascii="Arial;sans-serif" w:hAnsi="Arial;sans-serif"/>
          <w:b w:val="false"/>
          <w:color w:val="000000"/>
          <w:sz w:val="20"/>
        </w:rPr>
        <w:t xml:space="preserve">The market price of our common stock could decline to the extent that the current market price reflects a market assumption that the SoftBank Merger will be completed. If the SoftBank Merger and/or the ArcLight Acquisition are not completed, the Company cannot assure its stockholders that the risks described above will not materialize and will not materially affect the Company’s business and financial results or the market price of our securities.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 xml:space="preserve">Uncertainty regarding the completion of the SoftBank Merger and/or the ArcLight Acquisition may adversely impact our ability to maintain relationships with investors and business partners and may adversely affect our ability to attract and retain key employees. </w:t>
      </w:r>
    </w:p>
    <w:p>
      <w:pPr>
        <w:pStyle w:val="TextBody"/>
        <w:bidi w:val="0"/>
        <w:spacing w:lineRule="auto" w:line="288" w:before="120" w:after="120"/>
        <w:ind w:left="0" w:right="0" w:firstLine="450"/>
        <w:jc w:val="left"/>
        <w:rPr/>
      </w:pPr>
      <w:r>
        <w:rPr>
          <w:rFonts w:ascii="Arial;sans-serif" w:hAnsi="Arial;sans-serif"/>
          <w:b w:val="false"/>
          <w:color w:val="000000"/>
          <w:sz w:val="20"/>
        </w:rPr>
        <w:t xml:space="preserve">The SoftBank Merger and the ArcLight Acquisition will each be consummated only if stated conditions are met, many of which are beyond our control, and may not be completed on the terms or timeline currently contemplated or at all. As a result, there may be uncertainty regarding the completion of the SoftBank Merger and/or the ArcLight Acquisition. This uncertainty may cause some of our investors and business partners to delay or defer decisions or to end their relationships with us, which could negatively affect our revenues, earnings and cash flows, regardless of whether the SoftBank Merger and/or the ArcLight Acquisition are completed. Uncertainty regarding the completion of the SoftBank </w:t>
      </w:r>
      <w:r>
        <w:rPr>
          <w:rFonts w:ascii="Arial;sans-serif" w:hAnsi="Arial;sans-serif"/>
          <w:b w:val="false"/>
          <w:color w:val="000000"/>
          <w:sz w:val="20"/>
          <w:shd w:fill="FFFFFF" w:val="clear"/>
        </w:rPr>
        <w:t xml:space="preserve">Merger </w:t>
      </w:r>
      <w:r>
        <w:rPr>
          <w:rFonts w:ascii="Arial;sans-serif" w:hAnsi="Arial;sans-serif"/>
          <w:b w:val="false"/>
          <w:color w:val="000000"/>
          <w:sz w:val="20"/>
        </w:rPr>
        <w:t xml:space="preserve">and/or the ArcLight Acquisition </w:t>
      </w:r>
      <w:r>
        <w:rPr>
          <w:rFonts w:ascii="Arial;sans-serif" w:hAnsi="Arial;sans-serif"/>
          <w:b w:val="false"/>
          <w:color w:val="000000"/>
          <w:sz w:val="20"/>
          <w:shd w:fill="FFFFFF" w:val="clear"/>
        </w:rPr>
        <w:t xml:space="preserve">may also foster uncertainty among employees about their future roles. This may adversely affect our ability to attract and retain key personnel, which could have an adverse effect on our ability to generate revenue at anticipated levels prior to the completion of the </w:t>
      </w:r>
      <w:r>
        <w:rPr>
          <w:rFonts w:ascii="Arial;sans-serif" w:hAnsi="Arial;sans-serif"/>
          <w:b w:val="false"/>
          <w:color w:val="000000"/>
          <w:sz w:val="20"/>
        </w:rPr>
        <w:t xml:space="preserve">SoftBank </w:t>
      </w:r>
      <w:r>
        <w:rPr>
          <w:rFonts w:ascii="Arial;sans-serif" w:hAnsi="Arial;sans-serif"/>
          <w:b w:val="false"/>
          <w:color w:val="000000"/>
          <w:sz w:val="20"/>
          <w:shd w:fill="FFFFFF" w:val="clear"/>
        </w:rPr>
        <w:t>Merger</w:t>
      </w:r>
      <w:r>
        <w:rPr>
          <w:color w:val="000000"/>
        </w:rPr>
        <w:t xml:space="preserve"> </w:t>
      </w:r>
      <w:r>
        <w:rPr>
          <w:rFonts w:ascii="Arial;sans-serif" w:hAnsi="Arial;sans-serif"/>
          <w:b w:val="false"/>
          <w:color w:val="000000"/>
          <w:sz w:val="20"/>
        </w:rPr>
        <w:t>and/or the ArcLight Acquisition</w:t>
      </w:r>
      <w:r>
        <w:rPr>
          <w:rFonts w:ascii="Arial;sans-serif" w:hAnsi="Arial;sans-serif"/>
          <w:b w:val="false"/>
          <w:color w:val="000000"/>
          <w:sz w:val="20"/>
          <w:shd w:fill="FFFFFF" w:val="clear"/>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72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Shares of class A common stock, as described below, were issued in reliance on Sections 3(a)(9) or 4(a)(2) of the Securities Act of 1933, as amended.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Redemption of Membership Units in OP ("OP units")</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Holders of OP units have the right to require the OP to redeem all or a portion of their OP units for cash or, at our option, shares of class A common stock on a one-for-one basis. In the second quarter of 2026, 2,478,601 shares of class A common stock were issued in satisfaction of redemption requests by OP unit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12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120"/>
        <w:ind w:left="0" w:right="0" w:firstLine="45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72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120"/>
        <w:ind w:left="0" w:right="0" w:hanging="720"/>
        <w:jc w:val="left"/>
        <w:rPr>
          <w:rFonts w:ascii="Arial;sans-serif" w:hAnsi="Arial;sans-serif"/>
          <w:b/>
          <w:color w:val="000000"/>
          <w:sz w:val="20"/>
        </w:rPr>
      </w:pPr>
      <w:r>
        <w:rPr>
          <w:rFonts w:ascii="Arial;sans-serif" w:hAnsi="Arial;sans-serif"/>
          <w:b/>
          <w:color w:val="000000"/>
          <w:sz w:val="20"/>
        </w:rPr>
        <w:t>Rule 10b5-1 Trading Plans</w:t>
      </w:r>
    </w:p>
    <w:p>
      <w:pPr>
        <w:pStyle w:val="TextBody"/>
        <w:bidi w:val="0"/>
        <w:spacing w:lineRule="auto" w:line="288" w:before="0" w:after="120"/>
        <w:ind w:left="0" w:right="0" w:firstLine="450"/>
        <w:jc w:val="left"/>
        <w:rPr>
          <w:rFonts w:ascii="Arial;sans-serif" w:hAnsi="Arial;sans-serif"/>
          <w:b w:val="false"/>
          <w:color w:val="000000"/>
          <w:sz w:val="20"/>
        </w:rPr>
      </w:pPr>
      <w:r>
        <w:rPr>
          <w:rFonts w:ascii="Arial;sans-serif" w:hAnsi="Arial;sans-serif"/>
          <w:b w:val="false"/>
          <w:color w:val="000000"/>
          <w:sz w:val="20"/>
        </w:rPr>
        <w:t>During the quarter ended June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300" w:after="283"/>
        <w:ind w:left="0" w:right="0" w:hanging="720"/>
        <w:jc w:val="center"/>
        <w:rPr>
          <w:rFonts w:ascii="Arial;sans-serif" w:hAnsi="Arial;sans-serif"/>
          <w:b/>
          <w:color w:val="000000"/>
          <w:sz w:val="20"/>
        </w:rPr>
      </w:pPr>
      <w:r>
        <w:rPr>
          <w:rFonts w:ascii="Arial;sans-serif" w:hAnsi="Arial;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12"/>
        <w:gridCol w:w="274"/>
        <w:gridCol w:w="275"/>
        <w:gridCol w:w="109"/>
        <w:gridCol w:w="109"/>
        <w:gridCol w:w="109"/>
        <w:gridCol w:w="3021"/>
        <w:gridCol w:w="2862"/>
        <w:gridCol w:w="2870"/>
        <w:gridCol w:w="109"/>
        <w:gridCol w:w="155"/>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2">
              <w:r>
                <w:rPr>
                  <w:rStyle w:val="InternetLink"/>
                  <w:rFonts w:ascii="Arial;sans-serif" w:hAnsi="Arial;sans-serif"/>
                  <w:b w:val="false"/>
                  <w:color w:val="0000FF"/>
                  <w:sz w:val="16"/>
                  <w:u w:val="single"/>
                </w:rPr>
                <w:t>Agreement and Plan of Merger, dated as of December 29, 2025, by and among DigitalBridge Group, Inc., Duncan Holdco LLC, Duncan Sub I Inc., Duncan Sub II LLC, and DigitalBridge Operating Company, LLC (incorporated by reference to the Company’s Current Report on Form 8-K filed on December 30,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3">
              <w:r>
                <w:rPr>
                  <w:rStyle w:val="InternetLink"/>
                  <w:rFonts w:ascii="Arial;sans-serif" w:hAnsi="Arial;sans-serif"/>
                  <w:b w:val="false"/>
                  <w:color w:val="0000FF"/>
                  <w:sz w:val="16"/>
                  <w:u w:val="single"/>
                </w:rPr>
                <w:t xml:space="preserve">Agreement and Plan of Merger, dated as of May 23, 2026, by and among DigitalBridge Group, Inc., DigitalBridge Operating Company, LLC, DB Marley Sub, LLC, ArcLight Capital Holdings, LLC, ACHP II, LP, and the Seller Representative (incorporated by reference to the Company’s Current Report on Form 8-K filed on May 27, 2026)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4">
              <w:r>
                <w:rPr>
                  <w:rStyle w:val="InternetLink"/>
                  <w:rFonts w:ascii="Arial;sans-serif" w:hAnsi="Arial;sans-serif"/>
                  <w:b w:val="false"/>
                  <w:color w:val="0000FF"/>
                  <w:sz w:val="16"/>
                  <w:u w:val="single"/>
                </w:rPr>
                <w:t>Restated Charter of DigitalBridge Group, Inc. (incorporated by reference to Exhibit 3.1 to the Company’s Quarterly Report on Form 10-Q filed on August 4,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5">
              <w:r>
                <w:rPr>
                  <w:rStyle w:val="InternetLink"/>
                  <w:rFonts w:ascii="Arial;sans-serif" w:hAnsi="Arial;sans-serif"/>
                  <w:b w:val="false"/>
                  <w:color w:val="0000FF"/>
                  <w:sz w:val="16"/>
                  <w:u w:val="single"/>
                </w:rPr>
                <w:t>Amended and Restated Bylaws of DigitalBridge Group, Inc., effective August 1, 2023 (incorporated by reference to Exhibit 3.2 to the Company’s Quarterly Report on Form 10-Q filed on August 4,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6">
              <w:r>
                <w:rPr>
                  <w:rStyle w:val="InternetLink"/>
                  <w:rFonts w:ascii="Arial;sans-serif" w:hAnsi="Arial;sans-serif"/>
                  <w:b w:val="false"/>
                  <w:color w:val="0000FF"/>
                  <w:sz w:val="16"/>
                  <w:u w:val="single"/>
                </w:rPr>
                <w:t>Articles Supplementary designating 7.15% Series I Cumulative Redeemable Perpetual Preferred Stock, liquidation preference $25.00 per share, par value $0.01 per share (incorporated by reference to Exhibit 3.2 to the Company’s Form 8-A filed on June 5, 2017)</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7">
              <w:r>
                <w:rPr>
                  <w:rStyle w:val="InternetLink"/>
                  <w:rFonts w:ascii="Arial;sans-serif" w:hAnsi="Arial;sans-serif"/>
                  <w:b w:val="false"/>
                  <w:color w:val="0000FF"/>
                  <w:sz w:val="16"/>
                  <w:u w:val="single"/>
                </w:rPr>
                <w:t>Articles Supplementary designating 7.125% Series J Cumulative Redeemable Perpetual Preferred Stock, liquidation preference $25.00 per share, par value $0.01 per share (incorporated by reference to Exhibit 3.3 to the Company's Registration Statement on Form 8-A filed on September 22, 2017)</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8">
              <w:r>
                <w:rPr>
                  <w:rStyle w:val="InternetLink"/>
                  <w:rFonts w:ascii="Arial;sans-serif" w:hAnsi="Arial;sans-serif"/>
                  <w:b w:val="false"/>
                  <w:color w:val="0000FF"/>
                  <w:sz w:val="16"/>
                  <w:u w:val="single"/>
                </w:rPr>
                <w:t xml:space="preserve">Second Amendment to Base Indenture, dated as of May 11, 2026, by and among DigitalBridge Issuer, LLC, DigitalBridge Co-Issuer, LLC, together as Co-Issuers, certain indirect and direct subsidiaries of the Co-Issuers and Citibank, N.A., as Indenture Trustee (incorporated by reference to the Company’s Current Report on Form 8-K filed on May 15, 2026)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9">
              <w:r>
                <w:rPr>
                  <w:rStyle w:val="InternetLink"/>
                  <w:rFonts w:ascii="Arial;sans-serif" w:hAnsi="Arial;sans-serif"/>
                  <w:b w:val="false"/>
                  <w:color w:val="0000FF"/>
                  <w:sz w:val="16"/>
                  <w:u w:val="single"/>
                </w:rPr>
                <w:t>Series 2026-1 Supplement to Base Indenture, dated as of May 11, 2026, by and between DigitalBridge Issuer, LLC and DigitalBridge Co-Issuer, LLC, together as Co-Issuers of the Series 2026-1 secured fund fee revenue notes, Class A-2, and Series 2026-1 variable funding senior notes, Class A-1, certain indirect and direct subsidiaries of the Co-Issuers and Citibank, N.A., as Trustee (incorporated by reference to the Company’s Current Report on Form 8-K filed on May 15,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10">
              <w:r>
                <w:rPr>
                  <w:rStyle w:val="InternetLink"/>
                  <w:rFonts w:ascii="Arial;sans-serif" w:hAnsi="Arial;sans-serif"/>
                  <w:b w:val="false"/>
                  <w:color w:val="0000FF"/>
                  <w:sz w:val="16"/>
                  <w:u w:val="single"/>
                </w:rPr>
                <w:t>Class A-1 Note Purchase Agreement, dated as of May 11, 2026, by and among DigitalBridge Issuer, LLC and DigitalBridge Co-Issuer, LLC, together as Co-Issuers, each of DigitalBridge Holdings 1, LLC, DigitalBridge Holdings 2, LLC and DigitalBridge Holdings 3, LLC, DigitalBridge Investment Holdco, LLC, as Manager, the conduit investors party thereto, the financial institutions party thereto, certain funding agents, and Barclays Bank PLC, as L/C Provider and Administrative Agent (incorporated by reference to the Company’s Current Report on Form 8-K filed on May 15,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11">
              <w:r>
                <w:rPr>
                  <w:rStyle w:val="InternetLink"/>
                  <w:rFonts w:ascii="Arial;sans-serif" w:hAnsi="Arial;sans-serif"/>
                  <w:b w:val="false"/>
                  <w:color w:val="0000FF"/>
                  <w:sz w:val="16"/>
                  <w:u w:val="single"/>
                </w:rPr>
                <w:t>First Amendment to DigitalBridge Group, Inc. 2024 Omnibus Stock Incentive Plan (incorporated by reference to the Company’s Current Report on Form 8-K filed on May 15,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exhibit311dbrg2026q2.htm">
              <w:r>
                <w:rPr>
                  <w:rStyle w:val="InternetLink"/>
                  <w:rFonts w:ascii="Arial;sans-serif" w:hAnsi="Arial;sans-serif"/>
                  <w:b w:val="false"/>
                  <w:color w:val="0000FF"/>
                  <w:sz w:val="16"/>
                  <w:u w:val="single"/>
                </w:rPr>
                <w:t>Certification of Marc C. Ganzi, Chief Executive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exhibit312dbrg2026q2.htm">
              <w:r>
                <w:rPr>
                  <w:rStyle w:val="InternetLink"/>
                  <w:rFonts w:ascii="Arial;sans-serif" w:hAnsi="Arial;sans-serif"/>
                  <w:b w:val="false"/>
                  <w:color w:val="0000FF"/>
                  <w:sz w:val="16"/>
                  <w:u w:val="single"/>
                </w:rPr>
                <w:t>Certification of Thomas Mayrhofer, Chief Financial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exhibit321dbrg2026q2.htm">
              <w:r>
                <w:rPr>
                  <w:rStyle w:val="InternetLink"/>
                  <w:rFonts w:ascii="Arial;sans-serif" w:hAnsi="Arial;sans-serif"/>
                  <w:b w:val="false"/>
                  <w:color w:val="0000FF"/>
                  <w:sz w:val="16"/>
                  <w:u w:val="single"/>
                </w:rPr>
                <w:t>Certification of Marc C. Ganzi, 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exhibit322dbrg2026q2.htm">
              <w:r>
                <w:rPr>
                  <w:rStyle w:val="InternetLink"/>
                  <w:rFonts w:ascii="Arial;sans-serif" w:hAnsi="Arial;sans-serif"/>
                  <w:b w:val="false"/>
                  <w:color w:val="0000FF"/>
                  <w:sz w:val="16"/>
                  <w:u w:val="single"/>
                </w:rPr>
                <w:t>Certification of Thomas Mayrhofer,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Cover Page Interactive Data File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The document does not appear in the Interactive Data File because its XBRL tags are embedded within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120" w:after="283"/>
        <w:jc w:val="left"/>
        <w:rPr/>
      </w:pPr>
      <w:hyperlink w:anchor="i8ec40b4c9789460d9dc097fd9b01d5ee_10">
        <w:r>
          <w:rPr>
            <w:rStyle w:val="InternetLink"/>
            <w:rFonts w:ascii="Arial;sans-serif" w:hAnsi="Arial;sans-serif"/>
            <w:b w:val="false"/>
            <w:color w:val="0000FF"/>
            <w:sz w:val="20"/>
            <w:u w:val="single"/>
          </w:rPr>
          <w:t>Table of Contents</w:t>
        </w:r>
      </w:hyperlink>
    </w:p>
    <w:p>
      <w:pPr>
        <w:pStyle w:val="TextBody"/>
        <w:bidi w:val="0"/>
        <w:spacing w:lineRule="auto" w:line="288" w:before="300" w:after="12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180" w:after="120"/>
        <w:ind w:left="0" w:right="0" w:firstLine="45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300" w:after="283"/>
        <w:jc w:val="left"/>
        <w:rPr>
          <w:rFonts w:ascii="Arial;sans-serif" w:hAnsi="Arial;sans-serif"/>
          <w:b w:val="false"/>
          <w:color w:val="000000"/>
          <w:sz w:val="20"/>
        </w:rPr>
      </w:pPr>
      <w:r>
        <w:rPr>
          <w:rFonts w:ascii="Arial;sans-serif" w:hAnsi="Arial;sans-serif"/>
          <w:b w:val="false"/>
          <w:color w:val="000000"/>
          <w:sz w:val="20"/>
        </w:rPr>
        <w:t>Dated: August 4, 2026</w:t>
      </w:r>
    </w:p>
    <w:tbl>
      <w:tblPr>
        <w:tblW w:w="4142" w:type="dxa"/>
        <w:jc w:val="center"/>
        <w:tblInd w:w="0" w:type="dxa"/>
        <w:tblLayout w:type="fixed"/>
        <w:tblCellMar>
          <w:top w:w="28" w:type="dxa"/>
          <w:left w:w="28" w:type="dxa"/>
          <w:bottom w:w="28" w:type="dxa"/>
          <w:right w:w="28" w:type="dxa"/>
        </w:tblCellMar>
      </w:tblPr>
      <w:tblGrid>
        <w:gridCol w:w="273"/>
        <w:gridCol w:w="240"/>
        <w:gridCol w:w="240"/>
        <w:gridCol w:w="240"/>
        <w:gridCol w:w="240"/>
        <w:gridCol w:w="240"/>
        <w:gridCol w:w="778"/>
        <w:gridCol w:w="778"/>
        <w:gridCol w:w="1113"/>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41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DigitalBridge Group, Inc.</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Marc C. Ganzi</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 C. Ganzi</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Chief Executive Officer </w:t>
              <w:br/>
              <w:t>(Principal Executive Officer)</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Thomas Mayrhofer</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8"/>
              </w:rPr>
              <w:t>Thomas Mayrhofer</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Chief Financial Officer </w:t>
              <w:br/>
              <w:t xml:space="preserve">(Principal Financial Officer) </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Tracey Teh</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Tracey Teh</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Marc C. Ganzi, certify that: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DigitalBridge Group, Inc.;</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4034" w:type="dxa"/>
        <w:jc w:val="left"/>
        <w:tblInd w:w="0" w:type="dxa"/>
        <w:tblLayout w:type="fixed"/>
        <w:tblCellMar>
          <w:top w:w="28" w:type="dxa"/>
          <w:left w:w="28" w:type="dxa"/>
          <w:bottom w:w="28" w:type="dxa"/>
          <w:right w:w="28" w:type="dxa"/>
        </w:tblCellMar>
      </w:tblPr>
      <w:tblGrid>
        <w:gridCol w:w="233"/>
        <w:gridCol w:w="205"/>
        <w:gridCol w:w="207"/>
        <w:gridCol w:w="474"/>
        <w:gridCol w:w="474"/>
        <w:gridCol w:w="476"/>
        <w:gridCol w:w="574"/>
        <w:gridCol w:w="574"/>
        <w:gridCol w:w="817"/>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Marc C. Ganzi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 C. Ganzi</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180" w:after="283"/>
        <w:jc w:val="left"/>
        <w:rPr/>
      </w:pPr>
      <w:r>
        <w:rPr>
          <w:rFonts w:ascii="Arial;sans-serif" w:hAnsi="Arial;sans-serif"/>
          <w:b w:val="false"/>
          <w:color w:val="000000"/>
          <w:sz w:val="20"/>
        </w:rPr>
        <w:t xml:space="preserve">I, </w:t>
      </w:r>
      <w:r>
        <w:rPr>
          <w:rFonts w:ascii="Arial;sans-serif" w:hAnsi="Arial;sans-serif"/>
          <w:b/>
          <w:color w:val="000000"/>
          <w:sz w:val="18"/>
        </w:rPr>
        <w:t>Thomas Mayrhofer</w:t>
      </w:r>
      <w:r>
        <w:rPr>
          <w:rFonts w:ascii="Arial;sans-serif" w:hAnsi="Arial;sans-serif"/>
          <w:b w:val="false"/>
          <w:color w:val="000000"/>
          <w:sz w:val="20"/>
        </w:rPr>
        <w:t>, certify that: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DigitalBridge Group, Inc.;</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8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180"/>
        <w:jc w:val="left"/>
        <w:rPr/>
      </w:pPr>
      <w:r>
        <w:rPr/>
      </w:r>
    </w:p>
    <w:tbl>
      <w:tblPr>
        <w:tblW w:w="4124" w:type="dxa"/>
        <w:jc w:val="left"/>
        <w:tblInd w:w="0" w:type="dxa"/>
        <w:tblLayout w:type="fixed"/>
        <w:tblCellMar>
          <w:top w:w="28" w:type="dxa"/>
          <w:left w:w="28" w:type="dxa"/>
          <w:bottom w:w="28" w:type="dxa"/>
          <w:right w:w="28" w:type="dxa"/>
        </w:tblCellMar>
      </w:tblPr>
      <w:tblGrid>
        <w:gridCol w:w="233"/>
        <w:gridCol w:w="205"/>
        <w:gridCol w:w="207"/>
        <w:gridCol w:w="474"/>
        <w:gridCol w:w="474"/>
        <w:gridCol w:w="476"/>
        <w:gridCol w:w="601"/>
        <w:gridCol w:w="601"/>
        <w:gridCol w:w="853"/>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/s/ </w:t>
            </w:r>
            <w:r>
              <w:rPr>
                <w:rFonts w:ascii="Arial;sans-serif" w:hAnsi="Arial;sans-serif"/>
                <w:b/>
                <w:color w:val="000000"/>
                <w:sz w:val="18"/>
              </w:rPr>
              <w:t>Thomas Mayrhofer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6"/>
              </w:rPr>
              <w:t>Thomas Mayrhofer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of Chief Executive Officer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 of the Sarbanes-Oxley Act of 2002</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connection with the Quarterly Report of DigitalBridge Group, Inc. (the “Company”) on Form 10-Q for the three months ended June 30, 2026 as filed with the Securities and Exchange Commission on the date hereof (the “Report”), I, Marc C. Ganzi, Chief Executive Officer of the Company, certify, pursuant to 18 U.S.C. §1350, as adopted pursuant to §906 of the Sarbanes-Oxley Act of 2002, that, to my knowledge:</w:t>
      </w:r>
    </w:p>
    <w:p>
      <w:pPr>
        <w:pStyle w:val="TextBody"/>
        <w:bidi w:val="0"/>
        <w:spacing w:lineRule="auto" w:line="288" w:before="100" w:after="283"/>
        <w:ind w:left="0" w:right="0" w:firstLine="990"/>
        <w:jc w:val="left"/>
        <w:rPr>
          <w:rFonts w:ascii="Arial;sans-serif" w:hAnsi="Arial;sans-serif"/>
          <w:b w:val="false"/>
          <w:color w:val="000000"/>
          <w:sz w:val="20"/>
        </w:rPr>
      </w:pPr>
      <w:r>
        <w:rPr>
          <w:rFonts w:ascii="Arial;sans-serif" w:hAnsi="Arial;sans-serif"/>
          <w:b w:val="false"/>
          <w:color w:val="000000"/>
          <w:sz w:val="20"/>
        </w:rPr>
        <w:t>(i) the Report fully complies with the requirements of Section 13(a) or 15(d), as applicable, of the Securities Exchange Act of 1934, as amended; and</w:t>
      </w:r>
    </w:p>
    <w:p>
      <w:pPr>
        <w:pStyle w:val="TextBody"/>
        <w:bidi w:val="0"/>
        <w:spacing w:lineRule="auto" w:line="288" w:before="100" w:after="283"/>
        <w:ind w:left="0" w:right="0" w:firstLine="990"/>
        <w:jc w:val="left"/>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w:t>
      </w:r>
    </w:p>
    <w:tbl>
      <w:tblPr>
        <w:tblW w:w="4034" w:type="dxa"/>
        <w:jc w:val="left"/>
        <w:tblInd w:w="0" w:type="dxa"/>
        <w:tblLayout w:type="fixed"/>
        <w:tblCellMar>
          <w:top w:w="28" w:type="dxa"/>
          <w:left w:w="28" w:type="dxa"/>
          <w:bottom w:w="28" w:type="dxa"/>
          <w:right w:w="28" w:type="dxa"/>
        </w:tblCellMar>
      </w:tblPr>
      <w:tblGrid>
        <w:gridCol w:w="233"/>
        <w:gridCol w:w="205"/>
        <w:gridCol w:w="207"/>
        <w:gridCol w:w="474"/>
        <w:gridCol w:w="474"/>
        <w:gridCol w:w="476"/>
        <w:gridCol w:w="574"/>
        <w:gridCol w:w="574"/>
        <w:gridCol w:w="817"/>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Marc C. Ganzi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 C. Ganzi</w:t>
              <w:br/>
              <w:t>Chief Executive Officer</w:t>
            </w:r>
          </w:p>
        </w:tc>
      </w:tr>
    </w:tbl>
    <w:p>
      <w:pPr>
        <w:pStyle w:val="TextBody"/>
        <w:bidi w:val="0"/>
        <w:spacing w:lineRule="auto" w:line="288" w:before="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of Chief Financial Officer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 of the Sarbanes-Oxley Act of 2002</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connection with the Quarterly Report of DigitalBridge Group, Inc. (the “Company”) on Form 10-Q for the three months ended June 30, 2026 as filed with the Securities and Exchange Commission on the date hereof (the “Report”), I, Thomas Mayrhofer, Chief Financial Officer of the Company, certify, pursuant to 18 U.S.C. §1350, as adopted pursuant to §906 of the Sarbanes-Oxley Act of 2002, that, to my knowledge:</w:t>
      </w:r>
    </w:p>
    <w:p>
      <w:pPr>
        <w:pStyle w:val="TextBody"/>
        <w:bidi w:val="0"/>
        <w:spacing w:lineRule="auto" w:line="288" w:before="100" w:after="283"/>
        <w:ind w:left="0" w:right="0" w:firstLine="990"/>
        <w:jc w:val="left"/>
        <w:rPr>
          <w:rFonts w:ascii="Arial;sans-serif" w:hAnsi="Arial;sans-serif"/>
          <w:b w:val="false"/>
          <w:color w:val="000000"/>
          <w:sz w:val="20"/>
        </w:rPr>
      </w:pPr>
      <w:r>
        <w:rPr>
          <w:rFonts w:ascii="Arial;sans-serif" w:hAnsi="Arial;sans-serif"/>
          <w:b w:val="false"/>
          <w:color w:val="000000"/>
          <w:sz w:val="20"/>
        </w:rPr>
        <w:t>(i) the Report fully complies with the requirements of Section 13(a) or 15(d), as applicable, of the Securities Exchange Act of 1934, as amended; and</w:t>
      </w:r>
    </w:p>
    <w:p>
      <w:pPr>
        <w:pStyle w:val="TextBody"/>
        <w:bidi w:val="0"/>
        <w:spacing w:lineRule="auto" w:line="288" w:before="100" w:after="283"/>
        <w:ind w:left="0" w:right="0" w:firstLine="990"/>
        <w:jc w:val="left"/>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w:t>
      </w:r>
    </w:p>
    <w:tbl>
      <w:tblPr>
        <w:tblW w:w="4124" w:type="dxa"/>
        <w:jc w:val="left"/>
        <w:tblInd w:w="0" w:type="dxa"/>
        <w:tblLayout w:type="fixed"/>
        <w:tblCellMar>
          <w:top w:w="28" w:type="dxa"/>
          <w:left w:w="28" w:type="dxa"/>
          <w:bottom w:w="28" w:type="dxa"/>
          <w:right w:w="28" w:type="dxa"/>
        </w:tblCellMar>
      </w:tblPr>
      <w:tblGrid>
        <w:gridCol w:w="233"/>
        <w:gridCol w:w="205"/>
        <w:gridCol w:w="207"/>
        <w:gridCol w:w="474"/>
        <w:gridCol w:w="474"/>
        <w:gridCol w:w="476"/>
        <w:gridCol w:w="601"/>
        <w:gridCol w:w="601"/>
        <w:gridCol w:w="853"/>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/s/ </w:t>
            </w:r>
            <w:r>
              <w:rPr>
                <w:rFonts w:ascii="Arial;sans-serif" w:hAnsi="Arial;sans-serif"/>
                <w:b/>
                <w:color w:val="000000"/>
                <w:sz w:val="18"/>
              </w:rPr>
              <w:t>Thomas Mayrhofer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6"/>
              </w:rPr>
              <w:t>Thomas Mayrhofer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Chief Financial Officer</w:t>
            </w:r>
          </w:p>
        </w:tc>
      </w:tr>
    </w:tbl>
    <w:p>
      <w:pPr>
        <w:pStyle w:val="TextBody"/>
        <w:bidi w:val="0"/>
        <w:spacing w:lineRule="auto" w:line="288" w:before="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9688/000110465925125221/tm2534410d3_ex2-1.htm" TargetMode="External"/><Relationship Id="rId3" Type="http://schemas.openxmlformats.org/officeDocument/2006/relationships/hyperlink" Target="https://www.sec.gov/Archives/edgar/data/1679688/000110465926066617/tm2615653d1_ex2-1.htm" TargetMode="External"/><Relationship Id="rId4" Type="http://schemas.openxmlformats.org/officeDocument/2006/relationships/hyperlink" Target="https://www.sec.gov/Archives/edgar/data/1679688/000167968823000087/exhibit31dbrg2023q2.htm" TargetMode="External"/><Relationship Id="rId5" Type="http://schemas.openxmlformats.org/officeDocument/2006/relationships/hyperlink" Target="https://www.sec.gov/Archives/edgar/data/1679688/000167968823000087/exhibit32dbrg2023q2.htm" TargetMode="External"/><Relationship Id="rId6" Type="http://schemas.openxmlformats.org/officeDocument/2006/relationships/hyperlink" Target="https://www.sec.gov/Archives/edgar/data/1679688/000119312517194566/d357646dex32.htm" TargetMode="External"/><Relationship Id="rId7" Type="http://schemas.openxmlformats.org/officeDocument/2006/relationships/hyperlink" Target="https://www.sec.gov/Archives/edgar/data/1679688/000119312517291385/d456005dex33.htm" TargetMode="External"/><Relationship Id="rId8" Type="http://schemas.openxmlformats.org/officeDocument/2006/relationships/hyperlink" Target="https://www.sec.gov/Archives/edgar/data/1679688/000167968826000059/a41secondamendmenttobase.htm" TargetMode="External"/><Relationship Id="rId9" Type="http://schemas.openxmlformats.org/officeDocument/2006/relationships/hyperlink" Target="https://www.sec.gov/Archives/edgar/data/1679688/000167968826000059/exhibit42digitalbridge20.htm" TargetMode="External"/><Relationship Id="rId10" Type="http://schemas.openxmlformats.org/officeDocument/2006/relationships/hyperlink" Target="https://www.sec.gov/Archives/edgar/data/1679688/000167968826000059/exhibit101.htm" TargetMode="External"/><Relationship Id="rId11" Type="http://schemas.openxmlformats.org/officeDocument/2006/relationships/hyperlink" Target="https://www.sec.gov/Archives/edgar/data/1679688/000167968826000062/dbrg_2024omnibusstockincen.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30495</Words>
  <Characters>172011</Characters>
  <CharactersWithSpaces>200598</CharactersWithSpaces>
  <Paragraphs>3676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