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6"/>
          <w:szCs w:val="16"/>
          <w:b w:val="1"/>
          <w:bCs w:val="1"/>
          <w:color w:val="auto"/>
        </w:rPr>
        <w:t>SECURITIES AND EXCHANGE COMMISSION</w:t>
      </w:r>
    </w:p>
    <w:p>
      <w:pPr>
        <w:spacing w:after="0" w:line="25"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437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pacing w:after="0" w:line="163"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92710</wp:posOffset>
            </wp:positionV>
            <wp:extent cx="71323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24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02" w:lineRule="exact"/>
        <w:rPr>
          <w:sz w:val="24"/>
          <w:szCs w:val="24"/>
          <w:color w:val="auto"/>
        </w:rPr>
      </w:pPr>
    </w:p>
    <w:p>
      <w:pPr>
        <w:ind w:left="3868"/>
        <w:spacing w:after="0"/>
        <w:rPr>
          <w:sz w:val="20"/>
          <w:szCs w:val="20"/>
          <w:color w:val="auto"/>
        </w:rPr>
      </w:pPr>
      <w:r>
        <w:rPr>
          <w:rFonts w:ascii="Arial" w:cs="Arial" w:eastAsia="Arial" w:hAnsi="Arial"/>
          <w:sz w:val="11"/>
          <w:szCs w:val="11"/>
          <w:b w:val="1"/>
          <w:bCs w:val="1"/>
          <w:color w:val="auto"/>
        </w:rPr>
        <w:t>Date of Report (Date of earliest event reported): August 4, 2022</w:t>
      </w:r>
    </w:p>
    <w:p>
      <w:pPr>
        <w:spacing w:after="0" w:line="86" w:lineRule="exact"/>
        <w:rPr>
          <w:sz w:val="24"/>
          <w:szCs w:val="24"/>
          <w:color w:val="auto"/>
        </w:rPr>
      </w:pPr>
    </w:p>
    <w:p>
      <w:pPr>
        <w:jc w:val="center"/>
        <w:ind w:right="12"/>
        <w:spacing w:after="0"/>
        <w:rPr>
          <w:sz w:val="20"/>
          <w:szCs w:val="20"/>
          <w:color w:val="auto"/>
        </w:rPr>
      </w:pPr>
      <w:r>
        <w:rPr>
          <w:rFonts w:ascii="Arial" w:cs="Arial" w:eastAsia="Arial" w:hAnsi="Arial"/>
          <w:sz w:val="24"/>
          <w:szCs w:val="24"/>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166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8" w:lineRule="exact"/>
        <w:rPr>
          <w:sz w:val="24"/>
          <w:szCs w:val="24"/>
          <w:color w:val="auto"/>
        </w:rPr>
      </w:pPr>
    </w:p>
    <w:p>
      <w:pPr>
        <w:jc w:val="center"/>
        <w:ind w:right="32"/>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308"/>
          </w:cols>
          <w:pgMar w:left="292" w:top="782" w:right="299" w:bottom="1440" w:gutter="0" w:footer="0" w:header="0"/>
        </w:sectPr>
      </w:pPr>
    </w:p>
    <w:p>
      <w:pPr>
        <w:spacing w:after="0" w:line="98" w:lineRule="exact"/>
        <w:rPr>
          <w:sz w:val="24"/>
          <w:szCs w:val="24"/>
          <w:color w:val="auto"/>
        </w:rPr>
      </w:pPr>
    </w:p>
    <w:p>
      <w:pPr>
        <w:jc w:val="center"/>
        <w:ind w:right="1572"/>
        <w:spacing w:after="0"/>
        <w:rPr>
          <w:sz w:val="20"/>
          <w:szCs w:val="20"/>
          <w:color w:val="auto"/>
        </w:rPr>
      </w:pPr>
      <w:r>
        <w:rPr>
          <w:rFonts w:ascii="Arial" w:cs="Arial" w:eastAsia="Arial" w:hAnsi="Arial"/>
          <w:sz w:val="11"/>
          <w:szCs w:val="11"/>
          <w:b w:val="1"/>
          <w:bCs w:val="1"/>
          <w:color w:val="auto"/>
        </w:rPr>
        <w:t>Maryland</w:t>
      </w:r>
    </w:p>
    <w:p>
      <w:pPr>
        <w:spacing w:after="0" w:line="38" w:lineRule="exact"/>
        <w:rPr>
          <w:sz w:val="24"/>
          <w:szCs w:val="24"/>
          <w:color w:val="auto"/>
        </w:rPr>
      </w:pPr>
    </w:p>
    <w:p>
      <w:pPr>
        <w:ind w:left="868"/>
        <w:spacing w:after="0"/>
        <w:rPr>
          <w:sz w:val="20"/>
          <w:szCs w:val="20"/>
          <w:color w:val="auto"/>
        </w:rPr>
      </w:pPr>
      <w:r>
        <w:rPr>
          <w:rFonts w:ascii="Arial" w:cs="Arial" w:eastAsia="Arial" w:hAnsi="Arial"/>
          <w:sz w:val="8"/>
          <w:szCs w:val="8"/>
          <w:b w:val="1"/>
          <w:bCs w:val="1"/>
          <w:color w:val="auto"/>
        </w:rPr>
        <w:t>(State or Other Jurisdiction of</w:t>
      </w:r>
    </w:p>
    <w:p>
      <w:pPr>
        <w:ind w:left="848"/>
        <w:spacing w:after="0"/>
        <w:rPr>
          <w:sz w:val="20"/>
          <w:szCs w:val="20"/>
          <w:color w:val="auto"/>
        </w:rPr>
      </w:pPr>
      <w:r>
        <w:rPr>
          <w:rFonts w:ascii="Arial" w:cs="Arial" w:eastAsia="Arial" w:hAnsi="Arial"/>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200" w:type="dxa"/>
            <w:vAlign w:val="bottom"/>
          </w:tcPr>
          <w:p>
            <w:pPr>
              <w:spacing w:after="0"/>
              <w:rPr>
                <w:sz w:val="20"/>
                <w:szCs w:val="20"/>
                <w:color w:val="auto"/>
              </w:rPr>
            </w:pPr>
            <w:r>
              <w:rPr>
                <w:rFonts w:ascii="Arial" w:cs="Arial" w:eastAsia="Arial" w:hAnsi="Arial"/>
                <w:sz w:val="11"/>
                <w:szCs w:val="11"/>
                <w:b w:val="1"/>
                <w:bCs w:val="1"/>
                <w:color w:val="auto"/>
              </w:rPr>
              <w:t>001-37980</w:t>
            </w:r>
          </w:p>
        </w:tc>
        <w:tc>
          <w:tcPr>
            <w:tcW w:w="2400" w:type="dxa"/>
            <w:vAlign w:val="bottom"/>
          </w:tcPr>
          <w:p>
            <w:pPr>
              <w:jc w:val="center"/>
              <w:ind w:left="1614"/>
              <w:spacing w:after="0"/>
              <w:rPr>
                <w:sz w:val="20"/>
                <w:szCs w:val="20"/>
                <w:color w:val="auto"/>
              </w:rPr>
            </w:pPr>
            <w:r>
              <w:rPr>
                <w:rFonts w:ascii="Arial" w:cs="Arial" w:eastAsia="Arial" w:hAnsi="Arial"/>
                <w:sz w:val="11"/>
                <w:szCs w:val="11"/>
                <w:b w:val="1"/>
                <w:bCs w:val="1"/>
                <w:color w:val="auto"/>
                <w:w w:val="98"/>
              </w:rPr>
              <w:t>46-4591526</w:t>
            </w:r>
          </w:p>
        </w:tc>
      </w:tr>
      <w:tr>
        <w:trPr>
          <w:trHeight w:val="104"/>
        </w:trPr>
        <w:tc>
          <w:tcPr>
            <w:tcW w:w="2200" w:type="dxa"/>
            <w:vAlign w:val="bottom"/>
          </w:tcPr>
          <w:p>
            <w:pPr>
              <w:spacing w:after="0"/>
              <w:rPr>
                <w:sz w:val="20"/>
                <w:szCs w:val="20"/>
                <w:color w:val="auto"/>
              </w:rPr>
            </w:pPr>
            <w:r>
              <w:rPr>
                <w:rFonts w:ascii="Arial" w:cs="Arial" w:eastAsia="Arial" w:hAnsi="Arial"/>
                <w:sz w:val="8"/>
                <w:szCs w:val="8"/>
                <w:b w:val="1"/>
                <w:bCs w:val="1"/>
                <w:color w:val="auto"/>
              </w:rPr>
              <w:t>(Commission</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(I.R.S. Employer</w:t>
            </w:r>
          </w:p>
        </w:tc>
      </w:tr>
      <w:tr>
        <w:trPr>
          <w:trHeight w:val="114"/>
        </w:trPr>
        <w:tc>
          <w:tcPr>
            <w:tcW w:w="2200" w:type="dxa"/>
            <w:vAlign w:val="bottom"/>
          </w:tcPr>
          <w:p>
            <w:pPr>
              <w:spacing w:after="0"/>
              <w:rPr>
                <w:sz w:val="20"/>
                <w:szCs w:val="20"/>
                <w:color w:val="auto"/>
              </w:rPr>
            </w:pPr>
            <w:r>
              <w:rPr>
                <w:rFonts w:ascii="Arial" w:cs="Arial" w:eastAsia="Arial" w:hAnsi="Arial"/>
                <w:sz w:val="8"/>
                <w:szCs w:val="8"/>
                <w:b w:val="1"/>
                <w:bCs w:val="1"/>
                <w:color w:val="auto"/>
              </w:rPr>
              <w:t>File Number)</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Identification No.)</w:t>
            </w:r>
          </w:p>
        </w:tc>
      </w:tr>
    </w:tbl>
    <w:p>
      <w:pPr>
        <w:spacing w:after="0" w:line="84" w:lineRule="exact"/>
        <w:rPr>
          <w:sz w:val="24"/>
          <w:szCs w:val="24"/>
          <w:color w:val="auto"/>
        </w:rPr>
      </w:pPr>
    </w:p>
    <w:p>
      <w:pPr>
        <w:sectPr>
          <w:pgSz w:w="11900" w:h="16838" w:orient="portrait"/>
          <w:cols w:equalWidth="0" w:num="2">
            <w:col w:w="4488" w:space="720"/>
            <w:col w:w="6100"/>
          </w:cols>
          <w:pgMar w:left="292" w:top="782" w:right="299" w:bottom="1440" w:gutter="0" w:footer="0" w:header="0"/>
          <w:type w:val="continuous"/>
        </w:sectPr>
      </w:pPr>
    </w:p>
    <w:p>
      <w:pPr>
        <w:jc w:val="center"/>
        <w:ind w:right="-7"/>
        <w:spacing w:after="0"/>
        <w:rPr>
          <w:sz w:val="20"/>
          <w:szCs w:val="20"/>
          <w:color w:val="auto"/>
        </w:rPr>
      </w:pPr>
      <w:r>
        <w:rPr>
          <w:rFonts w:ascii="Arial" w:cs="Arial" w:eastAsia="Arial" w:hAnsi="Arial"/>
          <w:sz w:val="11"/>
          <w:szCs w:val="11"/>
          <w:b w:val="1"/>
          <w:bCs w:val="1"/>
          <w:color w:val="auto"/>
        </w:rPr>
        <w:t>750 Park of Commerce Drive, Suite 210</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Boca Raton, Florida 33487</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(Address of Principal Executive Offices, Including Zip Code)</w:t>
      </w:r>
    </w:p>
    <w:p>
      <w:pPr>
        <w:spacing w:after="0" w:line="98"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(561) 570-4644</w:t>
      </w:r>
    </w:p>
    <w:p>
      <w:pPr>
        <w:spacing w:after="0" w:line="10"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71"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N/A</w:t>
      </w:r>
    </w:p>
    <w:p>
      <w:pPr>
        <w:spacing w:after="0" w:line="11"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4"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29"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Written communications pursuant to Rule 425 under the Securities Act (17 CFR 230.425)</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Soliciting material pursuant to Rule 14a-12 under the Exchange Act (17 CFR 240.14a-12)</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14d-2(b) under the Exchange Act (17 CFR 240.14d-2(b))</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9" w:lineRule="exact"/>
        <w:rPr>
          <w:sz w:val="24"/>
          <w:szCs w:val="24"/>
          <w:color w:val="auto"/>
        </w:rPr>
      </w:pPr>
    </w:p>
    <w:tbl>
      <w:tblPr>
        <w:tblLayout w:type="fixed"/>
        <w:tblInd w:w="88" w:type="dxa"/>
        <w:tblCellMar>
          <w:top w:w="0" w:type="dxa"/>
          <w:left w:w="0" w:type="dxa"/>
          <w:bottom w:w="0" w:type="dxa"/>
          <w:right w:w="0" w:type="dxa"/>
        </w:tblCellMar>
      </w:tblPr>
      <w:tr>
        <w:trPr>
          <w:trHeight w:val="114"/>
        </w:trPr>
        <w:tc>
          <w:tcPr>
            <w:tcW w:w="1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400" w:type="dxa"/>
            <w:vAlign w:val="bottom"/>
            <w:gridSpan w:val="4"/>
          </w:tcPr>
          <w:p>
            <w:pPr>
              <w:ind w:left="400"/>
              <w:spacing w:after="0"/>
              <w:rPr>
                <w:sz w:val="20"/>
                <w:szCs w:val="20"/>
                <w:color w:val="auto"/>
              </w:rPr>
            </w:pPr>
            <w:r>
              <w:rPr>
                <w:rFonts w:ascii="Arial" w:cs="Arial" w:eastAsia="Arial" w:hAnsi="Arial"/>
                <w:sz w:val="8"/>
                <w:szCs w:val="8"/>
                <w:b w:val="1"/>
                <w:bCs w:val="1"/>
                <w:color w:val="auto"/>
              </w:rPr>
              <w:t>Securities registered pursuant to Section 12(b) of the Act:</w:t>
            </w:r>
          </w:p>
        </w:tc>
        <w:tc>
          <w:tcPr>
            <w:tcW w:w="2720" w:type="dxa"/>
            <w:vAlign w:val="bottom"/>
          </w:tcPr>
          <w:p>
            <w:pPr>
              <w:spacing w:after="0"/>
              <w:rPr>
                <w:sz w:val="9"/>
                <w:szCs w:val="9"/>
                <w:color w:val="auto"/>
              </w:rPr>
            </w:pPr>
          </w:p>
        </w:tc>
      </w:tr>
      <w:tr>
        <w:trPr>
          <w:trHeight w:val="120"/>
        </w:trPr>
        <w:tc>
          <w:tcPr>
            <w:tcW w:w="12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Title of Class</w:t>
            </w:r>
          </w:p>
        </w:tc>
        <w:tc>
          <w:tcPr>
            <w:tcW w:w="28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Trading Symbol(s)</w:t>
            </w:r>
          </w:p>
        </w:tc>
        <w:tc>
          <w:tcPr>
            <w:tcW w:w="100" w:type="dxa"/>
            <w:vAlign w:val="bottom"/>
          </w:tcPr>
          <w:p>
            <w:pPr>
              <w:spacing w:after="0"/>
              <w:rPr>
                <w:sz w:val="10"/>
                <w:szCs w:val="1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134"/>
        </w:trPr>
        <w:tc>
          <w:tcPr>
            <w:tcW w:w="4020" w:type="dxa"/>
            <w:vAlign w:val="bottom"/>
            <w:gridSpan w:val="2"/>
          </w:tcPr>
          <w:p>
            <w:pPr>
              <w:spacing w:after="0"/>
              <w:rPr>
                <w:sz w:val="20"/>
                <w:szCs w:val="20"/>
                <w:color w:val="auto"/>
              </w:rPr>
            </w:pPr>
            <w:r>
              <w:rPr>
                <w:rFonts w:ascii="Arial" w:cs="Arial" w:eastAsia="Arial" w:hAnsi="Arial"/>
                <w:sz w:val="11"/>
                <w:szCs w:val="11"/>
                <w:color w:val="auto"/>
              </w:rPr>
              <w:t>Class A Common Stock, $0.01 par value</w:t>
            </w: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DBRG</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1200" w:type="dxa"/>
            <w:vAlign w:val="bottom"/>
          </w:tcPr>
          <w:p>
            <w:pPr>
              <w:spacing w:after="0"/>
              <w:rPr>
                <w:sz w:val="20"/>
                <w:szCs w:val="20"/>
                <w:color w:val="auto"/>
              </w:rPr>
            </w:pPr>
            <w:r>
              <w:rPr>
                <w:rFonts w:ascii="Arial" w:cs="Arial" w:eastAsia="Arial" w:hAnsi="Arial"/>
                <w:sz w:val="11"/>
                <w:szCs w:val="11"/>
                <w:color w:val="auto"/>
                <w:w w:val="98"/>
              </w:rPr>
              <w:t>Preferred Stock, 7.125%</w:t>
            </w:r>
          </w:p>
        </w:tc>
        <w:tc>
          <w:tcPr>
            <w:tcW w:w="2820" w:type="dxa"/>
            <w:vAlign w:val="bottom"/>
          </w:tcPr>
          <w:p>
            <w:pPr>
              <w:spacing w:after="0"/>
              <w:rPr>
                <w:sz w:val="20"/>
                <w:szCs w:val="20"/>
                <w:color w:val="auto"/>
              </w:rPr>
            </w:pPr>
            <w:r>
              <w:rPr>
                <w:rFonts w:ascii="Arial" w:cs="Arial" w:eastAsia="Arial" w:hAnsi="Arial"/>
                <w:sz w:val="11"/>
                <w:szCs w:val="11"/>
                <w:color w:val="auto"/>
              </w:rPr>
              <w:t>Series H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color w:val="auto"/>
                <w:w w:val="99"/>
              </w:rPr>
              <w:t>DBRG.PRH</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4020" w:type="dxa"/>
            <w:vAlign w:val="bottom"/>
            <w:gridSpan w:val="2"/>
          </w:tcPr>
          <w:p>
            <w:pPr>
              <w:spacing w:after="0"/>
              <w:rPr>
                <w:sz w:val="20"/>
                <w:szCs w:val="20"/>
                <w:color w:val="auto"/>
              </w:rPr>
            </w:pPr>
            <w:r>
              <w:rPr>
                <w:rFonts w:ascii="Arial" w:cs="Arial" w:eastAsia="Arial" w:hAnsi="Arial"/>
                <w:sz w:val="11"/>
                <w:szCs w:val="11"/>
                <w:color w:val="auto"/>
              </w:rPr>
              <w:t>Preferred Stock, 7.15% Series I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1"/>
                <w:szCs w:val="11"/>
                <w:color w:val="auto"/>
                <w:w w:val="97"/>
              </w:rPr>
              <w:t>DBRG.PRI</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1200" w:type="dxa"/>
            <w:vAlign w:val="bottom"/>
          </w:tcPr>
          <w:p>
            <w:pPr>
              <w:spacing w:after="0"/>
              <w:rPr>
                <w:sz w:val="20"/>
                <w:szCs w:val="20"/>
                <w:color w:val="auto"/>
              </w:rPr>
            </w:pPr>
            <w:r>
              <w:rPr>
                <w:rFonts w:ascii="Arial" w:cs="Arial" w:eastAsia="Arial" w:hAnsi="Arial"/>
                <w:sz w:val="11"/>
                <w:szCs w:val="11"/>
                <w:color w:val="auto"/>
                <w:w w:val="98"/>
              </w:rPr>
              <w:t>Preferred Stock, 7.125%</w:t>
            </w:r>
          </w:p>
        </w:tc>
        <w:tc>
          <w:tcPr>
            <w:tcW w:w="2820" w:type="dxa"/>
            <w:vAlign w:val="bottom"/>
          </w:tcPr>
          <w:p>
            <w:pPr>
              <w:spacing w:after="0"/>
              <w:rPr>
                <w:sz w:val="20"/>
                <w:szCs w:val="20"/>
                <w:color w:val="auto"/>
              </w:rPr>
            </w:pPr>
            <w:r>
              <w:rPr>
                <w:rFonts w:ascii="Arial" w:cs="Arial" w:eastAsia="Arial" w:hAnsi="Arial"/>
                <w:sz w:val="11"/>
                <w:szCs w:val="11"/>
                <w:color w:val="auto"/>
              </w:rPr>
              <w:t>Series J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DBRG.PRJ</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bl>
    <w:p>
      <w:pPr>
        <w:spacing w:after="0" w:line="141"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tbl>
      <w:tblPr>
        <w:tblLayout w:type="fixed"/>
        <w:tblInd w:w="8" w:type="dxa"/>
        <w:tblCellMar>
          <w:top w:w="0" w:type="dxa"/>
          <w:left w:w="0" w:type="dxa"/>
          <w:bottom w:w="0" w:type="dxa"/>
          <w:right w:w="0" w:type="dxa"/>
        </w:tblCellMar>
      </w:tblPr>
      <w:tr>
        <w:trPr>
          <w:trHeight w:val="187"/>
        </w:trPr>
        <w:tc>
          <w:tcPr>
            <w:tcW w:w="8700" w:type="dxa"/>
            <w:vAlign w:val="bottom"/>
          </w:tcPr>
          <w:p>
            <w:pPr>
              <w:ind w:left="280"/>
              <w:spacing w:after="0"/>
              <w:rPr>
                <w:sz w:val="20"/>
                <w:szCs w:val="20"/>
                <w:color w:val="auto"/>
              </w:rPr>
            </w:pPr>
            <w:r>
              <w:rPr>
                <w:rFonts w:ascii="Arial" w:cs="Arial" w:eastAsia="Arial" w:hAnsi="Arial"/>
                <w:sz w:val="10"/>
                <w:szCs w:val="10"/>
                <w:color w:val="auto"/>
              </w:rPr>
              <w:t>Emerging growth company</w:t>
            </w:r>
          </w:p>
        </w:tc>
        <w:tc>
          <w:tcPr>
            <w:tcW w:w="260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26"/>
        </w:trPr>
        <w:tc>
          <w:tcPr>
            <w:tcW w:w="8700" w:type="dxa"/>
            <w:vAlign w:val="bottom"/>
          </w:tcPr>
          <w:p>
            <w:pPr>
              <w:ind w:left="280"/>
              <w:spacing w:after="0"/>
              <w:rPr>
                <w:sz w:val="20"/>
                <w:szCs w:val="20"/>
                <w:color w:val="auto"/>
              </w:rPr>
            </w:pPr>
            <w:r>
              <w:rPr>
                <w:rFonts w:ascii="Arial" w:cs="Arial" w:eastAsia="Arial" w:hAnsi="Arial"/>
                <w:sz w:val="10"/>
                <w:szCs w:val="10"/>
                <w:color w:val="auto"/>
                <w:w w:val="97"/>
              </w:rPr>
              <w:t>If an emerging growth company, indicate by check mark if the registrant has elected not to use the extended transition period for complying with any new or revised financial accounting standards</w:t>
            </w:r>
          </w:p>
        </w:tc>
        <w:tc>
          <w:tcPr>
            <w:tcW w:w="260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25"/>
        </w:trPr>
        <w:tc>
          <w:tcPr>
            <w:tcW w:w="8700" w:type="dxa"/>
            <w:vAlign w:val="bottom"/>
          </w:tcPr>
          <w:p>
            <w:pPr>
              <w:ind w:left="280"/>
              <w:spacing w:after="0"/>
              <w:rPr>
                <w:sz w:val="20"/>
                <w:szCs w:val="20"/>
                <w:color w:val="auto"/>
              </w:rPr>
            </w:pPr>
            <w:r>
              <w:rPr>
                <w:rFonts w:ascii="Arial" w:cs="Arial" w:eastAsia="Arial" w:hAnsi="Arial"/>
                <w:sz w:val="10"/>
                <w:szCs w:val="10"/>
                <w:color w:val="auto"/>
              </w:rPr>
              <w:t>provided pursuant to Section 13(a) of the Exchange Act.</w:t>
            </w:r>
          </w:p>
        </w:tc>
        <w:tc>
          <w:tcPr>
            <w:tcW w:w="2600" w:type="dxa"/>
            <w:vAlign w:val="bottom"/>
          </w:tcPr>
          <w:p>
            <w:pPr>
              <w:spacing w:after="0"/>
              <w:rPr>
                <w:sz w:val="10"/>
                <w:szCs w:val="10"/>
                <w:color w:val="auto"/>
              </w:rPr>
            </w:pPr>
          </w:p>
        </w:tc>
      </w:tr>
      <w:tr>
        <w:trPr>
          <w:trHeight w:val="799"/>
        </w:trPr>
        <w:tc>
          <w:tcPr>
            <w:tcW w:w="87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82"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2.02</w:t>
        <w:tab/>
        <w:t>Results of Operations and Financial Condition.</w:t>
      </w:r>
    </w:p>
    <w:p>
      <w:pPr>
        <w:spacing w:after="0" w:line="168" w:lineRule="exact"/>
        <w:rPr>
          <w:sz w:val="20"/>
          <w:szCs w:val="20"/>
          <w:color w:val="auto"/>
        </w:rPr>
      </w:pPr>
    </w:p>
    <w:p>
      <w:pPr>
        <w:jc w:val="both"/>
        <w:ind w:right="20" w:firstLine="270"/>
        <w:spacing w:after="0" w:line="286" w:lineRule="auto"/>
        <w:rPr>
          <w:sz w:val="20"/>
          <w:szCs w:val="20"/>
          <w:color w:val="auto"/>
        </w:rPr>
      </w:pPr>
      <w:r>
        <w:rPr>
          <w:rFonts w:ascii="Arial" w:cs="Arial" w:eastAsia="Arial" w:hAnsi="Arial"/>
          <w:sz w:val="12"/>
          <w:szCs w:val="12"/>
          <w:color w:val="auto"/>
        </w:rPr>
        <w:t>On August 4, 2022, DigitalBridge Group, Inc. (the “Company”) issued a press release announcing its financial position as of June 30, 2022 and its financial results for the quarter ended June 30, 2022. A copy of the press release is attached as Exhibit 99.1 to this Current Report on Form 8-K and is incorporated herein by reference.</w:t>
      </w:r>
    </w:p>
    <w:p>
      <w:pPr>
        <w:spacing w:after="0" w:line="3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2"/>
          <w:szCs w:val="12"/>
          <w:color w:val="auto"/>
        </w:rPr>
        <w:t>On August 4, 2022, the Company made available a Supplemental Financial Disclosure Presentation for the quarter ended June 30, 2022 on the Company’s website at www.digitalbridge.com. A copy of the Supplemental Financial Disclosure Presentation is attached as Exhibit 99.2 to this Current Report on Form 8-K and is incorporated herein by reference.</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7.01</w:t>
        <w:tab/>
        <w:t>Regulation FD Disclosure.</w:t>
      </w:r>
    </w:p>
    <w:p>
      <w:pPr>
        <w:spacing w:after="0" w:line="6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2"/>
          <w:szCs w:val="12"/>
          <w:color w:val="auto"/>
        </w:rPr>
        <w:t>In connection with the earnings call to be held on August 4, 2022 as referenced in the press release, the Company has prepared a presentation, dated August 4, 2022 (the "Earnings Presentation"), a copy of which is attached as Exhibit 99.3 to this Current Report on Form 8-K and incorporated herein by reference.</w:t>
      </w:r>
    </w:p>
    <w:p>
      <w:pPr>
        <w:spacing w:after="0" w:line="13"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2"/>
          <w:szCs w:val="12"/>
          <w:color w:val="auto"/>
        </w:rPr>
        <w:t>The information included in this Current Report on Form 8-K (including Exhibits 99.1, 99.2 and 99.3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Use of Website to Distribute Material Company Information</w:t>
      </w:r>
    </w:p>
    <w:p>
      <w:pPr>
        <w:spacing w:after="0" w:line="11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The Company’s website address is www.digitalbridge.com.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0" w:lineRule="exact"/>
        <w:rPr>
          <w:sz w:val="20"/>
          <w:szCs w:val="20"/>
          <w:color w:val="auto"/>
        </w:rPr>
      </w:pPr>
    </w:p>
    <w:p>
      <w:pPr>
        <w:ind w:left="440" w:hanging="178"/>
        <w:spacing w:after="0"/>
        <w:tabs>
          <w:tab w:leader="none" w:pos="44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Exhibits. </w:t>
      </w:r>
      <w:r>
        <w:rPr>
          <w:rFonts w:ascii="Arial" w:cs="Arial" w:eastAsia="Arial" w:hAnsi="Arial"/>
          <w:sz w:val="12"/>
          <w:szCs w:val="12"/>
          <w:color w:val="auto"/>
        </w:rPr>
        <w:t>The following exhibits are being furnished herewith to this Current Report on Form 8-K.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460" w:type="dxa"/>
            <w:vAlign w:val="bottom"/>
            <w:gridSpan w:val="4"/>
          </w:tcPr>
          <w:p>
            <w:pPr>
              <w:ind w:left="340"/>
              <w:spacing w:after="0"/>
              <w:rPr>
                <w:sz w:val="20"/>
                <w:szCs w:val="20"/>
                <w:color w:val="auto"/>
              </w:rPr>
            </w:pPr>
            <w:r>
              <w:rPr>
                <w:rFonts w:ascii="Arial" w:cs="Arial" w:eastAsia="Arial" w:hAnsi="Arial"/>
                <w:sz w:val="12"/>
                <w:szCs w:val="12"/>
                <w:b w:val="1"/>
                <w:bCs w:val="1"/>
                <w:color w:val="auto"/>
              </w:rPr>
              <w:t>Exhibit No.</w:t>
            </w:r>
          </w:p>
        </w:tc>
        <w:tc>
          <w:tcPr>
            <w:tcW w:w="9820" w:type="dxa"/>
            <w:vAlign w:val="bottom"/>
            <w:gridSpan w:val="2"/>
          </w:tcPr>
          <w:p>
            <w:pPr>
              <w:ind w:left="20"/>
              <w:spacing w:after="0"/>
              <w:rPr>
                <w:sz w:val="20"/>
                <w:szCs w:val="20"/>
                <w:color w:val="auto"/>
              </w:rPr>
            </w:pPr>
            <w:r>
              <w:rPr>
                <w:rFonts w:ascii="Arial" w:cs="Arial" w:eastAsia="Arial" w:hAnsi="Arial"/>
                <w:sz w:val="12"/>
                <w:szCs w:val="12"/>
                <w:b w:val="1"/>
                <w:bCs w:val="1"/>
                <w:color w:val="auto"/>
              </w:rPr>
              <w:t>Description</w:t>
            </w:r>
          </w:p>
        </w:tc>
      </w:tr>
      <w:tr>
        <w:trPr>
          <w:trHeight w:val="115"/>
        </w:trPr>
        <w:tc>
          <w:tcPr>
            <w:tcW w:w="20" w:type="dxa"/>
            <w:vAlign w:val="bottom"/>
          </w:tcPr>
          <w:p>
            <w:pPr>
              <w:spacing w:after="0"/>
              <w:rPr>
                <w:sz w:val="10"/>
                <w:szCs w:val="10"/>
                <w:color w:val="auto"/>
              </w:rPr>
            </w:pPr>
          </w:p>
        </w:tc>
        <w:tc>
          <w:tcPr>
            <w:tcW w:w="760" w:type="dxa"/>
            <w:vAlign w:val="bottom"/>
            <w:tcBorders>
              <w:top w:val="single" w:sz="8" w:color="auto"/>
            </w:tcBorders>
            <w:gridSpan w:val="2"/>
          </w:tcPr>
          <w:p>
            <w:pPr>
              <w:jc w:val="center"/>
              <w:ind w:left="480"/>
              <w:spacing w:after="0" w:line="115" w:lineRule="exact"/>
              <w:rPr>
                <w:sz w:val="20"/>
                <w:szCs w:val="20"/>
                <w:color w:val="auto"/>
              </w:rPr>
            </w:pPr>
            <w:r>
              <w:rPr>
                <w:rFonts w:ascii="Arial" w:cs="Arial" w:eastAsia="Arial" w:hAnsi="Arial"/>
                <w:sz w:val="12"/>
                <w:szCs w:val="12"/>
                <w:color w:val="0000FF"/>
                <w:w w:val="93"/>
              </w:rPr>
              <w:t>99.</w:t>
            </w:r>
            <w:r>
              <w:rPr>
                <w:rFonts w:ascii="Arial" w:cs="Arial" w:eastAsia="Arial" w:hAnsi="Arial"/>
                <w:sz w:val="12"/>
                <w:szCs w:val="12"/>
                <w:u w:val="single" w:color="auto"/>
                <w:color w:val="0000FF"/>
                <w:w w:val="93"/>
              </w:rPr>
              <w:t>1</w:t>
            </w: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80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2"/>
                <w:szCs w:val="12"/>
                <w:color w:val="auto"/>
              </w:rPr>
              <w:t>Press Release dated August 4, 2022</w:t>
            </w:r>
          </w:p>
        </w:tc>
        <w:tc>
          <w:tcPr>
            <w:tcW w:w="20" w:type="dxa"/>
            <w:vAlign w:val="bottom"/>
          </w:tcPr>
          <w:p>
            <w:pPr>
              <w:spacing w:after="0"/>
              <w:rPr>
                <w:sz w:val="10"/>
                <w:szCs w:val="10"/>
                <w:color w:val="auto"/>
              </w:rPr>
            </w:pPr>
          </w:p>
        </w:tc>
      </w:tr>
      <w:tr>
        <w:trPr>
          <w:trHeight w:val="20"/>
        </w:trPr>
        <w:tc>
          <w:tcPr>
            <w:tcW w:w="58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r>
      <w:tr>
        <w:trPr>
          <w:trHeight w:val="133"/>
        </w:trPr>
        <w:tc>
          <w:tcPr>
            <w:tcW w:w="780" w:type="dxa"/>
            <w:vAlign w:val="bottom"/>
            <w:gridSpan w:val="3"/>
          </w:tcPr>
          <w:p>
            <w:pPr>
              <w:jc w:val="center"/>
              <w:ind w:left="500"/>
              <w:spacing w:after="0" w:line="133" w:lineRule="exact"/>
              <w:rPr>
                <w:sz w:val="20"/>
                <w:szCs w:val="20"/>
                <w:color w:val="auto"/>
              </w:rPr>
            </w:pPr>
            <w:r>
              <w:rPr>
                <w:rFonts w:ascii="Arial" w:cs="Arial" w:eastAsia="Arial" w:hAnsi="Arial"/>
                <w:sz w:val="12"/>
                <w:szCs w:val="12"/>
                <w:color w:val="0000FF"/>
                <w:w w:val="93"/>
              </w:rPr>
              <w:t>99.</w:t>
            </w:r>
            <w:r>
              <w:rPr>
                <w:rFonts w:ascii="Arial" w:cs="Arial" w:eastAsia="Arial" w:hAnsi="Arial"/>
                <w:sz w:val="12"/>
                <w:szCs w:val="12"/>
                <w:u w:val="single" w:color="auto"/>
                <w:color w:val="0000FF"/>
                <w:w w:val="93"/>
              </w:rPr>
              <w:t>2</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Supplemental Financial Disclosure Presentation for the quarter ended June 30, 2022</w:t>
            </w:r>
          </w:p>
        </w:tc>
      </w:tr>
      <w:tr>
        <w:trPr>
          <w:trHeight w:val="20"/>
        </w:trPr>
        <w:tc>
          <w:tcPr>
            <w:tcW w:w="58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r>
      <w:tr>
        <w:trPr>
          <w:trHeight w:val="133"/>
        </w:trPr>
        <w:tc>
          <w:tcPr>
            <w:tcW w:w="780" w:type="dxa"/>
            <w:vAlign w:val="bottom"/>
            <w:gridSpan w:val="3"/>
          </w:tcPr>
          <w:p>
            <w:pPr>
              <w:jc w:val="center"/>
              <w:ind w:left="500"/>
              <w:spacing w:after="0" w:line="133" w:lineRule="exact"/>
              <w:rPr>
                <w:sz w:val="20"/>
                <w:szCs w:val="20"/>
                <w:color w:val="auto"/>
              </w:rPr>
            </w:pPr>
            <w:r>
              <w:rPr>
                <w:rFonts w:ascii="Arial" w:cs="Arial" w:eastAsia="Arial" w:hAnsi="Arial"/>
                <w:sz w:val="12"/>
                <w:szCs w:val="12"/>
                <w:color w:val="0000FF"/>
                <w:w w:val="93"/>
              </w:rPr>
              <w:t>99.</w:t>
            </w:r>
            <w:r>
              <w:rPr>
                <w:rFonts w:ascii="Arial" w:cs="Arial" w:eastAsia="Arial" w:hAnsi="Arial"/>
                <w:sz w:val="12"/>
                <w:szCs w:val="12"/>
                <w:u w:val="single" w:color="auto"/>
                <w:color w:val="0000FF"/>
                <w:w w:val="93"/>
              </w:rPr>
              <w:t>3</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Earnings Presentation dated August 4, 2022</w:t>
            </w:r>
          </w:p>
        </w:tc>
      </w:tr>
      <w:tr>
        <w:trPr>
          <w:trHeight w:val="20"/>
        </w:trPr>
        <w:tc>
          <w:tcPr>
            <w:tcW w:w="5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r>
      <w:tr>
        <w:trPr>
          <w:trHeight w:val="162"/>
        </w:trPr>
        <w:tc>
          <w:tcPr>
            <w:tcW w:w="780" w:type="dxa"/>
            <w:vAlign w:val="bottom"/>
            <w:gridSpan w:val="3"/>
          </w:tcPr>
          <w:p>
            <w:pPr>
              <w:jc w:val="center"/>
              <w:ind w:left="480"/>
              <w:spacing w:after="0"/>
              <w:rPr>
                <w:sz w:val="20"/>
                <w:szCs w:val="20"/>
                <w:color w:val="auto"/>
              </w:rPr>
            </w:pPr>
            <w:r>
              <w:rPr>
                <w:rFonts w:ascii="Arial" w:cs="Arial" w:eastAsia="Arial" w:hAnsi="Arial"/>
                <w:sz w:val="12"/>
                <w:szCs w:val="12"/>
                <w:color w:val="auto"/>
                <w:w w:val="99"/>
              </w:rPr>
              <w:t>104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20" w:type="dxa"/>
            <w:vAlign w:val="bottom"/>
            <w:gridSpan w:val="2"/>
          </w:tcPr>
          <w:p>
            <w:pPr>
              <w:ind w:left="20"/>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799"/>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2"/>
          <w:szCs w:val="12"/>
          <w:b w:val="1"/>
          <w:bCs w:val="1"/>
          <w:color w:val="auto"/>
        </w:rPr>
        <w:t>SIGNATURES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348" w:lineRule="exact"/>
        <w:rPr>
          <w:sz w:val="20"/>
          <w:szCs w:val="20"/>
          <w:color w:val="auto"/>
        </w:rPr>
      </w:pPr>
    </w:p>
    <w:p>
      <w:pPr>
        <w:ind w:left="20"/>
        <w:spacing w:after="0"/>
        <w:tabs>
          <w:tab w:leader="none" w:pos="660" w:val="left"/>
          <w:tab w:leader="none" w:pos="586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4, 2022</w:t>
      </w:r>
      <w:r>
        <w:rPr>
          <w:sz w:val="20"/>
          <w:szCs w:val="20"/>
          <w:color w:val="auto"/>
        </w:rPr>
        <w:tab/>
      </w:r>
      <w:r>
        <w:rPr>
          <w:rFonts w:ascii="Arial" w:cs="Arial" w:eastAsia="Arial" w:hAnsi="Arial"/>
          <w:sz w:val="11"/>
          <w:szCs w:val="11"/>
          <w:b w:val="1"/>
          <w:bCs w:val="1"/>
          <w:color w:val="auto"/>
        </w:rPr>
        <w:t>DIGITALBRIDGE GROUP, INC.</w:t>
      </w:r>
    </w:p>
    <w:p>
      <w:pPr>
        <w:spacing w:after="0" w:line="204" w:lineRule="exact"/>
        <w:rPr>
          <w:sz w:val="20"/>
          <w:szCs w:val="20"/>
          <w:color w:val="auto"/>
        </w:rPr>
      </w:pPr>
    </w:p>
    <w:p>
      <w:pPr>
        <w:ind w:left="6200"/>
        <w:spacing w:after="0"/>
        <w:tabs>
          <w:tab w:leader="none" w:pos="84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23495</wp:posOffset>
            </wp:positionV>
            <wp:extent cx="29952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95295" cy="5715"/>
                    </a:xfrm>
                    <a:prstGeom prst="rect">
                      <a:avLst/>
                    </a:prstGeom>
                    <a:noFill/>
                  </pic:spPr>
                </pic:pic>
              </a:graphicData>
            </a:graphic>
          </wp:anchor>
        </w:drawing>
      </w:r>
    </w:p>
    <w:p>
      <w:pPr>
        <w:spacing w:after="0" w:line="26" w:lineRule="exact"/>
        <w:rPr>
          <w:sz w:val="20"/>
          <w:szCs w:val="20"/>
          <w:color w:val="auto"/>
        </w:rPr>
      </w:pPr>
    </w:p>
    <w:p>
      <w:pPr>
        <w:jc w:val="center"/>
        <w:ind w:left="6920"/>
        <w:spacing w:after="0"/>
        <w:rPr>
          <w:sz w:val="20"/>
          <w:szCs w:val="20"/>
          <w:color w:val="auto"/>
        </w:rPr>
      </w:pPr>
      <w:r>
        <w:rPr>
          <w:rFonts w:ascii="Arial" w:cs="Arial" w:eastAsia="Arial" w:hAnsi="Arial"/>
          <w:sz w:val="11"/>
          <w:szCs w:val="11"/>
          <w:b w:val="1"/>
          <w:bCs w:val="1"/>
          <w:color w:val="auto"/>
        </w:rPr>
        <w:t>Jacky Wu</w:t>
      </w:r>
    </w:p>
    <w:p>
      <w:pPr>
        <w:spacing w:after="0" w:line="21" w:lineRule="exact"/>
        <w:rPr>
          <w:sz w:val="20"/>
          <w:szCs w:val="20"/>
          <w:color w:val="auto"/>
        </w:rPr>
      </w:pPr>
    </w:p>
    <w:p>
      <w:pPr>
        <w:jc w:val="center"/>
        <w:ind w:left="6920"/>
        <w:spacing w:after="0"/>
        <w:rPr>
          <w:sz w:val="20"/>
          <w:szCs w:val="20"/>
          <w:color w:val="auto"/>
        </w:rPr>
      </w:pPr>
      <w:r>
        <w:rPr>
          <w:rFonts w:ascii="Arial" w:cs="Arial" w:eastAsia="Arial" w:hAnsi="Arial"/>
          <w:sz w:val="10"/>
          <w:szCs w:val="10"/>
          <w:b w:val="1"/>
          <w:bCs w:val="1"/>
          <w:color w:val="auto"/>
        </w:rPr>
        <w:t>Executive Vice President, Chief Financial Officer and Treasurer</w:t>
      </w:r>
    </w:p>
    <w:p>
      <w:pPr>
        <w:sectPr>
          <w:pgSz w:w="11900" w:h="16838" w:orient="portrait"/>
          <w:cols w:equalWidth="0" w:num="1">
            <w:col w:w="10460"/>
          </w:cols>
          <w:pgMar w:left="560" w:top="64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191135</wp:posOffset>
            </wp:positionH>
            <wp:positionV relativeFrom="page">
              <wp:posOffset>186055</wp:posOffset>
            </wp:positionV>
            <wp:extent cx="1022985" cy="280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22985" cy="280035"/>
                    </a:xfrm>
                    <a:prstGeom prst="rect">
                      <a:avLst/>
                    </a:prstGeom>
                    <a:noFill/>
                  </pic:spPr>
                </pic:pic>
              </a:graphicData>
            </a:graphic>
          </wp:anchor>
        </w:drawing>
        <w:t>Exhibit 99.1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DIGITALBRIDGE ANNOUNCES SECOND QUARTER 2022 FINANCIAL RESULTS</w:t>
      </w:r>
    </w:p>
    <w:p>
      <w:pPr>
        <w:spacing w:after="0" w:line="141" w:lineRule="exact"/>
        <w:rPr>
          <w:sz w:val="20"/>
          <w:szCs w:val="20"/>
          <w:color w:val="auto"/>
        </w:rPr>
      </w:pPr>
    </w:p>
    <w:p>
      <w:pPr>
        <w:ind w:left="3040" w:hanging="208"/>
        <w:spacing w:after="0"/>
        <w:tabs>
          <w:tab w:leader="none" w:pos="30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Outlines upgraded strategic roadmap expected to 2x assets under management over next 3 years</w:t>
      </w:r>
    </w:p>
    <w:p>
      <w:pPr>
        <w:spacing w:after="0" w:line="69" w:lineRule="exact"/>
        <w:rPr>
          <w:rFonts w:ascii="Arial" w:cs="Arial" w:eastAsia="Arial" w:hAnsi="Arial"/>
          <w:sz w:val="12"/>
          <w:szCs w:val="12"/>
          <w:color w:val="auto"/>
        </w:rPr>
      </w:pPr>
    </w:p>
    <w:p>
      <w:pPr>
        <w:ind w:left="3780" w:hanging="214"/>
        <w:spacing w:after="0"/>
        <w:tabs>
          <w:tab w:leader="none" w:pos="3780" w:val="left"/>
        </w:tabs>
        <w:numPr>
          <w:ilvl w:val="1"/>
          <w:numId w:val="3"/>
        </w:numPr>
        <w:rPr>
          <w:rFonts w:ascii="Arial" w:cs="Arial" w:eastAsia="Arial" w:hAnsi="Arial"/>
          <w:sz w:val="12"/>
          <w:szCs w:val="12"/>
          <w:color w:val="auto"/>
        </w:rPr>
      </w:pPr>
      <w:r>
        <w:rPr>
          <w:rFonts w:ascii="Arial" w:cs="Arial" w:eastAsia="Arial" w:hAnsi="Arial"/>
          <w:sz w:val="12"/>
          <w:szCs w:val="12"/>
          <w:color w:val="auto"/>
        </w:rPr>
        <w:t>Board of Directors approved and declared a 1-for-4 reverse share split</w:t>
      </w:r>
    </w:p>
    <w:p>
      <w:pPr>
        <w:spacing w:after="0" w:line="226"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b w:val="1"/>
          <w:bCs w:val="1"/>
          <w:color w:val="auto"/>
        </w:rPr>
        <w:t xml:space="preserve">Boca Raton, August 4, 2022 </w:t>
      </w:r>
      <w:r>
        <w:rPr>
          <w:rFonts w:ascii="Arial" w:cs="Arial" w:eastAsia="Arial" w:hAnsi="Arial"/>
          <w:sz w:val="11"/>
          <w:szCs w:val="11"/>
          <w:color w:val="auto"/>
        </w:rPr>
        <w:t>- DigitalBridge Group, Inc. (NYSE: DBRG) and subsidiaries (collectively, “DigitalBridge,” or the “Company”) today announced financial results for the second quarter ended June 30, 2022 and that its board of</w:t>
      </w:r>
      <w:r>
        <w:rPr>
          <w:rFonts w:ascii="Arial" w:cs="Arial" w:eastAsia="Arial" w:hAnsi="Arial"/>
          <w:sz w:val="11"/>
          <w:szCs w:val="11"/>
          <w:b w:val="1"/>
          <w:bCs w:val="1"/>
          <w:color w:val="auto"/>
        </w:rPr>
        <w:t xml:space="preserve"> </w:t>
      </w:r>
      <w:r>
        <w:rPr>
          <w:rFonts w:ascii="Arial" w:cs="Arial" w:eastAsia="Arial" w:hAnsi="Arial"/>
          <w:sz w:val="11"/>
          <w:szCs w:val="11"/>
          <w:color w:val="auto"/>
        </w:rPr>
        <w:t>directors has approved and declared a reverse share split of the Company’s common shares at a ratio of 1-for-4.</w:t>
      </w:r>
    </w:p>
    <w:p>
      <w:pPr>
        <w:spacing w:after="0" w:line="42" w:lineRule="exact"/>
        <w:rPr>
          <w:sz w:val="20"/>
          <w:szCs w:val="20"/>
          <w:color w:val="auto"/>
        </w:rPr>
      </w:pPr>
    </w:p>
    <w:p>
      <w:pPr>
        <w:ind w:right="300"/>
        <w:spacing w:after="0" w:line="285" w:lineRule="auto"/>
        <w:rPr>
          <w:sz w:val="20"/>
          <w:szCs w:val="20"/>
          <w:color w:val="auto"/>
        </w:rPr>
      </w:pPr>
      <w:r>
        <w:rPr>
          <w:rFonts w:ascii="Arial" w:cs="Arial" w:eastAsia="Arial" w:hAnsi="Arial"/>
          <w:sz w:val="11"/>
          <w:szCs w:val="11"/>
          <w:color w:val="auto"/>
        </w:rPr>
        <w:t>A Second Quarter 2022 Earnings Presentation and a Supplemental Financial Report are available in the Events &amp; Presentations and Financial Information sections, respectively, of the Shareholders tab on the Company’s website at www.digitalbridge.com. This information has also been furnished to the U.S. Securities and Exchange Commission in a Current Report on Form 8-K.</w:t>
      </w:r>
    </w:p>
    <w:p>
      <w:pPr>
        <w:spacing w:after="0" w:line="42" w:lineRule="exact"/>
        <w:rPr>
          <w:sz w:val="20"/>
          <w:szCs w:val="20"/>
          <w:color w:val="auto"/>
        </w:rPr>
      </w:pPr>
    </w:p>
    <w:p>
      <w:pPr>
        <w:ind w:right="100"/>
        <w:spacing w:after="0" w:line="270" w:lineRule="auto"/>
        <w:rPr>
          <w:sz w:val="20"/>
          <w:szCs w:val="20"/>
          <w:color w:val="auto"/>
        </w:rPr>
      </w:pPr>
      <w:r>
        <w:rPr>
          <w:rFonts w:ascii="Arial" w:cs="Arial" w:eastAsia="Arial" w:hAnsi="Arial"/>
          <w:sz w:val="11"/>
          <w:szCs w:val="11"/>
          <w:color w:val="auto"/>
        </w:rPr>
        <w:t>Marc Ganzi, CEO of DigitalBridge, said “We delivered another solid quarter of revenue and earnings growth at DigitalBridge with contributions from our investment management and operating segments. I’m pleased to report initial commitments to our new credit and core strategies, highlighting positive momentum in capital formation as we enter the second half of the year. We are also detailing a new upgraded roadmap built around our highly scalable investment management platform which we believe will drive significant earnings growth and value creation for our shareholders over the coming years."</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The Company reported second quarter 2022 total revenues of $289 million, GAAP net loss attributable to common stockholders of $(37) million, or $(0.06) per share, and Distributable Earnings of $7.6 million.</w:t>
      </w:r>
    </w:p>
    <w:p>
      <w:pPr>
        <w:spacing w:after="0" w:line="81" w:lineRule="exact"/>
        <w:rPr>
          <w:sz w:val="20"/>
          <w:szCs w:val="20"/>
          <w:color w:val="auto"/>
        </w:rPr>
      </w:pPr>
    </w:p>
    <w:p>
      <w:pPr>
        <w:ind w:right="80"/>
        <w:spacing w:after="0" w:line="261" w:lineRule="auto"/>
        <w:rPr>
          <w:sz w:val="20"/>
          <w:szCs w:val="20"/>
          <w:color w:val="auto"/>
        </w:rPr>
      </w:pPr>
      <w:r>
        <w:rPr>
          <w:rFonts w:ascii="Arial" w:cs="Arial" w:eastAsia="Arial" w:hAnsi="Arial"/>
          <w:sz w:val="11"/>
          <w:szCs w:val="11"/>
          <w:color w:val="auto"/>
        </w:rPr>
        <w:t>The reverse share split is expected to take effect at about 5:00 p.m. Eastern time on August 22, 2022 (the “Effective Time”). Accordingly, at the Effective Time, every four issued and outstanding common shares will be converted into one common share. In addition, at the market open on August 23, 2022, the common shares will be assigned a new CUSIP number: 25401T 603. As a result of the reverse share split, the number of outstanding Class A common shares of the Company will be reduced from 656 million to approximately 164 million. No fractional shares of common stock will be issued as a result of the reverse stock split. Instead, any fractional shares resulting from the reverse stock split will be aggregated into whole shares, sold in the open market and a pro-rata share of the proceeds from such sales will be distributed to each applicable stockholder in cash. The reverse share split will apply to all of the Company’s outstanding common shares and therefore will not affect any shareholder’s relative ownership percentage. Shareholders will be receiving information from American Stock Transfer &amp; Trust Company, LLC, the Company’s transfer agent, regarding their shareholdings following the reverse share split and cash in lieu payments, if applicable.</w:t>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Preferred Dividends</w:t>
      </w:r>
    </w:p>
    <w:p>
      <w:pPr>
        <w:spacing w:after="0" w:line="45" w:lineRule="exact"/>
        <w:rPr>
          <w:sz w:val="20"/>
          <w:szCs w:val="20"/>
          <w:color w:val="auto"/>
        </w:rPr>
      </w:pPr>
    </w:p>
    <w:p>
      <w:pPr>
        <w:ind w:right="280"/>
        <w:spacing w:after="0" w:line="270" w:lineRule="auto"/>
        <w:rPr>
          <w:sz w:val="20"/>
          <w:szCs w:val="20"/>
          <w:color w:val="auto"/>
        </w:rPr>
      </w:pPr>
      <w:r>
        <w:rPr>
          <w:rFonts w:ascii="Arial" w:cs="Arial" w:eastAsia="Arial" w:hAnsi="Arial"/>
          <w:sz w:val="11"/>
          <w:szCs w:val="11"/>
          <w:color w:val="auto"/>
        </w:rPr>
        <w:t>On August 3, 2022, the Company’s Board declared cash dividends with respect to each series of the Company’s cumulative redeemable perpetual preferred stock in accordance with the terms of such series, as follows: Series H preferred stock: $0.4453125 per share; Series I preferred stock: $0.446875 per share; and Series J preferred stock: $0.4453125 per share. Such dividends will be paid on October 17, 2022 to the respective stockholders of record on October 12, 2022.</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Second Quarter 2022 Conference Call</w:t>
      </w:r>
    </w:p>
    <w:p>
      <w:pPr>
        <w:spacing w:after="0" w:line="45" w:lineRule="exact"/>
        <w:rPr>
          <w:sz w:val="20"/>
          <w:szCs w:val="20"/>
          <w:color w:val="auto"/>
        </w:rPr>
      </w:pPr>
    </w:p>
    <w:p>
      <w:pPr>
        <w:ind w:right="40"/>
        <w:spacing w:after="0" w:line="270" w:lineRule="auto"/>
        <w:rPr>
          <w:sz w:val="20"/>
          <w:szCs w:val="20"/>
          <w:color w:val="auto"/>
        </w:rPr>
      </w:pPr>
      <w:r>
        <w:rPr>
          <w:rFonts w:ascii="Arial" w:cs="Arial" w:eastAsia="Arial" w:hAnsi="Arial"/>
          <w:sz w:val="11"/>
          <w:szCs w:val="11"/>
          <w:color w:val="auto"/>
        </w:rPr>
        <w:t>The Company will conduct its quarterly earnings conference call and presentation to discuss the Second Quarter 2022 financial results on Thursday, August 4, at 10:00 a.m. Eastern Time (ET). The earnings presentation will be broadcast live over the Internet and a webcast link can be accessed on the Shareholders section of the Company’s website at ir.digitalbridge.com/events. To participate in the event by telephone, please dial (877) 407-4018 ten minutes prior to the start time (to allow time for registration). International callers should dial (201) 689-8471.</w:t>
      </w:r>
    </w:p>
    <w:p>
      <w:pPr>
        <w:spacing w:after="0" w:line="50" w:lineRule="exact"/>
        <w:rPr>
          <w:sz w:val="20"/>
          <w:szCs w:val="20"/>
          <w:color w:val="auto"/>
        </w:rPr>
      </w:pPr>
    </w:p>
    <w:p>
      <w:pPr>
        <w:ind w:right="180"/>
        <w:spacing w:after="0" w:line="285" w:lineRule="auto"/>
        <w:rPr>
          <w:sz w:val="20"/>
          <w:szCs w:val="20"/>
          <w:color w:val="auto"/>
        </w:rPr>
      </w:pPr>
      <w:r>
        <w:rPr>
          <w:rFonts w:ascii="Arial" w:cs="Arial" w:eastAsia="Arial" w:hAnsi="Arial"/>
          <w:sz w:val="11"/>
          <w:szCs w:val="11"/>
          <w:color w:val="auto"/>
        </w:rPr>
        <w:t>For those unable to participate during the live call, a replay will be available starting August 4, 2022, at 1:00 p.m. ET. To access the replay, dial (844) 512-2921 (U.S.), and use passcode 13731135. International callers should dial (412) 317-6671 and enter the same conference ID number.</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DigitalBridge Group, Inc.</w:t>
      </w:r>
    </w:p>
    <w:p>
      <w:pPr>
        <w:spacing w:after="0" w:line="45" w:lineRule="exact"/>
        <w:rPr>
          <w:sz w:val="20"/>
          <w:szCs w:val="20"/>
          <w:color w:val="auto"/>
        </w:rPr>
      </w:pPr>
    </w:p>
    <w:p>
      <w:pPr>
        <w:jc w:val="both"/>
        <w:ind w:right="60"/>
        <w:spacing w:after="0" w:line="270" w:lineRule="auto"/>
        <w:rPr>
          <w:sz w:val="20"/>
          <w:szCs w:val="20"/>
          <w:color w:val="auto"/>
        </w:rPr>
      </w:pPr>
      <w:r>
        <w:rPr>
          <w:rFonts w:ascii="Arial" w:cs="Arial" w:eastAsia="Arial" w:hAnsi="Arial"/>
          <w:sz w:val="11"/>
          <w:szCs w:val="11"/>
          <w:color w:val="auto"/>
        </w:rPr>
        <w:t>DigitalBridge (NYSE: DBRG) is a leading global digital infrastructure firm. With a heritage of over 25 years investing in and operating businesses across the digital ecosystem including cell towers, data centers, fiber, small cells, and edge infrastructure, the DigitalBridge team manages a $48 billion portfolio of digital infrastructure assets on behalf of its limited partners and shareholders. Headquartered in Boca Raton, DigitalBridge has key offices in New York, Los Angeles, London, and Singapore. For more information, visit: www.digitalbridge.com.</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ectPr>
          <w:pgSz w:w="11900" w:h="16838" w:orient="portrait"/>
          <w:cols w:equalWidth="0" w:num="1">
            <w:col w:w="11300"/>
          </w:cols>
          <w:pgMar w:left="300" w:top="1067" w:right="299" w:bottom="1440" w:gutter="0" w:footer="0" w:header="0"/>
        </w:sectPr>
      </w:pPr>
    </w:p>
    <w:bookmarkStart w:id="4" w:name="page5"/>
    <w:bookmarkEnd w:id="4"/>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191135</wp:posOffset>
            </wp:positionH>
            <wp:positionV relativeFrom="page">
              <wp:posOffset>186055</wp:posOffset>
            </wp:positionV>
            <wp:extent cx="1022985" cy="280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22985" cy="280035"/>
                    </a:xfrm>
                    <a:prstGeom prst="rect">
                      <a:avLst/>
                    </a:prstGeom>
                    <a:noFill/>
                  </pic:spPr>
                </pic:pic>
              </a:graphicData>
            </a:graphic>
          </wp:anchor>
        </w:drawing>
        <w:t>Cautionary Statement Regarding Forward-Looking Statements</w:t>
      </w:r>
    </w:p>
    <w:p>
      <w:pPr>
        <w:spacing w:after="0" w:line="10" w:lineRule="exact"/>
        <w:rPr>
          <w:sz w:val="20"/>
          <w:szCs w:val="20"/>
          <w:color w:val="auto"/>
        </w:rPr>
      </w:pPr>
    </w:p>
    <w:p>
      <w:pPr>
        <w:ind w:right="40"/>
        <w:spacing w:after="0" w:line="237" w:lineRule="auto"/>
        <w:rPr>
          <w:sz w:val="20"/>
          <w:szCs w:val="20"/>
          <w:color w:val="auto"/>
        </w:rPr>
      </w:pPr>
      <w:r>
        <w:rPr>
          <w:rFonts w:ascii="Arial" w:cs="Arial" w:eastAsia="Arial" w:hAnsi="Arial"/>
          <w:sz w:val="11"/>
          <w:szCs w:val="11"/>
          <w:color w:val="auto"/>
        </w:rPr>
        <w:t>This press release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2" w:lineRule="exact"/>
        <w:rPr>
          <w:sz w:val="20"/>
          <w:szCs w:val="20"/>
          <w:color w:val="auto"/>
        </w:rPr>
      </w:pPr>
    </w:p>
    <w:p>
      <w:pPr>
        <w:spacing w:after="0" w:line="231" w:lineRule="auto"/>
        <w:rPr>
          <w:sz w:val="20"/>
          <w:szCs w:val="20"/>
          <w:color w:val="auto"/>
        </w:rPr>
      </w:pPr>
      <w:r>
        <w:rPr>
          <w:rFonts w:ascii="Arial" w:cs="Arial" w:eastAsia="Arial" w:hAnsi="Arial"/>
          <w:sz w:val="11"/>
          <w:szCs w:val="11"/>
          <w:color w:val="auto"/>
        </w:rPr>
        <w:t>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the duration and severity of the current novel coronavirus (COVID-19) pandemic, driven by, among other factors, the treatment developments and public adoption rates and effectiveness of COVID-19 vaccines against emerging variants of COVID-19; the impact of the COVID-19 pandemic on the global market, economic and environmental conditions generally and in the digital and communications technology and investment management sectors; the effect of COVID-19 on the Company's operating cash flows, debt service obligations and covenants, liquidity position and valuations of its real estate investments, as well as the increased risk of claims, litigation and regulatory proceedings and uncertainty that may adversely affect the Company; our status as an owner, operator and investment manager of digital infrastructure and real estate and our ability to manage any related conflicts of interest; our ability to obtain and maintain financing arrangements, including securitizations, on favorable or comparable terms or at all; the impact of initiatives related to our digital transformation, including the strategic investment by Wafra and the formation of certain other investment management platforms, on our growth and earnings profile; whether the transaction with AMP Capital will be completed within the time frame and on the terms anticipated or at all, and whether we will realize any of the anticipated benefits from the transaction; whether we will realize any of the anticipated benefits of our strategic partnership with Wafra, including whether Wafra will make additional investments in our Digital IM and Digital Operating segments; our ability to integrate and maintain consistent standards and controls, including our ability to manage our acquisitions in the digital industry effectively; the impact to our business operations and financial condition of realized or anticipated compensation and administrative savings through cost reduction programs; our business and investment strategy, including the ability of the businesses in which we have a significant investment (such as BRSP) to execute their business strategies; BRSP's trading price and its impact on the carrying value of the Company's investment in BRSP, including whether the Company will recognize further other-than-temporary impairment on its investment in BRSP; performance of our investments relative to our expectations and the impact on our actual return on invested equity, as well as the cash provided by these investments and available for distribution; our ability to raise new investment funds and vehicles and transfer warehoused investments; our ability to grow our business by raising capital for the companies that we manage; our ability to deploy capital into new investments consistent with our digital business strategies, including the earnings profile of such new investments; the availability of, and competition for, attractive investment opportunities; our ability to achieve any of the anticipated benefits of certain joint ventures, including any ability for such ventures to create and/or distribute new investment products; our ability to satisfy and manage our capital requirements; our expected hold period for our assets and the impact of any changes in our expectations on the carrying value of such assets; the general volatility of the securities markets in which we participate; changes in interest rates and the market value of our assets; interest rate mismatches between our assets and any borrowings used to fund such assets; effects of hedging instruments on our assets; the impact of economic conditions on third parties on which we rely; any litigation and contractual claims against us and our affiliates, including potential settlement and litigation of such claims; our levels of leverage; adverse domestic or international macroeconomic factors, including those resulting from the COVID-19 pandemic, supply chain difficulties, inflation, a potential economic slowdown or recession; the impact of legislative, regulatory and competitive changes; the impact of our transition from a REIT to a C-corporation for tax purposes, and the related liability for corporate and other taxes; whether we will be able to utilize existing tax attributes to offset taxable income to the extent contemplated; our ability to maintain our exemption from registration as an investment company under the Investment Company Act of 1940, as amended (the “1940 Act”); changes in our board of directors or management team, and availability of qualified personnel; our ability to make or maintain distributions to our stockholders; and our understanding of our competition; and other risks and uncertainties, including those detailed in the Company’s Annual Report on Form 10-K for the fiscal year ended December 31, 2021 and Quarterly Report on Form 10-Q for the fiscal quarter ended March 31, 2022, each under the heading “Risk Factors,” as such factors may be updated from time to time in the Company’s subsequent periodic filings with the U.S. Securities and Exchange Commission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w:t>
      </w:r>
    </w:p>
    <w:p>
      <w:pPr>
        <w:spacing w:after="0" w:line="16" w:lineRule="exact"/>
        <w:rPr>
          <w:sz w:val="20"/>
          <w:szCs w:val="20"/>
          <w:color w:val="auto"/>
        </w:rPr>
      </w:pPr>
    </w:p>
    <w:p>
      <w:pPr>
        <w:ind w:right="340"/>
        <w:spacing w:after="0" w:line="268" w:lineRule="auto"/>
        <w:rPr>
          <w:sz w:val="20"/>
          <w:szCs w:val="20"/>
          <w:color w:val="auto"/>
        </w:rPr>
      </w:pPr>
      <w:r>
        <w:rPr>
          <w:rFonts w:ascii="Arial" w:cs="Arial" w:eastAsia="Arial" w:hAnsi="Arial"/>
          <w:sz w:val="11"/>
          <w:szCs w:val="11"/>
          <w:color w:val="auto"/>
        </w:rPr>
        <w:t>The Company cautions investors not to unduly rely on any forward-looking statements. The forward-looking statements speak only as of the date of this press release. The Company is under no duty to update any of these forward-looking statements after the date of this press release, nor to conform prior statements to actual results or revised expectations, and the Company does not intend to do so.</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Source: </w:t>
      </w:r>
      <w:r>
        <w:rPr>
          <w:rFonts w:ascii="Arial" w:cs="Arial" w:eastAsia="Arial" w:hAnsi="Arial"/>
          <w:sz w:val="11"/>
          <w:szCs w:val="11"/>
          <w:color w:val="auto"/>
        </w:rPr>
        <w:t>DigitalBridge Group, Inc.</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Investor Contacts:</w:t>
      </w:r>
    </w:p>
    <w:p>
      <w:pPr>
        <w:spacing w:after="0"/>
        <w:rPr>
          <w:sz w:val="20"/>
          <w:szCs w:val="20"/>
          <w:color w:val="auto"/>
        </w:rPr>
      </w:pPr>
      <w:r>
        <w:rPr>
          <w:rFonts w:ascii="Arial" w:cs="Arial" w:eastAsia="Arial" w:hAnsi="Arial"/>
          <w:sz w:val="11"/>
          <w:szCs w:val="11"/>
          <w:color w:val="auto"/>
        </w:rPr>
        <w:t>Severin White</w:t>
      </w:r>
    </w:p>
    <w:p>
      <w:pPr>
        <w:spacing w:after="0"/>
        <w:rPr>
          <w:sz w:val="20"/>
          <w:szCs w:val="20"/>
          <w:color w:val="auto"/>
        </w:rPr>
      </w:pPr>
      <w:r>
        <w:rPr>
          <w:rFonts w:ascii="Arial" w:cs="Arial" w:eastAsia="Arial" w:hAnsi="Arial"/>
          <w:sz w:val="11"/>
          <w:szCs w:val="11"/>
          <w:color w:val="auto"/>
        </w:rPr>
        <w:t>Managing Director, Head of Public Investor Relations</w:t>
      </w:r>
    </w:p>
    <w:p>
      <w:pPr>
        <w:spacing w:after="0"/>
        <w:rPr>
          <w:sz w:val="20"/>
          <w:szCs w:val="20"/>
          <w:color w:val="auto"/>
        </w:rPr>
      </w:pPr>
      <w:r>
        <w:rPr>
          <w:rFonts w:ascii="Arial" w:cs="Arial" w:eastAsia="Arial" w:hAnsi="Arial"/>
          <w:sz w:val="11"/>
          <w:szCs w:val="11"/>
          <w:u w:val="single" w:color="auto"/>
          <w:color w:val="0563C1"/>
        </w:rPr>
        <w:t>severin.white@digitalbridge.com</w:t>
      </w:r>
    </w:p>
    <w:p>
      <w:pPr>
        <w:spacing w:after="0"/>
        <w:rPr>
          <w:sz w:val="20"/>
          <w:szCs w:val="20"/>
          <w:color w:val="auto"/>
        </w:rPr>
      </w:pPr>
      <w:r>
        <w:rPr>
          <w:rFonts w:ascii="Arial" w:cs="Arial" w:eastAsia="Arial" w:hAnsi="Arial"/>
          <w:sz w:val="11"/>
          <w:szCs w:val="11"/>
          <w:color w:val="auto"/>
        </w:rPr>
        <w:t>212-547-2777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(FINANCIAL TABLES FOLLOW)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300"/>
          </w:cols>
          <w:pgMar w:left="300" w:top="1031" w:right="299" w:bottom="1440" w:gutter="0" w:footer="0" w:header="0"/>
        </w:sectPr>
      </w:pPr>
    </w:p>
    <w:bookmarkStart w:id="5" w:name="page6"/>
    <w:bookmarkEnd w:id="5"/>
    <w:p>
      <w:pPr>
        <w:ind w:left="470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191135</wp:posOffset>
            </wp:positionH>
            <wp:positionV relativeFrom="page">
              <wp:posOffset>186055</wp:posOffset>
            </wp:positionV>
            <wp:extent cx="1022985" cy="280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22985" cy="280035"/>
                    </a:xfrm>
                    <a:prstGeom prst="rect">
                      <a:avLst/>
                    </a:prstGeom>
                    <a:noFill/>
                  </pic:spPr>
                </pic:pic>
              </a:graphicData>
            </a:graphic>
          </wp:anchor>
        </w:drawing>
        <w:t>CONSOLIDATED BALANCE SHEETS</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1"/>
          <w:szCs w:val="11"/>
          <w:b w:val="1"/>
          <w:bCs w:val="1"/>
          <w:color w:val="auto"/>
        </w:rPr>
        <w:t>(In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480" w:type="dxa"/>
            <w:vAlign w:val="bottom"/>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June 30, 2022</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429"/>
              <w:spacing w:after="0"/>
              <w:rPr>
                <w:sz w:val="20"/>
                <w:szCs w:val="20"/>
                <w:color w:val="auto"/>
              </w:rPr>
            </w:pPr>
            <w:r>
              <w:rPr>
                <w:rFonts w:ascii="Arial" w:cs="Arial" w:eastAsia="Arial" w:hAnsi="Arial"/>
                <w:sz w:val="8"/>
                <w:szCs w:val="8"/>
                <w:b w:val="1"/>
                <w:bCs w:val="1"/>
                <w:color w:val="auto"/>
              </w:rPr>
              <w:t>December 31, 2021</w:t>
            </w:r>
          </w:p>
        </w:tc>
      </w:tr>
      <w:tr>
        <w:trPr>
          <w:trHeight w:val="105"/>
        </w:trPr>
        <w:tc>
          <w:tcPr>
            <w:tcW w:w="7480" w:type="dxa"/>
            <w:vAlign w:val="bottom"/>
          </w:tcPr>
          <w:p>
            <w:pPr>
              <w:spacing w:after="0"/>
              <w:rPr>
                <w:sz w:val="9"/>
                <w:szCs w:val="9"/>
                <w:color w:val="auto"/>
              </w:rPr>
            </w:pPr>
          </w:p>
        </w:tc>
        <w:tc>
          <w:tcPr>
            <w:tcW w:w="1140" w:type="dxa"/>
            <w:vAlign w:val="bottom"/>
          </w:tcPr>
          <w:p>
            <w:pPr>
              <w:jc w:val="right"/>
              <w:ind w:right="32"/>
              <w:spacing w:after="0"/>
              <w:rPr>
                <w:sz w:val="20"/>
                <w:szCs w:val="20"/>
                <w:color w:val="auto"/>
              </w:rPr>
            </w:pPr>
            <w:r>
              <w:rPr>
                <w:rFonts w:ascii="Arial" w:cs="Arial" w:eastAsia="Arial" w:hAnsi="Arial"/>
                <w:sz w:val="8"/>
                <w:szCs w:val="8"/>
                <w:color w:val="auto"/>
              </w:rPr>
              <w:t>(unaudited)</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39"/>
        </w:trPr>
        <w:tc>
          <w:tcPr>
            <w:tcW w:w="7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0"/>
        </w:trPr>
        <w:tc>
          <w:tcPr>
            <w:tcW w:w="7480" w:type="dxa"/>
            <w:vAlign w:val="bottom"/>
          </w:tcPr>
          <w:p>
            <w:pPr>
              <w:ind w:left="180"/>
              <w:spacing w:after="0"/>
              <w:rPr>
                <w:sz w:val="20"/>
                <w:szCs w:val="20"/>
                <w:color w:val="auto"/>
              </w:rPr>
            </w:pPr>
            <w:r>
              <w:rPr>
                <w:rFonts w:ascii="Arial" w:cs="Arial" w:eastAsia="Arial" w:hAnsi="Arial"/>
                <w:sz w:val="10"/>
                <w:szCs w:val="10"/>
                <w:color w:val="auto"/>
              </w:rPr>
              <w:t>Cash and cash equivalents</w:t>
            </w:r>
          </w:p>
        </w:tc>
        <w:tc>
          <w:tcPr>
            <w:tcW w:w="1140" w:type="dxa"/>
            <w:vAlign w:val="bottom"/>
          </w:tcPr>
          <w:p>
            <w:pPr>
              <w:jc w:val="right"/>
              <w:ind w:right="103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337,150</w:t>
            </w:r>
          </w:p>
        </w:tc>
        <w:tc>
          <w:tcPr>
            <w:tcW w:w="100" w:type="dxa"/>
            <w:vAlign w:val="bottom"/>
          </w:tcPr>
          <w:p>
            <w:pPr>
              <w:spacing w:after="0"/>
              <w:rPr>
                <w:sz w:val="12"/>
                <w:szCs w:val="12"/>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1,602,102</w:t>
            </w:r>
          </w:p>
        </w:tc>
      </w:tr>
      <w:tr>
        <w:trPr>
          <w:trHeight w:val="22"/>
        </w:trPr>
        <w:tc>
          <w:tcPr>
            <w:tcW w:w="7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35"/>
        </w:trPr>
        <w:tc>
          <w:tcPr>
            <w:tcW w:w="74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Restricted cash</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108,686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99,121</w:t>
            </w:r>
          </w:p>
        </w:tc>
      </w:tr>
      <w:tr>
        <w:trPr>
          <w:trHeight w:val="135"/>
        </w:trPr>
        <w:tc>
          <w:tcPr>
            <w:tcW w:w="7480" w:type="dxa"/>
            <w:vAlign w:val="bottom"/>
          </w:tcPr>
          <w:p>
            <w:pPr>
              <w:ind w:left="180"/>
              <w:spacing w:after="0"/>
              <w:rPr>
                <w:sz w:val="20"/>
                <w:szCs w:val="20"/>
                <w:color w:val="auto"/>
              </w:rPr>
            </w:pPr>
            <w:r>
              <w:rPr>
                <w:rFonts w:ascii="Arial" w:cs="Arial" w:eastAsia="Arial" w:hAnsi="Arial"/>
                <w:sz w:val="10"/>
                <w:szCs w:val="10"/>
                <w:color w:val="auto"/>
              </w:rPr>
              <w:t>Real estate, net</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6,047,928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4,972,284</w:t>
            </w:r>
          </w:p>
        </w:tc>
      </w:tr>
      <w:tr>
        <w:trPr>
          <w:trHeight w:val="135"/>
        </w:trPr>
        <w:tc>
          <w:tcPr>
            <w:tcW w:w="74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Loans receivable</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514,163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173,921</w:t>
            </w:r>
          </w:p>
        </w:tc>
      </w:tr>
      <w:tr>
        <w:trPr>
          <w:trHeight w:val="135"/>
        </w:trPr>
        <w:tc>
          <w:tcPr>
            <w:tcW w:w="7480" w:type="dxa"/>
            <w:vAlign w:val="bottom"/>
          </w:tcPr>
          <w:p>
            <w:pPr>
              <w:ind w:left="180"/>
              <w:spacing w:after="0"/>
              <w:rPr>
                <w:sz w:val="20"/>
                <w:szCs w:val="20"/>
                <w:color w:val="auto"/>
              </w:rPr>
            </w:pPr>
            <w:r>
              <w:rPr>
                <w:rFonts w:ascii="Arial" w:cs="Arial" w:eastAsia="Arial" w:hAnsi="Arial"/>
                <w:sz w:val="10"/>
                <w:szCs w:val="10"/>
                <w:color w:val="auto"/>
              </w:rPr>
              <w:t>Equity and debt investments</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1,080,261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935,153</w:t>
            </w:r>
          </w:p>
        </w:tc>
      </w:tr>
      <w:tr>
        <w:trPr>
          <w:trHeight w:val="135"/>
        </w:trPr>
        <w:tc>
          <w:tcPr>
            <w:tcW w:w="74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Goodwill</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761,368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761,368</w:t>
            </w:r>
          </w:p>
        </w:tc>
      </w:tr>
      <w:tr>
        <w:trPr>
          <w:trHeight w:val="135"/>
        </w:trPr>
        <w:tc>
          <w:tcPr>
            <w:tcW w:w="7480" w:type="dxa"/>
            <w:vAlign w:val="bottom"/>
          </w:tcPr>
          <w:p>
            <w:pPr>
              <w:ind w:left="180"/>
              <w:spacing w:after="0"/>
              <w:rPr>
                <w:sz w:val="20"/>
                <w:szCs w:val="20"/>
                <w:color w:val="auto"/>
              </w:rPr>
            </w:pPr>
            <w:r>
              <w:rPr>
                <w:rFonts w:ascii="Arial" w:cs="Arial" w:eastAsia="Arial" w:hAnsi="Arial"/>
                <w:sz w:val="10"/>
                <w:szCs w:val="10"/>
                <w:color w:val="auto"/>
              </w:rPr>
              <w:t>Deferred leasing costs and intangible assets, net</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1,827,960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1,187,627</w:t>
            </w:r>
          </w:p>
        </w:tc>
      </w:tr>
      <w:tr>
        <w:trPr>
          <w:trHeight w:val="135"/>
        </w:trPr>
        <w:tc>
          <w:tcPr>
            <w:tcW w:w="74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Assets held for disposition</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156,672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3,676,615</w:t>
            </w:r>
          </w:p>
        </w:tc>
      </w:tr>
      <w:tr>
        <w:trPr>
          <w:trHeight w:val="135"/>
        </w:trPr>
        <w:tc>
          <w:tcPr>
            <w:tcW w:w="7480" w:type="dxa"/>
            <w:vAlign w:val="bottom"/>
          </w:tcPr>
          <w:p>
            <w:pPr>
              <w:ind w:left="180"/>
              <w:spacing w:after="0"/>
              <w:rPr>
                <w:sz w:val="20"/>
                <w:szCs w:val="20"/>
                <w:color w:val="auto"/>
              </w:rPr>
            </w:pPr>
            <w:r>
              <w:rPr>
                <w:rFonts w:ascii="Arial" w:cs="Arial" w:eastAsia="Arial" w:hAnsi="Arial"/>
                <w:sz w:val="10"/>
                <w:szCs w:val="10"/>
                <w:color w:val="auto"/>
              </w:rPr>
              <w:t>Other assets</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991,382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740,395</w:t>
            </w:r>
          </w:p>
        </w:tc>
      </w:tr>
      <w:tr>
        <w:trPr>
          <w:trHeight w:val="135"/>
        </w:trPr>
        <w:tc>
          <w:tcPr>
            <w:tcW w:w="74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Due from affiliates</w:t>
            </w:r>
          </w:p>
        </w:tc>
        <w:tc>
          <w:tcPr>
            <w:tcW w:w="1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51,718</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49,230</w:t>
            </w:r>
          </w:p>
        </w:tc>
      </w:tr>
      <w:tr>
        <w:trPr>
          <w:trHeight w:val="140"/>
        </w:trPr>
        <w:tc>
          <w:tcPr>
            <w:tcW w:w="74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Total assets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9"/>
              </w:rPr>
              <w:t>11,877,288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14,197,816</w:t>
            </w:r>
          </w:p>
        </w:tc>
      </w:tr>
      <w:tr>
        <w:trPr>
          <w:trHeight w:val="117"/>
        </w:trPr>
        <w:tc>
          <w:tcPr>
            <w:tcW w:w="7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Liabilities</w:t>
            </w:r>
          </w:p>
        </w:tc>
        <w:tc>
          <w:tcPr>
            <w:tcW w:w="1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135"/>
        </w:trPr>
        <w:tc>
          <w:tcPr>
            <w:tcW w:w="7480" w:type="dxa"/>
            <w:vAlign w:val="bottom"/>
          </w:tcPr>
          <w:p>
            <w:pPr>
              <w:ind w:left="140"/>
              <w:spacing w:after="0"/>
              <w:rPr>
                <w:sz w:val="20"/>
                <w:szCs w:val="20"/>
                <w:color w:val="auto"/>
              </w:rPr>
            </w:pPr>
            <w:r>
              <w:rPr>
                <w:rFonts w:ascii="Arial" w:cs="Arial" w:eastAsia="Arial" w:hAnsi="Arial"/>
                <w:sz w:val="10"/>
                <w:szCs w:val="10"/>
                <w:color w:val="auto"/>
              </w:rPr>
              <w:t>Debt, net</w:t>
            </w:r>
          </w:p>
        </w:tc>
        <w:tc>
          <w:tcPr>
            <w:tcW w:w="1140" w:type="dxa"/>
            <w:vAlign w:val="bottom"/>
          </w:tcPr>
          <w:p>
            <w:pPr>
              <w:jc w:val="right"/>
              <w:ind w:right="103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5,539,732</w:t>
            </w:r>
          </w:p>
        </w:tc>
        <w:tc>
          <w:tcPr>
            <w:tcW w:w="100" w:type="dxa"/>
            <w:vAlign w:val="bottom"/>
          </w:tcPr>
          <w:p>
            <w:pPr>
              <w:spacing w:after="0"/>
              <w:rPr>
                <w:sz w:val="11"/>
                <w:szCs w:val="11"/>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4,860,402</w:t>
            </w:r>
          </w:p>
        </w:tc>
      </w:tr>
      <w:tr>
        <w:trPr>
          <w:trHeight w:val="135"/>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Accrued and other liabilities</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1,624,708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928,042</w:t>
            </w:r>
          </w:p>
        </w:tc>
      </w:tr>
      <w:tr>
        <w:trPr>
          <w:trHeight w:val="135"/>
        </w:trPr>
        <w:tc>
          <w:tcPr>
            <w:tcW w:w="7480" w:type="dxa"/>
            <w:vAlign w:val="bottom"/>
          </w:tcPr>
          <w:p>
            <w:pPr>
              <w:ind w:left="140"/>
              <w:spacing w:after="0"/>
              <w:rPr>
                <w:sz w:val="20"/>
                <w:szCs w:val="20"/>
                <w:color w:val="auto"/>
              </w:rPr>
            </w:pPr>
            <w:r>
              <w:rPr>
                <w:rFonts w:ascii="Arial" w:cs="Arial" w:eastAsia="Arial" w:hAnsi="Arial"/>
                <w:sz w:val="10"/>
                <w:szCs w:val="10"/>
                <w:color w:val="auto"/>
              </w:rPr>
              <w:t>Intangible liabilities, net</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32,840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33,301</w:t>
            </w:r>
          </w:p>
        </w:tc>
      </w:tr>
      <w:tr>
        <w:trPr>
          <w:trHeight w:val="135"/>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Liabilities related to assets held for disposition</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3,088,699</w:t>
            </w:r>
          </w:p>
        </w:tc>
      </w:tr>
      <w:tr>
        <w:trPr>
          <w:trHeight w:val="135"/>
        </w:trPr>
        <w:tc>
          <w:tcPr>
            <w:tcW w:w="7480" w:type="dxa"/>
            <w:vAlign w:val="bottom"/>
          </w:tcPr>
          <w:p>
            <w:pPr>
              <w:ind w:left="140"/>
              <w:spacing w:after="0"/>
              <w:rPr>
                <w:sz w:val="20"/>
                <w:szCs w:val="20"/>
                <w:color w:val="auto"/>
              </w:rPr>
            </w:pPr>
            <w:r>
              <w:rPr>
                <w:rFonts w:ascii="Arial" w:cs="Arial" w:eastAsia="Arial" w:hAnsi="Arial"/>
                <w:sz w:val="10"/>
                <w:szCs w:val="10"/>
                <w:color w:val="auto"/>
              </w:rPr>
              <w:t>Dividends and distributions payable</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15,759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15,759</w:t>
            </w:r>
          </w:p>
        </w:tc>
      </w:tr>
      <w:tr>
        <w:trPr>
          <w:trHeight w:val="135"/>
        </w:trPr>
        <w:tc>
          <w:tcPr>
            <w:tcW w:w="7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Total liabilities</w:t>
            </w:r>
          </w:p>
        </w:tc>
        <w:tc>
          <w:tcPr>
            <w:tcW w:w="1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7,213,758</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8,926,203</w:t>
            </w:r>
          </w:p>
        </w:tc>
      </w:tr>
      <w:tr>
        <w:trPr>
          <w:trHeight w:val="115"/>
        </w:trPr>
        <w:tc>
          <w:tcPr>
            <w:tcW w:w="7480" w:type="dxa"/>
            <w:vAlign w:val="bottom"/>
          </w:tcPr>
          <w:p>
            <w:pPr>
              <w:spacing w:after="0"/>
              <w:rPr>
                <w:sz w:val="20"/>
                <w:szCs w:val="20"/>
                <w:color w:val="auto"/>
              </w:rPr>
            </w:pPr>
            <w:r>
              <w:rPr>
                <w:rFonts w:ascii="Arial" w:cs="Arial" w:eastAsia="Arial" w:hAnsi="Arial"/>
                <w:sz w:val="10"/>
                <w:szCs w:val="10"/>
                <w:color w:val="auto"/>
              </w:rPr>
              <w:t>Commitments and contingencies</w:t>
            </w:r>
          </w:p>
        </w:tc>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35"/>
        </w:trPr>
        <w:tc>
          <w:tcPr>
            <w:tcW w:w="7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Redeemable noncontrolling interests</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102,011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359,223</w:t>
            </w:r>
          </w:p>
        </w:tc>
      </w:tr>
      <w:tr>
        <w:trPr>
          <w:trHeight w:val="135"/>
        </w:trPr>
        <w:tc>
          <w:tcPr>
            <w:tcW w:w="7480" w:type="dxa"/>
            <w:vAlign w:val="bottom"/>
          </w:tcPr>
          <w:p>
            <w:pPr>
              <w:spacing w:after="0"/>
              <w:rPr>
                <w:sz w:val="20"/>
                <w:szCs w:val="20"/>
                <w:color w:val="auto"/>
              </w:rPr>
            </w:pPr>
            <w:r>
              <w:rPr>
                <w:rFonts w:ascii="Arial" w:cs="Arial" w:eastAsia="Arial" w:hAnsi="Arial"/>
                <w:sz w:val="10"/>
                <w:szCs w:val="10"/>
                <w:b w:val="1"/>
                <w:bCs w:val="1"/>
                <w:color w:val="auto"/>
              </w:rPr>
              <w:t>Equity</w:t>
            </w:r>
          </w:p>
        </w:tc>
        <w:tc>
          <w:tcPr>
            <w:tcW w:w="1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35"/>
        </w:trPr>
        <w:tc>
          <w:tcPr>
            <w:tcW w:w="7480" w:type="dxa"/>
            <w:vAlign w:val="bottom"/>
            <w:shd w:val="clear" w:color="auto" w:fill="CCEEFF"/>
          </w:tcPr>
          <w:p>
            <w:pPr>
              <w:spacing w:after="0"/>
              <w:rPr>
                <w:sz w:val="20"/>
                <w:szCs w:val="20"/>
                <w:color w:val="auto"/>
              </w:rPr>
            </w:pPr>
            <w:r>
              <w:rPr>
                <w:rFonts w:ascii="Arial" w:cs="Arial" w:eastAsia="Arial" w:hAnsi="Arial"/>
                <w:sz w:val="10"/>
                <w:szCs w:val="10"/>
                <w:color w:val="auto"/>
              </w:rPr>
              <w:t>Stockholders’ equity:</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135"/>
        </w:trPr>
        <w:tc>
          <w:tcPr>
            <w:tcW w:w="7480" w:type="dxa"/>
            <w:vAlign w:val="bottom"/>
          </w:tcPr>
          <w:p>
            <w:pPr>
              <w:ind w:left="140"/>
              <w:spacing w:after="0"/>
              <w:rPr>
                <w:sz w:val="20"/>
                <w:szCs w:val="20"/>
                <w:color w:val="auto"/>
              </w:rPr>
            </w:pPr>
            <w:r>
              <w:rPr>
                <w:rFonts w:ascii="Arial" w:cs="Arial" w:eastAsia="Arial" w:hAnsi="Arial"/>
                <w:sz w:val="10"/>
                <w:szCs w:val="10"/>
                <w:color w:val="auto"/>
              </w:rPr>
              <w:t>Preferred stock, $0.01 par value per share; $883,500 liquidation preference; 250,000 shares authorized; 35,340 shares issued and outstanding</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854,232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854,232</w:t>
            </w:r>
          </w:p>
        </w:tc>
      </w:tr>
      <w:tr>
        <w:trPr>
          <w:trHeight w:val="135"/>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Common stock, $0.01 par value per share</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135"/>
        </w:trPr>
        <w:tc>
          <w:tcPr>
            <w:tcW w:w="7480" w:type="dxa"/>
            <w:vAlign w:val="bottom"/>
          </w:tcPr>
          <w:p>
            <w:pPr>
              <w:ind w:left="300"/>
              <w:spacing w:after="0"/>
              <w:rPr>
                <w:sz w:val="20"/>
                <w:szCs w:val="20"/>
                <w:color w:val="auto"/>
              </w:rPr>
            </w:pPr>
            <w:r>
              <w:rPr>
                <w:rFonts w:ascii="Arial" w:cs="Arial" w:eastAsia="Arial" w:hAnsi="Arial"/>
                <w:sz w:val="10"/>
                <w:szCs w:val="10"/>
                <w:color w:val="auto"/>
              </w:rPr>
              <w:t>Class A, 949,000 shares authorized; 655,750 and 568,577 shares issued and outstanding</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6,557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5,685</w:t>
            </w:r>
          </w:p>
        </w:tc>
      </w:tr>
      <w:tr>
        <w:trPr>
          <w:trHeight w:val="135"/>
        </w:trPr>
        <w:tc>
          <w:tcPr>
            <w:tcW w:w="7480" w:type="dxa"/>
            <w:vAlign w:val="bottom"/>
            <w:shd w:val="clear" w:color="auto" w:fill="CCEEFF"/>
          </w:tcPr>
          <w:p>
            <w:pPr>
              <w:ind w:left="300"/>
              <w:spacing w:after="0"/>
              <w:rPr>
                <w:sz w:val="20"/>
                <w:szCs w:val="20"/>
                <w:color w:val="auto"/>
              </w:rPr>
            </w:pPr>
            <w:r>
              <w:rPr>
                <w:rFonts w:ascii="Arial" w:cs="Arial" w:eastAsia="Arial" w:hAnsi="Arial"/>
                <w:sz w:val="10"/>
                <w:szCs w:val="10"/>
                <w:color w:val="auto"/>
              </w:rPr>
              <w:t>Class B, 1,000 shares authorized; 666 shares issued and outstanding</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r>
      <w:tr>
        <w:trPr>
          <w:trHeight w:val="135"/>
        </w:trPr>
        <w:tc>
          <w:tcPr>
            <w:tcW w:w="7480" w:type="dxa"/>
            <w:vAlign w:val="bottom"/>
          </w:tcPr>
          <w:p>
            <w:pPr>
              <w:ind w:left="140"/>
              <w:spacing w:after="0"/>
              <w:rPr>
                <w:sz w:val="20"/>
                <w:szCs w:val="20"/>
                <w:color w:val="auto"/>
              </w:rPr>
            </w:pPr>
            <w:r>
              <w:rPr>
                <w:rFonts w:ascii="Arial" w:cs="Arial" w:eastAsia="Arial" w:hAnsi="Arial"/>
                <w:sz w:val="10"/>
                <w:szCs w:val="10"/>
                <w:color w:val="auto"/>
              </w:rPr>
              <w:t>Additional paid-in capital</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7,646,852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7,820,807</w:t>
            </w:r>
          </w:p>
        </w:tc>
      </w:tr>
      <w:tr>
        <w:trPr>
          <w:trHeight w:val="135"/>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Accumulated deficit</w:t>
            </w:r>
          </w:p>
        </w:tc>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(6,875,817)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(6,576,180)</w:t>
            </w:r>
          </w:p>
        </w:tc>
      </w:tr>
      <w:tr>
        <w:trPr>
          <w:trHeight w:val="135"/>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Accumulated other comprehensive income</w:t>
            </w:r>
          </w:p>
        </w:tc>
        <w:tc>
          <w:tcPr>
            <w:tcW w:w="1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1,455</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42,383</w:t>
            </w:r>
          </w:p>
        </w:tc>
      </w:tr>
      <w:tr>
        <w:trPr>
          <w:trHeight w:val="124"/>
        </w:trPr>
        <w:tc>
          <w:tcPr>
            <w:tcW w:w="7480" w:type="dxa"/>
            <w:vAlign w:val="bottom"/>
            <w:shd w:val="clear" w:color="auto" w:fill="CCEEFF"/>
          </w:tcPr>
          <w:p>
            <w:pPr>
              <w:spacing w:after="0"/>
              <w:rPr>
                <w:sz w:val="20"/>
                <w:szCs w:val="20"/>
                <w:color w:val="auto"/>
              </w:rPr>
            </w:pPr>
            <w:r>
              <w:rPr>
                <w:rFonts w:ascii="Arial" w:cs="Arial" w:eastAsia="Arial" w:hAnsi="Arial"/>
                <w:sz w:val="10"/>
                <w:szCs w:val="10"/>
                <w:color w:val="auto"/>
              </w:rPr>
              <w:t>Total stockholders’ equity</w:t>
            </w:r>
          </w:p>
        </w:tc>
        <w:tc>
          <w:tcPr>
            <w:tcW w:w="1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1,633,286</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2,146,934</w:t>
            </w:r>
          </w:p>
        </w:tc>
      </w:tr>
      <w:tr>
        <w:trPr>
          <w:trHeight w:val="135"/>
        </w:trPr>
        <w:tc>
          <w:tcPr>
            <w:tcW w:w="7480" w:type="dxa"/>
            <w:vAlign w:val="bottom"/>
          </w:tcPr>
          <w:p>
            <w:pPr>
              <w:ind w:left="140"/>
              <w:spacing w:after="0"/>
              <w:rPr>
                <w:sz w:val="20"/>
                <w:szCs w:val="20"/>
                <w:color w:val="auto"/>
              </w:rPr>
            </w:pPr>
            <w:r>
              <w:rPr>
                <w:rFonts w:ascii="Arial" w:cs="Arial" w:eastAsia="Arial" w:hAnsi="Arial"/>
                <w:sz w:val="10"/>
                <w:szCs w:val="10"/>
                <w:color w:val="auto"/>
              </w:rPr>
              <w:t>Noncontrolling interests in investment entities</w:t>
            </w:r>
          </w:p>
        </w:tc>
        <w:tc>
          <w:tcPr>
            <w:tcW w:w="1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2,870,528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2,653,173</w:t>
            </w:r>
          </w:p>
        </w:tc>
      </w:tr>
      <w:tr>
        <w:trPr>
          <w:trHeight w:val="135"/>
        </w:trPr>
        <w:tc>
          <w:tcPr>
            <w:tcW w:w="7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Noncontrolling interests in Operating Company</w:t>
            </w:r>
          </w:p>
        </w:tc>
        <w:tc>
          <w:tcPr>
            <w:tcW w:w="1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57,705</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112,283</w:t>
            </w:r>
          </w:p>
        </w:tc>
      </w:tr>
      <w:tr>
        <w:trPr>
          <w:trHeight w:val="124"/>
        </w:trPr>
        <w:tc>
          <w:tcPr>
            <w:tcW w:w="74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Total equity</w:t>
            </w:r>
          </w:p>
        </w:tc>
        <w:tc>
          <w:tcPr>
            <w:tcW w:w="1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4,561,519</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4,912,390</w:t>
            </w:r>
          </w:p>
        </w:tc>
      </w:tr>
      <w:tr>
        <w:trPr>
          <w:trHeight w:val="14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Total liabilities, redeemable noncontrolling interests and equity</w:t>
            </w:r>
          </w:p>
        </w:tc>
        <w:tc>
          <w:tcPr>
            <w:tcW w:w="1140" w:type="dxa"/>
            <w:vAlign w:val="bottom"/>
            <w:tcBorders>
              <w:bottom w:val="single" w:sz="8" w:color="auto"/>
            </w:tcBorders>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9"/>
              </w:rPr>
              <w:t>11,877,288</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14,197,816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1000"/>
          </w:cols>
          <w:pgMar w:left="300" w:top="1103" w:right="599" w:bottom="1440" w:gutter="0" w:footer="0" w:header="0"/>
        </w:sectPr>
      </w:pPr>
    </w:p>
    <w:bookmarkStart w:id="6" w:name="page7"/>
    <w:bookmarkEnd w:id="6"/>
    <w:p>
      <w:pPr>
        <w:ind w:left="438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191135</wp:posOffset>
            </wp:positionH>
            <wp:positionV relativeFrom="page">
              <wp:posOffset>186055</wp:posOffset>
            </wp:positionV>
            <wp:extent cx="1022985" cy="280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22985" cy="280035"/>
                    </a:xfrm>
                    <a:prstGeom prst="rect">
                      <a:avLst/>
                    </a:prstGeom>
                    <a:noFill/>
                  </pic:spPr>
                </pic:pic>
              </a:graphicData>
            </a:graphic>
          </wp:anchor>
        </w:drawing>
        <w:t>CONSOLIDATED STATEMENTS OF OPERATIONS</w:t>
      </w:r>
    </w:p>
    <w:p>
      <w:pPr>
        <w:spacing w:after="0" w:line="19" w:lineRule="exact"/>
        <w:rPr>
          <w:sz w:val="20"/>
          <w:szCs w:val="20"/>
          <w:color w:val="auto"/>
        </w:rPr>
      </w:pPr>
    </w:p>
    <w:p>
      <w:pPr>
        <w:ind w:left="4400"/>
        <w:spacing w:after="0"/>
        <w:rPr>
          <w:sz w:val="20"/>
          <w:szCs w:val="20"/>
          <w:color w:val="auto"/>
        </w:rPr>
      </w:pPr>
      <w:r>
        <w:rPr>
          <w:rFonts w:ascii="Arial" w:cs="Arial" w:eastAsia="Arial" w:hAnsi="Arial"/>
          <w:sz w:val="11"/>
          <w:szCs w:val="11"/>
          <w:b w:val="1"/>
          <w:bCs w:val="1"/>
          <w:color w:val="auto"/>
        </w:rPr>
        <w:t>(In thousands, except per share data, 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1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8"/>
                <w:szCs w:val="8"/>
                <w:b w:val="1"/>
                <w:bCs w:val="1"/>
                <w:color w:val="auto"/>
              </w:rPr>
              <w:t>Three Months Ended June 30,</w:t>
            </w:r>
          </w:p>
        </w:tc>
        <w:tc>
          <w:tcPr>
            <w:tcW w:w="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7"/>
        </w:trPr>
        <w:tc>
          <w:tcPr>
            <w:tcW w:w="816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2022</w:t>
            </w: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589"/>
              <w:spacing w:after="0"/>
              <w:rPr>
                <w:sz w:val="20"/>
                <w:szCs w:val="20"/>
                <w:color w:val="auto"/>
              </w:rPr>
            </w:pPr>
            <w:r>
              <w:rPr>
                <w:rFonts w:ascii="Arial" w:cs="Arial" w:eastAsia="Arial" w:hAnsi="Arial"/>
                <w:sz w:val="8"/>
                <w:szCs w:val="8"/>
                <w:b w:val="1"/>
                <w:bCs w:val="1"/>
                <w:color w:val="auto"/>
              </w:rPr>
              <w:t>2021</w:t>
            </w:r>
          </w:p>
        </w:tc>
        <w:tc>
          <w:tcPr>
            <w:tcW w:w="80" w:type="dxa"/>
            <w:vAlign w:val="bottom"/>
            <w:tcBorders>
              <w:bottom w:val="single" w:sz="8" w:color="CCEEFF"/>
            </w:tcBorders>
          </w:tcPr>
          <w:p>
            <w:pPr>
              <w:spacing w:after="0"/>
              <w:rPr>
                <w:sz w:val="9"/>
                <w:szCs w:val="9"/>
                <w:color w:val="auto"/>
              </w:rPr>
            </w:pPr>
          </w:p>
        </w:tc>
      </w:tr>
      <w:tr>
        <w:trPr>
          <w:trHeight w:val="117"/>
        </w:trPr>
        <w:tc>
          <w:tcPr>
            <w:tcW w:w="81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Revenues</w:t>
            </w: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5"/>
        </w:trPr>
        <w:tc>
          <w:tcPr>
            <w:tcW w:w="8160" w:type="dxa"/>
            <w:vAlign w:val="bottom"/>
          </w:tcPr>
          <w:p>
            <w:pPr>
              <w:ind w:left="140"/>
              <w:spacing w:after="0"/>
              <w:rPr>
                <w:sz w:val="20"/>
                <w:szCs w:val="20"/>
                <w:color w:val="auto"/>
              </w:rPr>
            </w:pPr>
            <w:r>
              <w:rPr>
                <w:rFonts w:ascii="Arial" w:cs="Arial" w:eastAsia="Arial" w:hAnsi="Arial"/>
                <w:sz w:val="10"/>
                <w:szCs w:val="10"/>
                <w:color w:val="auto"/>
              </w:rPr>
              <w:t>Property operating income</w:t>
            </w:r>
          </w:p>
        </w:tc>
        <w:tc>
          <w:tcPr>
            <w:tcW w:w="880" w:type="dxa"/>
            <w:vAlign w:val="bottom"/>
          </w:tcPr>
          <w:p>
            <w:pPr>
              <w:jc w:val="right"/>
              <w:ind w:right="75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234,251</w:t>
            </w:r>
          </w:p>
        </w:tc>
        <w:tc>
          <w:tcPr>
            <w:tcW w:w="100" w:type="dxa"/>
            <w:vAlign w:val="bottom"/>
          </w:tcPr>
          <w:p>
            <w:pPr>
              <w:spacing w:after="0"/>
              <w:rPr>
                <w:sz w:val="11"/>
                <w:szCs w:val="11"/>
                <w:color w:val="auto"/>
              </w:rPr>
            </w:pPr>
          </w:p>
        </w:tc>
        <w:tc>
          <w:tcPr>
            <w:tcW w:w="600" w:type="dxa"/>
            <w:vAlign w:val="bottom"/>
          </w:tcPr>
          <w:p>
            <w:pPr>
              <w:jc w:val="right"/>
              <w:ind w:right="48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188,985</w:t>
            </w:r>
          </w:p>
        </w:tc>
        <w:tc>
          <w:tcPr>
            <w:tcW w:w="80" w:type="dxa"/>
            <w:vAlign w:val="bottom"/>
          </w:tcPr>
          <w:p>
            <w:pPr>
              <w:spacing w:after="0"/>
              <w:rPr>
                <w:sz w:val="11"/>
                <w:szCs w:val="11"/>
                <w:color w:val="auto"/>
              </w:rPr>
            </w:pPr>
          </w:p>
        </w:tc>
      </w:tr>
      <w:tr>
        <w:trPr>
          <w:trHeight w:val="135"/>
        </w:trPr>
        <w:tc>
          <w:tcPr>
            <w:tcW w:w="8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Interest income</w:t>
            </w: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8,499</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1,319</w:t>
            </w:r>
          </w:p>
        </w:tc>
        <w:tc>
          <w:tcPr>
            <w:tcW w:w="80" w:type="dxa"/>
            <w:vAlign w:val="bottom"/>
            <w:shd w:val="clear" w:color="auto" w:fill="CCEEFF"/>
          </w:tcPr>
          <w:p>
            <w:pPr>
              <w:spacing w:after="0"/>
              <w:rPr>
                <w:sz w:val="11"/>
                <w:szCs w:val="11"/>
                <w:color w:val="auto"/>
              </w:rPr>
            </w:pPr>
          </w:p>
        </w:tc>
      </w:tr>
      <w:tr>
        <w:trPr>
          <w:trHeight w:val="135"/>
        </w:trPr>
        <w:tc>
          <w:tcPr>
            <w:tcW w:w="8160" w:type="dxa"/>
            <w:vAlign w:val="bottom"/>
          </w:tcPr>
          <w:p>
            <w:pPr>
              <w:ind w:left="140"/>
              <w:spacing w:after="0"/>
              <w:rPr>
                <w:sz w:val="20"/>
                <w:szCs w:val="20"/>
                <w:color w:val="auto"/>
              </w:rPr>
            </w:pPr>
            <w:r>
              <w:rPr>
                <w:rFonts w:ascii="Arial" w:cs="Arial" w:eastAsia="Arial" w:hAnsi="Arial"/>
                <w:sz w:val="10"/>
                <w:szCs w:val="10"/>
                <w:color w:val="auto"/>
              </w:rPr>
              <w:t>Fee income</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44,318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45,157</w:t>
            </w:r>
          </w:p>
        </w:tc>
        <w:tc>
          <w:tcPr>
            <w:tcW w:w="80" w:type="dxa"/>
            <w:vAlign w:val="bottom"/>
          </w:tcPr>
          <w:p>
            <w:pPr>
              <w:spacing w:after="0"/>
              <w:rPr>
                <w:sz w:val="11"/>
                <w:szCs w:val="11"/>
                <w:color w:val="auto"/>
              </w:rPr>
            </w:pPr>
          </w:p>
        </w:tc>
      </w:tr>
      <w:tr>
        <w:trPr>
          <w:trHeight w:val="135"/>
        </w:trPr>
        <w:tc>
          <w:tcPr>
            <w:tcW w:w="8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income</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2,341</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1,726</w:t>
            </w:r>
          </w:p>
        </w:tc>
        <w:tc>
          <w:tcPr>
            <w:tcW w:w="80" w:type="dxa"/>
            <w:vAlign w:val="bottom"/>
            <w:shd w:val="clear" w:color="auto" w:fill="CCEEFF"/>
          </w:tcPr>
          <w:p>
            <w:pPr>
              <w:spacing w:after="0"/>
              <w:rPr>
                <w:sz w:val="11"/>
                <w:szCs w:val="11"/>
                <w:color w:val="auto"/>
              </w:rPr>
            </w:pPr>
          </w:p>
        </w:tc>
      </w:tr>
      <w:tr>
        <w:trPr>
          <w:trHeight w:val="124"/>
        </w:trPr>
        <w:tc>
          <w:tcPr>
            <w:tcW w:w="81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Total revenues</w:t>
            </w:r>
          </w:p>
        </w:tc>
        <w:tc>
          <w:tcPr>
            <w:tcW w:w="8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289,409</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237,187</w:t>
            </w:r>
          </w:p>
        </w:tc>
        <w:tc>
          <w:tcPr>
            <w:tcW w:w="80" w:type="dxa"/>
            <w:vAlign w:val="bottom"/>
            <w:tcBorders>
              <w:bottom w:val="single" w:sz="8" w:color="CCEEFF"/>
            </w:tcBorders>
          </w:tcPr>
          <w:p>
            <w:pPr>
              <w:spacing w:after="0"/>
              <w:rPr>
                <w:sz w:val="10"/>
                <w:szCs w:val="10"/>
                <w:color w:val="auto"/>
              </w:rPr>
            </w:pPr>
          </w:p>
        </w:tc>
      </w:tr>
      <w:tr>
        <w:trPr>
          <w:trHeight w:val="115"/>
        </w:trPr>
        <w:tc>
          <w:tcPr>
            <w:tcW w:w="81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Expenses</w:t>
            </w: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5"/>
        </w:trPr>
        <w:tc>
          <w:tcPr>
            <w:tcW w:w="8160" w:type="dxa"/>
            <w:vAlign w:val="bottom"/>
          </w:tcPr>
          <w:p>
            <w:pPr>
              <w:ind w:left="140"/>
              <w:spacing w:after="0"/>
              <w:rPr>
                <w:sz w:val="20"/>
                <w:szCs w:val="20"/>
                <w:color w:val="auto"/>
              </w:rPr>
            </w:pPr>
            <w:r>
              <w:rPr>
                <w:rFonts w:ascii="Arial" w:cs="Arial" w:eastAsia="Arial" w:hAnsi="Arial"/>
                <w:sz w:val="10"/>
                <w:szCs w:val="10"/>
                <w:color w:val="auto"/>
              </w:rPr>
              <w:t>Property operating expense</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97,290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77,140</w:t>
            </w:r>
          </w:p>
        </w:tc>
        <w:tc>
          <w:tcPr>
            <w:tcW w:w="80" w:type="dxa"/>
            <w:vAlign w:val="bottom"/>
          </w:tcPr>
          <w:p>
            <w:pPr>
              <w:spacing w:after="0"/>
              <w:rPr>
                <w:sz w:val="11"/>
                <w:szCs w:val="11"/>
                <w:color w:val="auto"/>
              </w:rPr>
            </w:pPr>
          </w:p>
        </w:tc>
      </w:tr>
      <w:tr>
        <w:trPr>
          <w:trHeight w:val="135"/>
        </w:trPr>
        <w:tc>
          <w:tcPr>
            <w:tcW w:w="8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Interest expense</w:t>
            </w: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46,388</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37,938</w:t>
            </w:r>
          </w:p>
        </w:tc>
        <w:tc>
          <w:tcPr>
            <w:tcW w:w="80" w:type="dxa"/>
            <w:vAlign w:val="bottom"/>
            <w:shd w:val="clear" w:color="auto" w:fill="CCEEFF"/>
          </w:tcPr>
          <w:p>
            <w:pPr>
              <w:spacing w:after="0"/>
              <w:rPr>
                <w:sz w:val="11"/>
                <w:szCs w:val="11"/>
                <w:color w:val="auto"/>
              </w:rPr>
            </w:pPr>
          </w:p>
        </w:tc>
      </w:tr>
      <w:tr>
        <w:trPr>
          <w:trHeight w:val="135"/>
        </w:trPr>
        <w:tc>
          <w:tcPr>
            <w:tcW w:w="8160" w:type="dxa"/>
            <w:vAlign w:val="bottom"/>
          </w:tcPr>
          <w:p>
            <w:pPr>
              <w:ind w:left="140"/>
              <w:spacing w:after="0"/>
              <w:rPr>
                <w:sz w:val="20"/>
                <w:szCs w:val="20"/>
                <w:color w:val="auto"/>
              </w:rPr>
            </w:pPr>
            <w:r>
              <w:rPr>
                <w:rFonts w:ascii="Arial" w:cs="Arial" w:eastAsia="Arial" w:hAnsi="Arial"/>
                <w:sz w:val="10"/>
                <w:szCs w:val="10"/>
                <w:color w:val="auto"/>
              </w:rPr>
              <w:t>Investment expense</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7,187</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5,871</w:t>
            </w:r>
          </w:p>
        </w:tc>
        <w:tc>
          <w:tcPr>
            <w:tcW w:w="80" w:type="dxa"/>
            <w:vAlign w:val="bottom"/>
          </w:tcPr>
          <w:p>
            <w:pPr>
              <w:spacing w:after="0"/>
              <w:rPr>
                <w:sz w:val="11"/>
                <w:szCs w:val="11"/>
                <w:color w:val="auto"/>
              </w:rPr>
            </w:pPr>
          </w:p>
        </w:tc>
      </w:tr>
      <w:tr>
        <w:trPr>
          <w:trHeight w:val="135"/>
        </w:trPr>
        <w:tc>
          <w:tcPr>
            <w:tcW w:w="8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Transaction-related costs</w:t>
            </w: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2,756</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80" w:type="dxa"/>
            <w:vAlign w:val="bottom"/>
            <w:shd w:val="clear" w:color="auto" w:fill="CCEEFF"/>
          </w:tcPr>
          <w:p>
            <w:pPr>
              <w:spacing w:after="0"/>
              <w:rPr>
                <w:sz w:val="11"/>
                <w:szCs w:val="11"/>
                <w:color w:val="auto"/>
              </w:rPr>
            </w:pPr>
          </w:p>
        </w:tc>
      </w:tr>
      <w:tr>
        <w:trPr>
          <w:trHeight w:val="135"/>
        </w:trPr>
        <w:tc>
          <w:tcPr>
            <w:tcW w:w="8160" w:type="dxa"/>
            <w:vAlign w:val="bottom"/>
          </w:tcPr>
          <w:p>
            <w:pPr>
              <w:ind w:left="140"/>
              <w:spacing w:after="0"/>
              <w:rPr>
                <w:sz w:val="20"/>
                <w:szCs w:val="20"/>
                <w:color w:val="auto"/>
              </w:rPr>
            </w:pPr>
            <w:r>
              <w:rPr>
                <w:rFonts w:ascii="Arial" w:cs="Arial" w:eastAsia="Arial" w:hAnsi="Arial"/>
                <w:sz w:val="10"/>
                <w:szCs w:val="10"/>
                <w:color w:val="auto"/>
              </w:rPr>
              <w:t>Depreciation and amortization</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155,352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138,229</w:t>
            </w:r>
          </w:p>
        </w:tc>
        <w:tc>
          <w:tcPr>
            <w:tcW w:w="80" w:type="dxa"/>
            <w:vAlign w:val="bottom"/>
          </w:tcPr>
          <w:p>
            <w:pPr>
              <w:spacing w:after="0"/>
              <w:rPr>
                <w:sz w:val="11"/>
                <w:szCs w:val="11"/>
                <w:color w:val="auto"/>
              </w:rPr>
            </w:pPr>
          </w:p>
        </w:tc>
      </w:tr>
      <w:tr>
        <w:trPr>
          <w:trHeight w:val="135"/>
        </w:trPr>
        <w:tc>
          <w:tcPr>
            <w:tcW w:w="8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Compensation expense</w:t>
            </w: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8160" w:type="dxa"/>
            <w:vAlign w:val="bottom"/>
          </w:tcPr>
          <w:p>
            <w:pPr>
              <w:ind w:left="300"/>
              <w:spacing w:after="0"/>
              <w:rPr>
                <w:sz w:val="20"/>
                <w:szCs w:val="20"/>
                <w:color w:val="auto"/>
              </w:rPr>
            </w:pPr>
            <w:r>
              <w:rPr>
                <w:rFonts w:ascii="Arial" w:cs="Arial" w:eastAsia="Arial" w:hAnsi="Arial"/>
                <w:sz w:val="10"/>
                <w:szCs w:val="10"/>
                <w:color w:val="auto"/>
              </w:rPr>
              <w:t>Cash and equity-based compensation</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52,792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48,199</w:t>
            </w:r>
          </w:p>
        </w:tc>
        <w:tc>
          <w:tcPr>
            <w:tcW w:w="80" w:type="dxa"/>
            <w:vAlign w:val="bottom"/>
          </w:tcPr>
          <w:p>
            <w:pPr>
              <w:spacing w:after="0"/>
              <w:rPr>
                <w:sz w:val="11"/>
                <w:szCs w:val="11"/>
                <w:color w:val="auto"/>
              </w:rPr>
            </w:pPr>
          </w:p>
        </w:tc>
      </w:tr>
      <w:tr>
        <w:trPr>
          <w:trHeight w:val="135"/>
        </w:trPr>
        <w:tc>
          <w:tcPr>
            <w:tcW w:w="81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Carried interest and incentive fee compensation</w:t>
            </w: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49,069</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8,266</w:t>
            </w:r>
          </w:p>
        </w:tc>
        <w:tc>
          <w:tcPr>
            <w:tcW w:w="80" w:type="dxa"/>
            <w:vAlign w:val="bottom"/>
            <w:shd w:val="clear" w:color="auto" w:fill="CCEEFF"/>
          </w:tcPr>
          <w:p>
            <w:pPr>
              <w:spacing w:after="0"/>
              <w:rPr>
                <w:sz w:val="11"/>
                <w:szCs w:val="11"/>
                <w:color w:val="auto"/>
              </w:rPr>
            </w:pPr>
          </w:p>
        </w:tc>
      </w:tr>
      <w:tr>
        <w:trPr>
          <w:trHeight w:val="135"/>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Administrative expenses</w:t>
            </w: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26,353</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28,505</w:t>
            </w:r>
          </w:p>
        </w:tc>
        <w:tc>
          <w:tcPr>
            <w:tcW w:w="80" w:type="dxa"/>
            <w:vAlign w:val="bottom"/>
            <w:tcBorders>
              <w:bottom w:val="single" w:sz="8" w:color="CCEEFF"/>
            </w:tcBorders>
          </w:tcPr>
          <w:p>
            <w:pPr>
              <w:spacing w:after="0"/>
              <w:rPr>
                <w:sz w:val="11"/>
                <w:szCs w:val="11"/>
                <w:color w:val="auto"/>
              </w:rPr>
            </w:pPr>
          </w:p>
        </w:tc>
      </w:tr>
      <w:tr>
        <w:trPr>
          <w:trHeight w:val="124"/>
        </w:trPr>
        <w:tc>
          <w:tcPr>
            <w:tcW w:w="81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Total expenses</w:t>
            </w:r>
          </w:p>
        </w:tc>
        <w:tc>
          <w:tcPr>
            <w:tcW w:w="88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437,187</w:t>
            </w:r>
          </w:p>
        </w:tc>
        <w:tc>
          <w:tcPr>
            <w:tcW w:w="10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344,212</w:t>
            </w:r>
          </w:p>
        </w:tc>
        <w:tc>
          <w:tcPr>
            <w:tcW w:w="80" w:type="dxa"/>
            <w:vAlign w:val="bottom"/>
            <w:shd w:val="clear" w:color="auto" w:fill="CCEEFF"/>
          </w:tcPr>
          <w:p>
            <w:pPr>
              <w:spacing w:after="0"/>
              <w:rPr>
                <w:sz w:val="10"/>
                <w:szCs w:val="10"/>
                <w:color w:val="auto"/>
              </w:rPr>
            </w:pPr>
          </w:p>
        </w:tc>
      </w:tr>
      <w:tr>
        <w:trPr>
          <w:trHeight w:val="115"/>
        </w:trPr>
        <w:tc>
          <w:tcPr>
            <w:tcW w:w="8160" w:type="dxa"/>
            <w:vAlign w:val="bottom"/>
          </w:tcPr>
          <w:p>
            <w:pPr>
              <w:spacing w:after="0"/>
              <w:rPr>
                <w:sz w:val="20"/>
                <w:szCs w:val="20"/>
                <w:color w:val="auto"/>
              </w:rPr>
            </w:pPr>
            <w:r>
              <w:rPr>
                <w:rFonts w:ascii="Arial" w:cs="Arial" w:eastAsia="Arial" w:hAnsi="Arial"/>
                <w:sz w:val="10"/>
                <w:szCs w:val="10"/>
                <w:b w:val="1"/>
                <w:bCs w:val="1"/>
                <w:color w:val="auto"/>
              </w:rPr>
              <w:t>Other income (loss)</w:t>
            </w: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8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gain (loss), net</w:t>
            </w: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(46,256)</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(27,041)</w:t>
            </w:r>
          </w:p>
        </w:tc>
        <w:tc>
          <w:tcPr>
            <w:tcW w:w="80" w:type="dxa"/>
            <w:vAlign w:val="bottom"/>
            <w:shd w:val="clear" w:color="auto" w:fill="CCEEFF"/>
          </w:tcPr>
          <w:p>
            <w:pPr>
              <w:spacing w:after="0"/>
              <w:rPr>
                <w:sz w:val="11"/>
                <w:szCs w:val="11"/>
                <w:color w:val="auto"/>
              </w:rPr>
            </w:pPr>
          </w:p>
        </w:tc>
      </w:tr>
      <w:tr>
        <w:trPr>
          <w:trHeight w:val="135"/>
        </w:trPr>
        <w:tc>
          <w:tcPr>
            <w:tcW w:w="8160" w:type="dxa"/>
            <w:vAlign w:val="bottom"/>
          </w:tcPr>
          <w:p>
            <w:pPr>
              <w:ind w:left="140"/>
              <w:spacing w:after="0"/>
              <w:rPr>
                <w:sz w:val="20"/>
                <w:szCs w:val="20"/>
                <w:color w:val="auto"/>
              </w:rPr>
            </w:pPr>
            <w:r>
              <w:rPr>
                <w:rFonts w:ascii="Arial" w:cs="Arial" w:eastAsia="Arial" w:hAnsi="Arial"/>
                <w:sz w:val="10"/>
                <w:szCs w:val="10"/>
                <w:color w:val="auto"/>
              </w:rPr>
              <w:t>Equity method earnings (losses)</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27,427</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51,481</w:t>
            </w:r>
          </w:p>
        </w:tc>
        <w:tc>
          <w:tcPr>
            <w:tcW w:w="80" w:type="dxa"/>
            <w:vAlign w:val="bottom"/>
          </w:tcPr>
          <w:p>
            <w:pPr>
              <w:spacing w:after="0"/>
              <w:rPr>
                <w:sz w:val="11"/>
                <w:szCs w:val="11"/>
                <w:color w:val="auto"/>
              </w:rPr>
            </w:pPr>
          </w:p>
        </w:tc>
      </w:tr>
      <w:tr>
        <w:trPr>
          <w:trHeight w:val="135"/>
        </w:trPr>
        <w:tc>
          <w:tcPr>
            <w:tcW w:w="8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Equity method earnings (losses) - carried interest</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110,779</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11,169</w:t>
            </w:r>
          </w:p>
        </w:tc>
        <w:tc>
          <w:tcPr>
            <w:tcW w:w="80" w:type="dxa"/>
            <w:vAlign w:val="bottom"/>
            <w:shd w:val="clear" w:color="auto" w:fill="CCEEFF"/>
          </w:tcPr>
          <w:p>
            <w:pPr>
              <w:spacing w:after="0"/>
              <w:rPr>
                <w:sz w:val="11"/>
                <w:szCs w:val="11"/>
                <w:color w:val="auto"/>
              </w:rPr>
            </w:pPr>
          </w:p>
        </w:tc>
      </w:tr>
      <w:tr>
        <w:trPr>
          <w:trHeight w:val="124"/>
        </w:trPr>
        <w:tc>
          <w:tcPr>
            <w:tcW w:w="8160" w:type="dxa"/>
            <w:vAlign w:val="bottom"/>
          </w:tcPr>
          <w:p>
            <w:pPr>
              <w:spacing w:after="0"/>
              <w:rPr>
                <w:sz w:val="20"/>
                <w:szCs w:val="20"/>
                <w:color w:val="auto"/>
              </w:rPr>
            </w:pPr>
            <w:r>
              <w:rPr>
                <w:rFonts w:ascii="Arial" w:cs="Arial" w:eastAsia="Arial" w:hAnsi="Arial"/>
                <w:sz w:val="10"/>
                <w:szCs w:val="10"/>
                <w:b w:val="1"/>
                <w:bCs w:val="1"/>
                <w:color w:val="auto"/>
              </w:rPr>
              <w:t>Income (loss) before income taxes</w:t>
            </w:r>
          </w:p>
        </w:tc>
        <w:tc>
          <w:tcPr>
            <w:tcW w:w="8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(55,828)</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(71,416)</w:t>
            </w:r>
          </w:p>
        </w:tc>
        <w:tc>
          <w:tcPr>
            <w:tcW w:w="80" w:type="dxa"/>
            <w:vAlign w:val="bottom"/>
          </w:tcPr>
          <w:p>
            <w:pPr>
              <w:spacing w:after="0"/>
              <w:rPr>
                <w:sz w:val="10"/>
                <w:szCs w:val="10"/>
                <w:color w:val="auto"/>
              </w:rPr>
            </w:pPr>
          </w:p>
        </w:tc>
      </w:tr>
      <w:tr>
        <w:trPr>
          <w:trHeight w:val="135"/>
        </w:trPr>
        <w:tc>
          <w:tcPr>
            <w:tcW w:w="8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tax benefit (expense)</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2,518</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75,239</w:t>
            </w:r>
          </w:p>
        </w:tc>
        <w:tc>
          <w:tcPr>
            <w:tcW w:w="80" w:type="dxa"/>
            <w:vAlign w:val="bottom"/>
            <w:shd w:val="clear" w:color="auto" w:fill="CCEEFF"/>
          </w:tcPr>
          <w:p>
            <w:pPr>
              <w:spacing w:after="0"/>
              <w:rPr>
                <w:sz w:val="11"/>
                <w:szCs w:val="11"/>
                <w:color w:val="auto"/>
              </w:rPr>
            </w:pPr>
          </w:p>
        </w:tc>
      </w:tr>
      <w:tr>
        <w:trPr>
          <w:trHeight w:val="124"/>
        </w:trPr>
        <w:tc>
          <w:tcPr>
            <w:tcW w:w="8160" w:type="dxa"/>
            <w:vAlign w:val="bottom"/>
          </w:tcPr>
          <w:p>
            <w:pPr>
              <w:spacing w:after="0"/>
              <w:rPr>
                <w:sz w:val="20"/>
                <w:szCs w:val="20"/>
                <w:color w:val="auto"/>
              </w:rPr>
            </w:pPr>
            <w:r>
              <w:rPr>
                <w:rFonts w:ascii="Arial" w:cs="Arial" w:eastAsia="Arial" w:hAnsi="Arial"/>
                <w:sz w:val="10"/>
                <w:szCs w:val="10"/>
                <w:b w:val="1"/>
                <w:bCs w:val="1"/>
                <w:color w:val="auto"/>
              </w:rPr>
              <w:t>Income (loss) from continuing operations</w:t>
            </w:r>
          </w:p>
        </w:tc>
        <w:tc>
          <w:tcPr>
            <w:tcW w:w="8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(53,310)</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3,823</w:t>
            </w:r>
          </w:p>
        </w:tc>
        <w:tc>
          <w:tcPr>
            <w:tcW w:w="80" w:type="dxa"/>
            <w:vAlign w:val="bottom"/>
          </w:tcPr>
          <w:p>
            <w:pPr>
              <w:spacing w:after="0"/>
              <w:rPr>
                <w:sz w:val="10"/>
                <w:szCs w:val="10"/>
                <w:color w:val="auto"/>
              </w:rPr>
            </w:pPr>
          </w:p>
        </w:tc>
      </w:tr>
      <w:tr>
        <w:trPr>
          <w:trHeight w:val="135"/>
        </w:trPr>
        <w:tc>
          <w:tcPr>
            <w:tcW w:w="8160" w:type="dxa"/>
            <w:vAlign w:val="bottom"/>
            <w:shd w:val="clear" w:color="auto" w:fill="CCEEFF"/>
          </w:tcPr>
          <w:p>
            <w:pPr>
              <w:spacing w:after="0"/>
              <w:rPr>
                <w:sz w:val="20"/>
                <w:szCs w:val="20"/>
                <w:color w:val="auto"/>
              </w:rPr>
            </w:pPr>
            <w:r>
              <w:rPr>
                <w:rFonts w:ascii="Arial" w:cs="Arial" w:eastAsia="Arial" w:hAnsi="Arial"/>
                <w:sz w:val="10"/>
                <w:szCs w:val="10"/>
                <w:color w:val="auto"/>
              </w:rPr>
              <w:t>Income (loss) from discontinued operations</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(14,771)</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(98,906)</w:t>
            </w:r>
          </w:p>
        </w:tc>
        <w:tc>
          <w:tcPr>
            <w:tcW w:w="80" w:type="dxa"/>
            <w:vAlign w:val="bottom"/>
            <w:shd w:val="clear" w:color="auto" w:fill="CCEEFF"/>
          </w:tcPr>
          <w:p>
            <w:pPr>
              <w:spacing w:after="0"/>
              <w:rPr>
                <w:sz w:val="11"/>
                <w:szCs w:val="11"/>
                <w:color w:val="auto"/>
              </w:rPr>
            </w:pPr>
          </w:p>
        </w:tc>
      </w:tr>
      <w:tr>
        <w:trPr>
          <w:trHeight w:val="124"/>
        </w:trPr>
        <w:tc>
          <w:tcPr>
            <w:tcW w:w="8160" w:type="dxa"/>
            <w:vAlign w:val="bottom"/>
          </w:tcPr>
          <w:p>
            <w:pPr>
              <w:spacing w:after="0"/>
              <w:rPr>
                <w:sz w:val="20"/>
                <w:szCs w:val="20"/>
                <w:color w:val="auto"/>
              </w:rPr>
            </w:pPr>
            <w:r>
              <w:rPr>
                <w:rFonts w:ascii="Arial" w:cs="Arial" w:eastAsia="Arial" w:hAnsi="Arial"/>
                <w:sz w:val="10"/>
                <w:szCs w:val="10"/>
                <w:b w:val="1"/>
                <w:bCs w:val="1"/>
                <w:color w:val="auto"/>
              </w:rPr>
              <w:t>Net income (loss)</w:t>
            </w:r>
          </w:p>
        </w:tc>
        <w:tc>
          <w:tcPr>
            <w:tcW w:w="8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(68,081)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(95,083)</w:t>
            </w:r>
          </w:p>
        </w:tc>
        <w:tc>
          <w:tcPr>
            <w:tcW w:w="80" w:type="dxa"/>
            <w:vAlign w:val="bottom"/>
          </w:tcPr>
          <w:p>
            <w:pPr>
              <w:spacing w:after="0"/>
              <w:rPr>
                <w:sz w:val="10"/>
                <w:szCs w:val="10"/>
                <w:color w:val="auto"/>
              </w:rPr>
            </w:pPr>
          </w:p>
        </w:tc>
      </w:tr>
      <w:tr>
        <w:trPr>
          <w:trHeight w:val="135"/>
        </w:trPr>
        <w:tc>
          <w:tcPr>
            <w:tcW w:w="816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 attributable to noncontrolling interests:</w:t>
            </w: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8160" w:type="dxa"/>
            <w:vAlign w:val="bottom"/>
          </w:tcPr>
          <w:p>
            <w:pPr>
              <w:ind w:left="140"/>
              <w:spacing w:after="0"/>
              <w:rPr>
                <w:sz w:val="20"/>
                <w:szCs w:val="20"/>
                <w:color w:val="auto"/>
              </w:rPr>
            </w:pPr>
            <w:r>
              <w:rPr>
                <w:rFonts w:ascii="Arial" w:cs="Arial" w:eastAsia="Arial" w:hAnsi="Arial"/>
                <w:sz w:val="10"/>
                <w:szCs w:val="10"/>
                <w:color w:val="auto"/>
              </w:rPr>
              <w:t>Redeemable noncontrolling interests</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(14,327)</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6,025</w:t>
            </w:r>
          </w:p>
        </w:tc>
        <w:tc>
          <w:tcPr>
            <w:tcW w:w="80" w:type="dxa"/>
            <w:vAlign w:val="bottom"/>
          </w:tcPr>
          <w:p>
            <w:pPr>
              <w:spacing w:after="0"/>
              <w:rPr>
                <w:sz w:val="11"/>
                <w:szCs w:val="11"/>
                <w:color w:val="auto"/>
              </w:rPr>
            </w:pPr>
          </w:p>
        </w:tc>
      </w:tr>
      <w:tr>
        <w:trPr>
          <w:trHeight w:val="135"/>
        </w:trPr>
        <w:tc>
          <w:tcPr>
            <w:tcW w:w="8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Investment entities</w:t>
            </w: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(29,102)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36,616</w:t>
            </w:r>
          </w:p>
        </w:tc>
        <w:tc>
          <w:tcPr>
            <w:tcW w:w="80" w:type="dxa"/>
            <w:vAlign w:val="bottom"/>
            <w:shd w:val="clear" w:color="auto" w:fill="CCEEFF"/>
          </w:tcPr>
          <w:p>
            <w:pPr>
              <w:spacing w:after="0"/>
              <w:rPr>
                <w:sz w:val="11"/>
                <w:szCs w:val="11"/>
                <w:color w:val="auto"/>
              </w:rPr>
            </w:pPr>
          </w:p>
        </w:tc>
      </w:tr>
      <w:tr>
        <w:trPr>
          <w:trHeight w:val="135"/>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Operating Company</w:t>
            </w: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(3,090)</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(14,980)</w:t>
            </w:r>
          </w:p>
        </w:tc>
        <w:tc>
          <w:tcPr>
            <w:tcW w:w="80" w:type="dxa"/>
            <w:vAlign w:val="bottom"/>
            <w:tcBorders>
              <w:bottom w:val="single" w:sz="8" w:color="CCEEFF"/>
            </w:tcBorders>
          </w:tcPr>
          <w:p>
            <w:pPr>
              <w:spacing w:after="0"/>
              <w:rPr>
                <w:sz w:val="11"/>
                <w:szCs w:val="11"/>
                <w:color w:val="auto"/>
              </w:rPr>
            </w:pPr>
          </w:p>
        </w:tc>
      </w:tr>
      <w:tr>
        <w:trPr>
          <w:trHeight w:val="124"/>
        </w:trPr>
        <w:tc>
          <w:tcPr>
            <w:tcW w:w="81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 (loss) attributable to DigitalBridge Group, Inc.</w:t>
            </w: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(21,562)</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(122,744)</w:t>
            </w:r>
          </w:p>
        </w:tc>
        <w:tc>
          <w:tcPr>
            <w:tcW w:w="80" w:type="dxa"/>
            <w:vAlign w:val="bottom"/>
            <w:shd w:val="clear" w:color="auto" w:fill="CCEEFF"/>
          </w:tcPr>
          <w:p>
            <w:pPr>
              <w:spacing w:after="0"/>
              <w:rPr>
                <w:sz w:val="10"/>
                <w:szCs w:val="10"/>
                <w:color w:val="auto"/>
              </w:rPr>
            </w:pPr>
          </w:p>
        </w:tc>
      </w:tr>
      <w:tr>
        <w:trPr>
          <w:trHeight w:val="135"/>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Preferred stock dividends</w:t>
            </w: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15,759</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18,516</w:t>
            </w:r>
          </w:p>
        </w:tc>
        <w:tc>
          <w:tcPr>
            <w:tcW w:w="80" w:type="dxa"/>
            <w:vAlign w:val="bottom"/>
            <w:tcBorders>
              <w:bottom w:val="single" w:sz="8" w:color="CCEEFF"/>
            </w:tcBorders>
          </w:tcPr>
          <w:p>
            <w:pPr>
              <w:spacing w:after="0"/>
              <w:rPr>
                <w:sz w:val="11"/>
                <w:szCs w:val="11"/>
                <w:color w:val="auto"/>
              </w:rPr>
            </w:pPr>
          </w:p>
        </w:tc>
      </w:tr>
      <w:tr>
        <w:trPr>
          <w:trHeight w:val="144"/>
        </w:trPr>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Net income (loss) attributable to common stockholders</w:t>
            </w:r>
          </w:p>
        </w:tc>
        <w:tc>
          <w:tcPr>
            <w:tcW w:w="88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(37,321)</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(141,260)</w:t>
            </w:r>
          </w:p>
        </w:tc>
        <w:tc>
          <w:tcPr>
            <w:tcW w:w="80" w:type="dxa"/>
            <w:vAlign w:val="bottom"/>
            <w:tcBorders>
              <w:bottom w:val="single" w:sz="8" w:color="CCEEFF"/>
            </w:tcBorders>
            <w:shd w:val="clear" w:color="auto" w:fill="CCEEFF"/>
          </w:tcPr>
          <w:p>
            <w:pPr>
              <w:spacing w:after="0"/>
              <w:rPr>
                <w:sz w:val="12"/>
                <w:szCs w:val="12"/>
                <w:color w:val="auto"/>
              </w:rPr>
            </w:pPr>
          </w:p>
        </w:tc>
      </w:tr>
      <w:tr>
        <w:trPr>
          <w:trHeight w:val="113"/>
        </w:trPr>
        <w:tc>
          <w:tcPr>
            <w:tcW w:w="8160" w:type="dxa"/>
            <w:vAlign w:val="bottom"/>
          </w:tcPr>
          <w:p>
            <w:pPr>
              <w:spacing w:after="0" w:line="113" w:lineRule="exact"/>
              <w:rPr>
                <w:sz w:val="20"/>
                <w:szCs w:val="20"/>
                <w:color w:val="auto"/>
              </w:rPr>
            </w:pPr>
            <w:r>
              <w:rPr>
                <w:rFonts w:ascii="Arial" w:cs="Arial" w:eastAsia="Arial" w:hAnsi="Arial"/>
                <w:sz w:val="10"/>
                <w:szCs w:val="10"/>
                <w:b w:val="1"/>
                <w:bCs w:val="1"/>
                <w:color w:val="auto"/>
              </w:rPr>
              <w:t>Loss per share—basic</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5"/>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Loss from continuing operations per share—basic</w:t>
            </w:r>
          </w:p>
        </w:tc>
        <w:tc>
          <w:tcPr>
            <w:tcW w:w="88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(0.04)</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47"/>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Net loss attributable to common stockholders per share—basic</w:t>
            </w:r>
          </w:p>
        </w:tc>
        <w:tc>
          <w:tcPr>
            <w:tcW w:w="88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(0.06)</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(0.29)</w:t>
            </w:r>
          </w:p>
        </w:tc>
        <w:tc>
          <w:tcPr>
            <w:tcW w:w="80" w:type="dxa"/>
            <w:vAlign w:val="bottom"/>
            <w:tcBorders>
              <w:bottom w:val="single" w:sz="8" w:color="CCEEFF"/>
            </w:tcBorders>
          </w:tcPr>
          <w:p>
            <w:pPr>
              <w:spacing w:after="0"/>
              <w:rPr>
                <w:sz w:val="12"/>
                <w:szCs w:val="12"/>
                <w:color w:val="auto"/>
              </w:rPr>
            </w:pPr>
          </w:p>
        </w:tc>
      </w:tr>
      <w:tr>
        <w:trPr>
          <w:trHeight w:val="117"/>
        </w:trPr>
        <w:tc>
          <w:tcPr>
            <w:tcW w:w="81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Loss per share—diluted</w:t>
            </w:r>
          </w:p>
        </w:tc>
        <w:tc>
          <w:tcPr>
            <w:tcW w:w="8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1"/>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Loss from continuing operations per share—diluted</w:t>
            </w:r>
          </w:p>
        </w:tc>
        <w:tc>
          <w:tcPr>
            <w:tcW w:w="88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(0.04)</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(0.02)</w:t>
            </w:r>
          </w:p>
        </w:tc>
        <w:tc>
          <w:tcPr>
            <w:tcW w:w="80" w:type="dxa"/>
            <w:vAlign w:val="bottom"/>
            <w:tcBorders>
              <w:bottom w:val="single" w:sz="8" w:color="CCEEFF"/>
            </w:tcBorders>
          </w:tcPr>
          <w:p>
            <w:pPr>
              <w:spacing w:after="0"/>
              <w:rPr>
                <w:sz w:val="13"/>
                <w:szCs w:val="13"/>
                <w:color w:val="auto"/>
              </w:rPr>
            </w:pPr>
          </w:p>
        </w:tc>
      </w:tr>
      <w:tr>
        <w:trPr>
          <w:trHeight w:val="155"/>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Net loss attributable to common stockholders per share—diluted</w:t>
            </w:r>
          </w:p>
        </w:tc>
        <w:tc>
          <w:tcPr>
            <w:tcW w:w="88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(0.06)</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(0.29)</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13"/>
        </w:trPr>
        <w:tc>
          <w:tcPr>
            <w:tcW w:w="8160" w:type="dxa"/>
            <w:vAlign w:val="bottom"/>
          </w:tcPr>
          <w:p>
            <w:pPr>
              <w:spacing w:after="0" w:line="113" w:lineRule="exact"/>
              <w:rPr>
                <w:sz w:val="20"/>
                <w:szCs w:val="20"/>
                <w:color w:val="auto"/>
              </w:rPr>
            </w:pPr>
            <w:r>
              <w:rPr>
                <w:rFonts w:ascii="Arial" w:cs="Arial" w:eastAsia="Arial" w:hAnsi="Arial"/>
                <w:sz w:val="10"/>
                <w:szCs w:val="10"/>
                <w:b w:val="1"/>
                <w:bCs w:val="1"/>
                <w:color w:val="auto"/>
              </w:rPr>
              <w:t>Weighted average number of shares</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5"/>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Basic</w:t>
            </w:r>
          </w:p>
        </w:tc>
        <w:tc>
          <w:tcPr>
            <w:tcW w:w="8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615,932</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479,643</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31"/>
        </w:trPr>
        <w:tc>
          <w:tcPr>
            <w:tcW w:w="8160" w:type="dxa"/>
            <w:vAlign w:val="bottom"/>
          </w:tcPr>
          <w:p>
            <w:pPr>
              <w:ind w:left="140"/>
              <w:spacing w:after="0"/>
              <w:rPr>
                <w:sz w:val="20"/>
                <w:szCs w:val="20"/>
                <w:color w:val="auto"/>
              </w:rPr>
            </w:pPr>
            <w:r>
              <w:rPr>
                <w:rFonts w:ascii="Arial" w:cs="Arial" w:eastAsia="Arial" w:hAnsi="Arial"/>
                <w:sz w:val="10"/>
                <w:szCs w:val="10"/>
                <w:color w:val="auto"/>
              </w:rPr>
              <w:t>Diluted</w:t>
            </w: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615,932</w:t>
            </w: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479,643</w:t>
            </w:r>
          </w:p>
        </w:tc>
        <w:tc>
          <w:tcPr>
            <w:tcW w:w="80" w:type="dxa"/>
            <w:vAlign w:val="bottom"/>
          </w:tcPr>
          <w:p>
            <w:pPr>
              <w:spacing w:after="0"/>
              <w:rPr>
                <w:sz w:val="11"/>
                <w:szCs w:val="11"/>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4</w:t>
      </w:r>
    </w:p>
    <w:p>
      <w:pPr>
        <w:sectPr>
          <w:pgSz w:w="11900" w:h="16838" w:orient="portrait"/>
          <w:cols w:equalWidth="0" w:num="1">
            <w:col w:w="11300"/>
          </w:cols>
          <w:pgMar w:left="300" w:top="995" w:right="29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191135</wp:posOffset>
            </wp:positionH>
            <wp:positionV relativeFrom="page">
              <wp:posOffset>186055</wp:posOffset>
            </wp:positionV>
            <wp:extent cx="1022985" cy="280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2985" cy="280035"/>
                    </a:xfrm>
                    <a:prstGeom prst="rect">
                      <a:avLst/>
                    </a:prstGeom>
                    <a:noFill/>
                  </pic:spPr>
                </pic:pic>
              </a:graphicData>
            </a:graphic>
          </wp:anchor>
        </w:drawing>
        <w:t>Distributable Earnings (DE)</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(In thousands, except per share data, unaudited)</w:t>
      </w:r>
    </w:p>
    <w:p>
      <w:pPr>
        <w:spacing w:after="0" w:line="76"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8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5"/>
          </w:tcPr>
          <w:p>
            <w:pPr>
              <w:ind w:left="580"/>
              <w:spacing w:after="0"/>
              <w:rPr>
                <w:sz w:val="20"/>
                <w:szCs w:val="20"/>
                <w:color w:val="auto"/>
              </w:rPr>
            </w:pPr>
            <w:r>
              <w:rPr>
                <w:rFonts w:ascii="Arial" w:cs="Arial" w:eastAsia="Arial" w:hAnsi="Arial"/>
                <w:sz w:val="8"/>
                <w:szCs w:val="8"/>
                <w:b w:val="1"/>
                <w:bCs w:val="1"/>
                <w:color w:val="auto"/>
              </w:rPr>
              <w:t>Three Months Ended</w:t>
            </w:r>
          </w:p>
        </w:tc>
      </w:tr>
      <w:tr>
        <w:trPr>
          <w:trHeight w:val="107"/>
        </w:trPr>
        <w:tc>
          <w:tcPr>
            <w:tcW w:w="88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8"/>
                <w:szCs w:val="8"/>
                <w:b w:val="1"/>
                <w:bCs w:val="1"/>
                <w:color w:val="auto"/>
              </w:rPr>
              <w:t>June 30, 2022</w:t>
            </w:r>
          </w:p>
        </w:tc>
        <w:tc>
          <w:tcPr>
            <w:tcW w:w="2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231"/>
              <w:spacing w:after="0"/>
              <w:rPr>
                <w:sz w:val="20"/>
                <w:szCs w:val="20"/>
                <w:color w:val="auto"/>
              </w:rPr>
            </w:pPr>
            <w:r>
              <w:rPr>
                <w:rFonts w:ascii="Arial" w:cs="Arial" w:eastAsia="Arial" w:hAnsi="Arial"/>
                <w:sz w:val="8"/>
                <w:szCs w:val="8"/>
                <w:b w:val="1"/>
                <w:bCs w:val="1"/>
                <w:color w:val="auto"/>
              </w:rPr>
              <w:t>June 30, 2021</w:t>
            </w:r>
          </w:p>
        </w:tc>
        <w:tc>
          <w:tcPr>
            <w:tcW w:w="80" w:type="dxa"/>
            <w:vAlign w:val="bottom"/>
          </w:tcPr>
          <w:p>
            <w:pPr>
              <w:spacing w:after="0"/>
              <w:rPr>
                <w:sz w:val="9"/>
                <w:szCs w:val="9"/>
                <w:color w:val="auto"/>
              </w:rPr>
            </w:pPr>
          </w:p>
        </w:tc>
      </w:tr>
      <w:tr>
        <w:trPr>
          <w:trHeight w:val="126"/>
        </w:trPr>
        <w:tc>
          <w:tcPr>
            <w:tcW w:w="886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0"/>
                <w:szCs w:val="10"/>
                <w:color w:val="auto"/>
              </w:rPr>
              <w:t>Net income (loss) attributable to common stockholders</w:t>
            </w:r>
          </w:p>
        </w:tc>
        <w:tc>
          <w:tcPr>
            <w:tcW w:w="1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(37,321)</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(141,260)</w:t>
            </w:r>
          </w:p>
        </w:tc>
        <w:tc>
          <w:tcPr>
            <w:tcW w:w="80" w:type="dxa"/>
            <w:vAlign w:val="bottom"/>
            <w:tcBorders>
              <w:top w:val="single" w:sz="8" w:color="CCEEFF"/>
            </w:tcBorders>
            <w:shd w:val="clear" w:color="auto" w:fill="CCEEFF"/>
          </w:tcPr>
          <w:p>
            <w:pPr>
              <w:spacing w:after="0"/>
              <w:rPr>
                <w:sz w:val="10"/>
                <w:szCs w:val="10"/>
                <w:color w:val="auto"/>
              </w:rPr>
            </w:pPr>
          </w:p>
        </w:tc>
      </w:tr>
      <w:tr>
        <w:trPr>
          <w:trHeight w:val="132"/>
        </w:trPr>
        <w:tc>
          <w:tcPr>
            <w:tcW w:w="886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Net income (loss) attributable to noncontrolling common interests in Operating Company</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(3,090)</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(14,980)</w:t>
            </w:r>
          </w:p>
        </w:tc>
        <w:tc>
          <w:tcPr>
            <w:tcW w:w="80" w:type="dxa"/>
            <w:vAlign w:val="bottom"/>
            <w:tcBorders>
              <w:bottom w:val="single" w:sz="8" w:color="CCEEFF"/>
            </w:tcBorders>
          </w:tcPr>
          <w:p>
            <w:pPr>
              <w:spacing w:after="0"/>
              <w:rPr>
                <w:sz w:val="11"/>
                <w:szCs w:val="11"/>
                <w:color w:val="auto"/>
              </w:rPr>
            </w:pPr>
          </w:p>
        </w:tc>
      </w:tr>
      <w:tr>
        <w:trPr>
          <w:trHeight w:val="127"/>
        </w:trPr>
        <w:tc>
          <w:tcPr>
            <w:tcW w:w="88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 (loss) attributable to common interests in Operating Company and common stockholders</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(40,411)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(156,240)</w:t>
            </w:r>
          </w:p>
        </w:tc>
        <w:tc>
          <w:tcPr>
            <w:tcW w:w="80" w:type="dxa"/>
            <w:vAlign w:val="bottom"/>
            <w:shd w:val="clear" w:color="auto" w:fill="CCEEFF"/>
          </w:tcPr>
          <w:p>
            <w:pPr>
              <w:spacing w:after="0"/>
              <w:rPr>
                <w:sz w:val="11"/>
                <w:szCs w:val="11"/>
                <w:color w:val="auto"/>
              </w:rPr>
            </w:pPr>
          </w:p>
        </w:tc>
      </w:tr>
      <w:tr>
        <w:trPr>
          <w:trHeight w:val="132"/>
        </w:trPr>
        <w:tc>
          <w:tcPr>
            <w:tcW w:w="8860" w:type="dxa"/>
            <w:vAlign w:val="bottom"/>
          </w:tcPr>
          <w:p>
            <w:pPr>
              <w:spacing w:after="0"/>
              <w:rPr>
                <w:sz w:val="20"/>
                <w:szCs w:val="20"/>
                <w:color w:val="auto"/>
              </w:rPr>
            </w:pPr>
            <w:r>
              <w:rPr>
                <w:rFonts w:ascii="Arial" w:cs="Arial" w:eastAsia="Arial" w:hAnsi="Arial"/>
                <w:sz w:val="10"/>
                <w:szCs w:val="10"/>
                <w:color w:val="auto"/>
              </w:rPr>
              <w:t>Adjustments for Distributable Earnings (DE):</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8"/>
        </w:trPr>
        <w:tc>
          <w:tcPr>
            <w:tcW w:w="88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Transaction-related and restructuring charges</w:t>
            </w:r>
            <w:r>
              <w:rPr>
                <w:rFonts w:ascii="Arial" w:cs="Arial" w:eastAsia="Arial" w:hAnsi="Arial"/>
                <w:sz w:val="12"/>
                <w:szCs w:val="12"/>
                <w:color w:val="auto"/>
                <w:vertAlign w:val="superscript"/>
              </w:rPr>
              <w:t>(1)</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5,174</w:t>
            </w:r>
          </w:p>
        </w:tc>
        <w:tc>
          <w:tcPr>
            <w:tcW w:w="80" w:type="dxa"/>
            <w:vAlign w:val="bottom"/>
            <w:shd w:val="clear" w:color="auto" w:fill="CCEEFF"/>
          </w:tcPr>
          <w:p>
            <w:pPr>
              <w:spacing w:after="0"/>
              <w:rPr>
                <w:sz w:val="12"/>
                <w:szCs w:val="12"/>
                <w:color w:val="auto"/>
              </w:rPr>
            </w:pPr>
          </w:p>
        </w:tc>
      </w:tr>
      <w:tr>
        <w:trPr>
          <w:trHeight w:val="132"/>
        </w:trPr>
        <w:tc>
          <w:tcPr>
            <w:tcW w:w="8860" w:type="dxa"/>
            <w:vAlign w:val="bottom"/>
          </w:tcPr>
          <w:p>
            <w:pPr>
              <w:ind w:left="140"/>
              <w:spacing w:after="0"/>
              <w:rPr>
                <w:sz w:val="20"/>
                <w:szCs w:val="20"/>
                <w:color w:val="auto"/>
              </w:rPr>
            </w:pPr>
            <w:r>
              <w:rPr>
                <w:rFonts w:ascii="Arial" w:cs="Arial" w:eastAsia="Arial" w:hAnsi="Arial"/>
                <w:sz w:val="10"/>
                <w:szCs w:val="10"/>
                <w:color w:val="auto"/>
              </w:rPr>
              <w:t>Non-real estate (gains) losses, excluding realized gains or losses of digital assets within the Corporate and Other segment</w:t>
            </w: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(58,775)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(6,485)</w:t>
            </w:r>
          </w:p>
        </w:tc>
        <w:tc>
          <w:tcPr>
            <w:tcW w:w="80" w:type="dxa"/>
            <w:vAlign w:val="bottom"/>
          </w:tcPr>
          <w:p>
            <w:pPr>
              <w:spacing w:after="0"/>
              <w:rPr>
                <w:sz w:val="11"/>
                <w:szCs w:val="11"/>
                <w:color w:val="auto"/>
              </w:rPr>
            </w:pPr>
          </w:p>
        </w:tc>
      </w:tr>
      <w:tr>
        <w:trPr>
          <w:trHeight w:val="138"/>
        </w:trPr>
        <w:tc>
          <w:tcPr>
            <w:tcW w:w="88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 unrealized carried interest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13,433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(151,773)</w:t>
            </w:r>
          </w:p>
        </w:tc>
        <w:tc>
          <w:tcPr>
            <w:tcW w:w="80" w:type="dxa"/>
            <w:vAlign w:val="bottom"/>
            <w:shd w:val="clear" w:color="auto" w:fill="CCEEFF"/>
          </w:tcPr>
          <w:p>
            <w:pPr>
              <w:spacing w:after="0"/>
              <w:rPr>
                <w:sz w:val="12"/>
                <w:szCs w:val="12"/>
                <w:color w:val="auto"/>
              </w:rPr>
            </w:pPr>
          </w:p>
        </w:tc>
      </w:tr>
      <w:tr>
        <w:trPr>
          <w:trHeight w:val="132"/>
        </w:trPr>
        <w:tc>
          <w:tcPr>
            <w:tcW w:w="8860" w:type="dxa"/>
            <w:vAlign w:val="bottom"/>
          </w:tcPr>
          <w:p>
            <w:pPr>
              <w:ind w:left="140"/>
              <w:spacing w:after="0"/>
              <w:rPr>
                <w:sz w:val="20"/>
                <w:szCs w:val="20"/>
                <w:color w:val="auto"/>
              </w:rPr>
            </w:pPr>
            <w:r>
              <w:rPr>
                <w:rFonts w:ascii="Arial" w:cs="Arial" w:eastAsia="Arial" w:hAnsi="Arial"/>
                <w:sz w:val="10"/>
                <w:szCs w:val="10"/>
                <w:color w:val="auto"/>
              </w:rPr>
              <w:t>Equity-based compensation expense</w:t>
            </w: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9,344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11,642</w:t>
            </w:r>
          </w:p>
        </w:tc>
        <w:tc>
          <w:tcPr>
            <w:tcW w:w="80" w:type="dxa"/>
            <w:vAlign w:val="bottom"/>
          </w:tcPr>
          <w:p>
            <w:pPr>
              <w:spacing w:after="0"/>
              <w:rPr>
                <w:sz w:val="11"/>
                <w:szCs w:val="11"/>
                <w:color w:val="auto"/>
              </w:rPr>
            </w:pPr>
          </w:p>
        </w:tc>
      </w:tr>
      <w:tr>
        <w:trPr>
          <w:trHeight w:val="138"/>
        </w:trPr>
        <w:tc>
          <w:tcPr>
            <w:tcW w:w="88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155,909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170,454</w:t>
            </w:r>
          </w:p>
        </w:tc>
        <w:tc>
          <w:tcPr>
            <w:tcW w:w="80" w:type="dxa"/>
            <w:vAlign w:val="bottom"/>
            <w:shd w:val="clear" w:color="auto" w:fill="CCEEFF"/>
          </w:tcPr>
          <w:p>
            <w:pPr>
              <w:spacing w:after="0"/>
              <w:rPr>
                <w:sz w:val="12"/>
                <w:szCs w:val="12"/>
                <w:color w:val="auto"/>
              </w:rPr>
            </w:pPr>
          </w:p>
        </w:tc>
      </w:tr>
      <w:tr>
        <w:trPr>
          <w:trHeight w:val="132"/>
        </w:trPr>
        <w:tc>
          <w:tcPr>
            <w:tcW w:w="8860" w:type="dxa"/>
            <w:vAlign w:val="bottom"/>
          </w:tcPr>
          <w:p>
            <w:pPr>
              <w:ind w:left="140"/>
              <w:spacing w:after="0"/>
              <w:rPr>
                <w:sz w:val="20"/>
                <w:szCs w:val="20"/>
                <w:color w:val="auto"/>
              </w:rPr>
            </w:pPr>
            <w:r>
              <w:rPr>
                <w:rFonts w:ascii="Arial" w:cs="Arial" w:eastAsia="Arial" w:hAnsi="Arial"/>
                <w:sz w:val="10"/>
                <w:szCs w:val="10"/>
                <w:color w:val="auto"/>
              </w:rPr>
              <w:t>Straight-line rent revenue and expense</w:t>
            </w: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(2,956)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(2,309)</w:t>
            </w:r>
          </w:p>
        </w:tc>
        <w:tc>
          <w:tcPr>
            <w:tcW w:w="80" w:type="dxa"/>
            <w:vAlign w:val="bottom"/>
          </w:tcPr>
          <w:p>
            <w:pPr>
              <w:spacing w:after="0"/>
              <w:rPr>
                <w:sz w:val="11"/>
                <w:szCs w:val="11"/>
                <w:color w:val="auto"/>
              </w:rPr>
            </w:pPr>
          </w:p>
        </w:tc>
      </w:tr>
      <w:tr>
        <w:trPr>
          <w:trHeight w:val="138"/>
        </w:trPr>
        <w:tc>
          <w:tcPr>
            <w:tcW w:w="88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Amortization of acquired above- and below-market lease values, net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(1,498)</w:t>
            </w:r>
          </w:p>
        </w:tc>
        <w:tc>
          <w:tcPr>
            <w:tcW w:w="80" w:type="dxa"/>
            <w:vAlign w:val="bottom"/>
            <w:shd w:val="clear" w:color="auto" w:fill="CCEEFF"/>
          </w:tcPr>
          <w:p>
            <w:pPr>
              <w:spacing w:after="0"/>
              <w:rPr>
                <w:sz w:val="12"/>
                <w:szCs w:val="12"/>
                <w:color w:val="auto"/>
              </w:rPr>
            </w:pPr>
          </w:p>
        </w:tc>
      </w:tr>
      <w:tr>
        <w:trPr>
          <w:trHeight w:val="132"/>
        </w:trPr>
        <w:tc>
          <w:tcPr>
            <w:tcW w:w="8860" w:type="dxa"/>
            <w:vAlign w:val="bottom"/>
          </w:tcPr>
          <w:p>
            <w:pPr>
              <w:ind w:left="140"/>
              <w:spacing w:after="0"/>
              <w:rPr>
                <w:sz w:val="20"/>
                <w:szCs w:val="20"/>
                <w:color w:val="auto"/>
              </w:rPr>
            </w:pPr>
            <w:r>
              <w:rPr>
                <w:rFonts w:ascii="Arial" w:cs="Arial" w:eastAsia="Arial" w:hAnsi="Arial"/>
                <w:sz w:val="10"/>
                <w:szCs w:val="10"/>
                <w:color w:val="auto"/>
              </w:rPr>
              <w:t>Impairment loss</w:t>
            </w: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12,184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242,903</w:t>
            </w:r>
          </w:p>
        </w:tc>
        <w:tc>
          <w:tcPr>
            <w:tcW w:w="80" w:type="dxa"/>
            <w:vAlign w:val="bottom"/>
          </w:tcPr>
          <w:p>
            <w:pPr>
              <w:spacing w:after="0"/>
              <w:rPr>
                <w:sz w:val="11"/>
                <w:szCs w:val="11"/>
                <w:color w:val="auto"/>
              </w:rPr>
            </w:pPr>
          </w:p>
        </w:tc>
      </w:tr>
      <w:tr>
        <w:trPr>
          <w:trHeight w:val="138"/>
        </w:trPr>
        <w:tc>
          <w:tcPr>
            <w:tcW w:w="88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Gain from sales of real estate</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(2,969)</w:t>
            </w:r>
          </w:p>
        </w:tc>
        <w:tc>
          <w:tcPr>
            <w:tcW w:w="80" w:type="dxa"/>
            <w:vAlign w:val="bottom"/>
            <w:shd w:val="clear" w:color="auto" w:fill="CCEEFF"/>
          </w:tcPr>
          <w:p>
            <w:pPr>
              <w:spacing w:after="0"/>
              <w:rPr>
                <w:sz w:val="12"/>
                <w:szCs w:val="12"/>
                <w:color w:val="auto"/>
              </w:rPr>
            </w:pPr>
          </w:p>
        </w:tc>
      </w:tr>
      <w:tr>
        <w:trPr>
          <w:trHeight w:val="132"/>
        </w:trPr>
        <w:tc>
          <w:tcPr>
            <w:tcW w:w="8860" w:type="dxa"/>
            <w:vAlign w:val="bottom"/>
          </w:tcPr>
          <w:p>
            <w:pPr>
              <w:ind w:left="140"/>
              <w:spacing w:after="0"/>
              <w:rPr>
                <w:sz w:val="20"/>
                <w:szCs w:val="20"/>
                <w:color w:val="auto"/>
              </w:rPr>
            </w:pPr>
            <w:r>
              <w:rPr>
                <w:rFonts w:ascii="Arial" w:cs="Arial" w:eastAsia="Arial" w:hAnsi="Arial"/>
                <w:sz w:val="10"/>
                <w:szCs w:val="10"/>
                <w:color w:val="auto"/>
              </w:rPr>
              <w:t>Non-revenue enhancing capital expenditures</w:t>
            </w: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(13,377)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(764)</w:t>
            </w:r>
          </w:p>
        </w:tc>
        <w:tc>
          <w:tcPr>
            <w:tcW w:w="80" w:type="dxa"/>
            <w:vAlign w:val="bottom"/>
          </w:tcPr>
          <w:p>
            <w:pPr>
              <w:spacing w:after="0"/>
              <w:rPr>
                <w:sz w:val="11"/>
                <w:szCs w:val="11"/>
                <w:color w:val="auto"/>
              </w:rPr>
            </w:pPr>
          </w:p>
        </w:tc>
      </w:tr>
      <w:tr>
        <w:trPr>
          <w:trHeight w:val="138"/>
        </w:trPr>
        <w:tc>
          <w:tcPr>
            <w:tcW w:w="88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Debt prepayment penalties and amortization of deferred financing costs and debt premiums and discounts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5,238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10,196</w:t>
            </w:r>
          </w:p>
        </w:tc>
        <w:tc>
          <w:tcPr>
            <w:tcW w:w="80" w:type="dxa"/>
            <w:vAlign w:val="bottom"/>
            <w:shd w:val="clear" w:color="auto" w:fill="CCEEFF"/>
          </w:tcPr>
          <w:p>
            <w:pPr>
              <w:spacing w:after="0"/>
              <w:rPr>
                <w:sz w:val="12"/>
                <w:szCs w:val="12"/>
                <w:color w:val="auto"/>
              </w:rPr>
            </w:pPr>
          </w:p>
        </w:tc>
      </w:tr>
      <w:tr>
        <w:trPr>
          <w:trHeight w:val="132"/>
        </w:trPr>
        <w:tc>
          <w:tcPr>
            <w:tcW w:w="8860" w:type="dxa"/>
            <w:vAlign w:val="bottom"/>
          </w:tcPr>
          <w:p>
            <w:pPr>
              <w:ind w:left="140"/>
              <w:spacing w:after="0"/>
              <w:rPr>
                <w:sz w:val="20"/>
                <w:szCs w:val="20"/>
                <w:color w:val="auto"/>
              </w:rPr>
            </w:pPr>
            <w:r>
              <w:rPr>
                <w:rFonts w:ascii="Arial" w:cs="Arial" w:eastAsia="Arial" w:hAnsi="Arial"/>
                <w:sz w:val="10"/>
                <w:szCs w:val="10"/>
                <w:color w:val="auto"/>
              </w:rPr>
              <w:t>Adjustment to reflect BRSP cash dividend declared</w:t>
            </w: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(4,660)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(40,165)</w:t>
            </w:r>
          </w:p>
        </w:tc>
        <w:tc>
          <w:tcPr>
            <w:tcW w:w="80" w:type="dxa"/>
            <w:vAlign w:val="bottom"/>
          </w:tcPr>
          <w:p>
            <w:pPr>
              <w:spacing w:after="0"/>
              <w:rPr>
                <w:sz w:val="11"/>
                <w:szCs w:val="11"/>
                <w:color w:val="auto"/>
              </w:rPr>
            </w:pPr>
          </w:p>
        </w:tc>
      </w:tr>
      <w:tr>
        <w:trPr>
          <w:trHeight w:val="138"/>
        </w:trPr>
        <w:tc>
          <w:tcPr>
            <w:tcW w:w="88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tax effect on certain of the foregoing adjustments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(42,536)</w:t>
            </w:r>
          </w:p>
        </w:tc>
        <w:tc>
          <w:tcPr>
            <w:tcW w:w="80" w:type="dxa"/>
            <w:vAlign w:val="bottom"/>
            <w:shd w:val="clear" w:color="auto" w:fill="CCEEFF"/>
          </w:tcPr>
          <w:p>
            <w:pPr>
              <w:spacing w:after="0"/>
              <w:rPr>
                <w:sz w:val="12"/>
                <w:szCs w:val="12"/>
                <w:color w:val="auto"/>
              </w:rPr>
            </w:pPr>
          </w:p>
        </w:tc>
      </w:tr>
      <w:tr>
        <w:trPr>
          <w:trHeight w:val="132"/>
        </w:trPr>
        <w:tc>
          <w:tcPr>
            <w:tcW w:w="8860" w:type="dxa"/>
            <w:vAlign w:val="bottom"/>
          </w:tcPr>
          <w:p>
            <w:pPr>
              <w:ind w:left="140"/>
              <w:spacing w:after="0"/>
              <w:rPr>
                <w:sz w:val="20"/>
                <w:szCs w:val="20"/>
                <w:color w:val="auto"/>
              </w:rPr>
            </w:pPr>
            <w:r>
              <w:rPr>
                <w:rFonts w:ascii="Arial" w:cs="Arial" w:eastAsia="Arial" w:hAnsi="Arial"/>
                <w:sz w:val="10"/>
                <w:szCs w:val="10"/>
                <w:color w:val="auto"/>
              </w:rPr>
              <w:t>Adjustments attributable to noncontrolling interests in investment entities</w:t>
            </w: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(91,676)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(15,334)</w:t>
            </w:r>
          </w:p>
        </w:tc>
        <w:tc>
          <w:tcPr>
            <w:tcW w:w="80" w:type="dxa"/>
            <w:vAlign w:val="bottom"/>
          </w:tcPr>
          <w:p>
            <w:pPr>
              <w:spacing w:after="0"/>
              <w:rPr>
                <w:sz w:val="11"/>
                <w:szCs w:val="11"/>
                <w:color w:val="auto"/>
              </w:rPr>
            </w:pPr>
          </w:p>
        </w:tc>
      </w:tr>
      <w:tr>
        <w:trPr>
          <w:trHeight w:val="138"/>
        </w:trPr>
        <w:tc>
          <w:tcPr>
            <w:tcW w:w="88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 from discontinued operations</w:t>
            </w: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(5,958)</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(25,874)</w:t>
            </w:r>
          </w:p>
        </w:tc>
        <w:tc>
          <w:tcPr>
            <w:tcW w:w="80" w:type="dxa"/>
            <w:vAlign w:val="bottom"/>
            <w:shd w:val="clear" w:color="auto" w:fill="CCEEFF"/>
          </w:tcPr>
          <w:p>
            <w:pPr>
              <w:spacing w:after="0"/>
              <w:rPr>
                <w:sz w:val="12"/>
                <w:szCs w:val="12"/>
                <w:color w:val="auto"/>
              </w:rPr>
            </w:pPr>
          </w:p>
        </w:tc>
      </w:tr>
      <w:tr>
        <w:trPr>
          <w:trHeight w:val="140"/>
        </w:trPr>
        <w:tc>
          <w:tcPr>
            <w:tcW w:w="8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After-tax DE</w:t>
            </w:r>
          </w:p>
        </w:tc>
        <w:tc>
          <w:tcPr>
            <w:tcW w:w="1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7,585</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(5,578)</w:t>
            </w:r>
          </w:p>
        </w:tc>
        <w:tc>
          <w:tcPr>
            <w:tcW w:w="80" w:type="dxa"/>
            <w:vAlign w:val="bottom"/>
            <w:tcBorders>
              <w:bottom w:val="single" w:sz="8" w:color="CCEEFF"/>
            </w:tcBorders>
          </w:tcPr>
          <w:p>
            <w:pPr>
              <w:spacing w:after="0"/>
              <w:rPr>
                <w:sz w:val="12"/>
                <w:szCs w:val="12"/>
                <w:color w:val="auto"/>
              </w:rPr>
            </w:pPr>
          </w:p>
        </w:tc>
      </w:tr>
      <w:tr>
        <w:trPr>
          <w:trHeight w:val="162"/>
        </w:trPr>
        <w:tc>
          <w:tcPr>
            <w:tcW w:w="88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24"/>
        </w:trPr>
        <w:tc>
          <w:tcPr>
            <w:tcW w:w="8860" w:type="dxa"/>
            <w:vAlign w:val="bottom"/>
            <w:tcBorders>
              <w:bottom w:val="single" w:sz="8" w:color="CCEEFF"/>
            </w:tcBorders>
          </w:tcPr>
          <w:p>
            <w:pPr>
              <w:spacing w:after="0" w:line="124" w:lineRule="exact"/>
              <w:rPr>
                <w:sz w:val="20"/>
                <w:szCs w:val="20"/>
                <w:color w:val="auto"/>
              </w:rPr>
            </w:pPr>
            <w:r>
              <w:rPr>
                <w:rFonts w:ascii="Arial" w:cs="Arial" w:eastAsia="Arial" w:hAnsi="Arial"/>
                <w:sz w:val="10"/>
                <w:szCs w:val="10"/>
                <w:color w:val="auto"/>
              </w:rPr>
              <w:t>DE per common share / common OP unit</w:t>
            </w:r>
            <w:r>
              <w:rPr>
                <w:rFonts w:ascii="Arial" w:cs="Arial" w:eastAsia="Arial" w:hAnsi="Arial"/>
                <w:sz w:val="12"/>
                <w:szCs w:val="12"/>
                <w:color w:val="auto"/>
                <w:vertAlign w:val="superscript"/>
              </w:rPr>
              <w:t>(2)</w:t>
            </w:r>
          </w:p>
        </w:tc>
        <w:tc>
          <w:tcPr>
            <w:tcW w:w="1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0.01</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(0.01)</w:t>
            </w:r>
          </w:p>
        </w:tc>
        <w:tc>
          <w:tcPr>
            <w:tcW w:w="80" w:type="dxa"/>
            <w:vAlign w:val="bottom"/>
            <w:tcBorders>
              <w:bottom w:val="single" w:sz="8" w:color="CCEEFF"/>
            </w:tcBorders>
          </w:tcPr>
          <w:p>
            <w:pPr>
              <w:spacing w:after="0"/>
              <w:rPr>
                <w:sz w:val="10"/>
                <w:szCs w:val="10"/>
                <w:color w:val="auto"/>
              </w:rPr>
            </w:pPr>
          </w:p>
        </w:tc>
      </w:tr>
      <w:tr>
        <w:trPr>
          <w:trHeight w:val="124"/>
        </w:trPr>
        <w:tc>
          <w:tcPr>
            <w:tcW w:w="8860" w:type="dxa"/>
            <w:vAlign w:val="bottom"/>
            <w:shd w:val="clear" w:color="auto" w:fill="CCEEFF"/>
          </w:tcPr>
          <w:p>
            <w:pPr>
              <w:spacing w:after="0" w:line="124" w:lineRule="exact"/>
              <w:rPr>
                <w:sz w:val="20"/>
                <w:szCs w:val="20"/>
                <w:color w:val="auto"/>
              </w:rPr>
            </w:pPr>
            <w:r>
              <w:rPr>
                <w:rFonts w:ascii="Arial" w:cs="Arial" w:eastAsia="Arial" w:hAnsi="Arial"/>
                <w:sz w:val="10"/>
                <w:szCs w:val="10"/>
                <w:color w:val="auto"/>
              </w:rPr>
              <w:t>DE per common share / common OP unit—diluted</w:t>
            </w:r>
            <w:r>
              <w:rPr>
                <w:rFonts w:ascii="Arial" w:cs="Arial" w:eastAsia="Arial" w:hAnsi="Arial"/>
                <w:sz w:val="12"/>
                <w:szCs w:val="12"/>
                <w:color w:val="auto"/>
                <w:vertAlign w:val="superscript"/>
              </w:rPr>
              <w:t>(2)(3)</w:t>
            </w: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0.01</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(0.01)</w:t>
            </w:r>
          </w:p>
        </w:tc>
        <w:tc>
          <w:tcPr>
            <w:tcW w:w="80" w:type="dxa"/>
            <w:vAlign w:val="bottom"/>
            <w:shd w:val="clear" w:color="auto" w:fill="CCEEFF"/>
          </w:tcPr>
          <w:p>
            <w:pPr>
              <w:spacing w:after="0"/>
              <w:rPr>
                <w:sz w:val="10"/>
                <w:szCs w:val="10"/>
                <w:color w:val="auto"/>
              </w:rPr>
            </w:pPr>
          </w:p>
        </w:tc>
      </w:tr>
      <w:tr>
        <w:trPr>
          <w:trHeight w:val="124"/>
        </w:trPr>
        <w:tc>
          <w:tcPr>
            <w:tcW w:w="8860" w:type="dxa"/>
            <w:vAlign w:val="bottom"/>
            <w:tcBorders>
              <w:bottom w:val="single" w:sz="8" w:color="CCEEFF"/>
            </w:tcBorders>
          </w:tcPr>
          <w:p>
            <w:pPr>
              <w:spacing w:after="0" w:line="124" w:lineRule="exact"/>
              <w:rPr>
                <w:sz w:val="20"/>
                <w:szCs w:val="20"/>
                <w:color w:val="auto"/>
              </w:rPr>
            </w:pPr>
            <w:r>
              <w:rPr>
                <w:rFonts w:ascii="Arial" w:cs="Arial" w:eastAsia="Arial" w:hAnsi="Arial"/>
                <w:sz w:val="10"/>
                <w:szCs w:val="10"/>
                <w:color w:val="auto"/>
              </w:rPr>
              <w:t>Weighted average number of common OP units outstanding used for DE per common share and OP unit</w:t>
            </w:r>
            <w:r>
              <w:rPr>
                <w:rFonts w:ascii="Arial" w:cs="Arial" w:eastAsia="Arial" w:hAnsi="Arial"/>
                <w:sz w:val="12"/>
                <w:szCs w:val="12"/>
                <w:color w:val="auto"/>
                <w:vertAlign w:val="superscript"/>
              </w:rPr>
              <w:t>(2)</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674,573</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539,287</w:t>
            </w:r>
          </w:p>
        </w:tc>
        <w:tc>
          <w:tcPr>
            <w:tcW w:w="80" w:type="dxa"/>
            <w:vAlign w:val="bottom"/>
            <w:tcBorders>
              <w:bottom w:val="single" w:sz="8" w:color="CCEEFF"/>
            </w:tcBorders>
          </w:tcPr>
          <w:p>
            <w:pPr>
              <w:spacing w:after="0"/>
              <w:rPr>
                <w:sz w:val="10"/>
                <w:szCs w:val="10"/>
                <w:color w:val="auto"/>
              </w:rPr>
            </w:pPr>
          </w:p>
        </w:tc>
      </w:tr>
      <w:tr>
        <w:trPr>
          <w:trHeight w:val="124"/>
        </w:trPr>
        <w:tc>
          <w:tcPr>
            <w:tcW w:w="8860" w:type="dxa"/>
            <w:vAlign w:val="bottom"/>
            <w:shd w:val="clear" w:color="auto" w:fill="CCEEFF"/>
          </w:tcPr>
          <w:p>
            <w:pPr>
              <w:spacing w:after="0" w:line="124" w:lineRule="exact"/>
              <w:rPr>
                <w:sz w:val="20"/>
                <w:szCs w:val="20"/>
                <w:color w:val="auto"/>
              </w:rPr>
            </w:pPr>
            <w:r>
              <w:rPr>
                <w:rFonts w:ascii="Arial" w:cs="Arial" w:eastAsia="Arial" w:hAnsi="Arial"/>
                <w:sz w:val="10"/>
                <w:szCs w:val="10"/>
                <w:color w:val="auto"/>
              </w:rPr>
              <w:t xml:space="preserve">Weighted average number of common OP units outstanding used for DE per common share and OP unit—diluted </w:t>
            </w:r>
            <w:r>
              <w:rPr>
                <w:rFonts w:ascii="Arial" w:cs="Arial" w:eastAsia="Arial" w:hAnsi="Arial"/>
                <w:sz w:val="12"/>
                <w:szCs w:val="12"/>
                <w:color w:val="auto"/>
                <w:vertAlign w:val="superscript"/>
              </w:rPr>
              <w:t>(2)(3)</w:t>
            </w:r>
          </w:p>
        </w:tc>
        <w:tc>
          <w:tcPr>
            <w:tcW w:w="18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691,046</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539,287</w:t>
            </w:r>
          </w:p>
        </w:tc>
        <w:tc>
          <w:tcPr>
            <w:tcW w:w="80" w:type="dxa"/>
            <w:vAlign w:val="bottom"/>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w:t>
      </w:r>
    </w:p>
    <w:p>
      <w:pPr>
        <w:spacing w:after="0" w:line="8" w:lineRule="exact"/>
        <w:rPr>
          <w:sz w:val="20"/>
          <w:szCs w:val="20"/>
          <w:color w:val="auto"/>
        </w:rPr>
      </w:pPr>
    </w:p>
    <w:p>
      <w:pPr>
        <w:ind w:left="208" w:right="100" w:hanging="208"/>
        <w:spacing w:after="0" w:line="250" w:lineRule="auto"/>
        <w:tabs>
          <w:tab w:leader="none" w:pos="127" w:val="left"/>
        </w:tabs>
        <w:numPr>
          <w:ilvl w:val="0"/>
          <w:numId w:val="4"/>
        </w:numPr>
        <w:rPr>
          <w:rFonts w:ascii="Arial" w:cs="Arial" w:eastAsia="Arial" w:hAnsi="Arial"/>
          <w:sz w:val="9"/>
          <w:szCs w:val="9"/>
          <w:color w:val="auto"/>
        </w:rPr>
      </w:pPr>
      <w:r>
        <w:rPr>
          <w:rFonts w:ascii="Arial" w:cs="Arial" w:eastAsia="Arial" w:hAnsi="Arial"/>
          <w:sz w:val="9"/>
          <w:szCs w:val="9"/>
          <w:color w:val="auto"/>
        </w:rPr>
        <w:t>Restructuring charges primarily represent costs and charges incurred as a result of corporate restructuring and reorganization to implement the digital evolution. These costs and charges include severance, retention, relocation, transition, shareholder settlement and other related restructuring costs, which are not reflective of the Company’s core operating performance.</w:t>
      </w:r>
    </w:p>
    <w:p>
      <w:pPr>
        <w:ind w:left="128" w:hanging="128"/>
        <w:spacing w:after="0" w:line="229" w:lineRule="auto"/>
        <w:tabs>
          <w:tab w:leader="none" w:pos="128" w:val="left"/>
        </w:tabs>
        <w:numPr>
          <w:ilvl w:val="0"/>
          <w:numId w:val="4"/>
        </w:numPr>
        <w:rPr>
          <w:rFonts w:ascii="Arial" w:cs="Arial" w:eastAsia="Arial" w:hAnsi="Arial"/>
          <w:sz w:val="9"/>
          <w:szCs w:val="9"/>
          <w:color w:val="auto"/>
        </w:rPr>
      </w:pPr>
      <w:r>
        <w:rPr>
          <w:rFonts w:ascii="Arial" w:cs="Arial" w:eastAsia="Arial" w:hAnsi="Arial"/>
          <w:sz w:val="9"/>
          <w:szCs w:val="9"/>
          <w:color w:val="auto"/>
        </w:rPr>
        <w:t>Calculated based on weighted average shares outstanding including participating securities and assuming the exchange of all common OP units outstanding for common shares.</w:t>
      </w:r>
    </w:p>
    <w:p>
      <w:pPr>
        <w:ind w:left="208" w:right="60" w:hanging="208"/>
        <w:spacing w:after="0" w:line="249" w:lineRule="auto"/>
        <w:tabs>
          <w:tab w:leader="none" w:pos="127" w:val="left"/>
        </w:tabs>
        <w:numPr>
          <w:ilvl w:val="0"/>
          <w:numId w:val="4"/>
        </w:numPr>
        <w:rPr>
          <w:rFonts w:ascii="Arial" w:cs="Arial" w:eastAsia="Arial" w:hAnsi="Arial"/>
          <w:sz w:val="9"/>
          <w:szCs w:val="9"/>
          <w:color w:val="auto"/>
        </w:rPr>
      </w:pPr>
      <w:r>
        <w:rPr>
          <w:rFonts w:ascii="Arial" w:cs="Arial" w:eastAsia="Arial" w:hAnsi="Arial"/>
          <w:sz w:val="9"/>
          <w:szCs w:val="9"/>
          <w:color w:val="auto"/>
        </w:rPr>
        <w:t>For the three months ended June 30, 2022, included in the calculation of diluted DE per share are Class A common stock or OP units issuable in connection with performance stock units, performance based restricted stock units and Wafra’s warrants, of which the issuance and/or vesting are subject to the performance of the Company's stock price or the achievement of certain Company specific metrics. For the three months ended June 30, 2022, excluded from the calculation of diluted DE per share are the effects of adding back interest expense associated with convertible senior notes and weighted average dilutive common share equivalents for the assumed conversion of the convertible senior notes as the effect of including such interest expense and common share equivalents would be antidilutive. For the three months ended June 30, 2021, excluded from the calculation of diluted DE per share are Class A common stock or OP units issuable in connection with performance stock units, performance based restricted stock units and Wafra’s warrants, of which the issuance and/or vesting are subject to the performance of the Company's stock price or the achievement of certain Company specific metrics, and the effect of adding back interest expense associated with convertible senior notes and weighted average dilutive common share equivalents for the assumed conversion of the convertible senior notes as the effect of including such interest expense and common share equivalents would be antidilutive.</w:t>
      </w:r>
    </w:p>
    <w:p>
      <w:pPr>
        <w:spacing w:after="0" w:line="29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5</w:t>
      </w:r>
    </w:p>
    <w:p>
      <w:pPr>
        <w:sectPr>
          <w:pgSz w:w="11900" w:h="16838" w:orient="portrait"/>
          <w:cols w:equalWidth="0" w:num="1">
            <w:col w:w="11308"/>
          </w:cols>
          <w:pgMar w:left="292" w:top="995"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191135</wp:posOffset>
            </wp:positionH>
            <wp:positionV relativeFrom="page">
              <wp:posOffset>186055</wp:posOffset>
            </wp:positionV>
            <wp:extent cx="1022985" cy="280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22985" cy="280035"/>
                    </a:xfrm>
                    <a:prstGeom prst="rect">
                      <a:avLst/>
                    </a:prstGeom>
                    <a:noFill/>
                  </pic:spPr>
                </pic:pic>
              </a:graphicData>
            </a:graphic>
          </wp:anchor>
        </w:drawing>
        <w:t>Distributable Earnings (DE)</w:t>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10"/>
          <w:szCs w:val="10"/>
          <w:color w:val="auto"/>
        </w:rPr>
        <w:t>DE is an after-tax measure that differs from GAAP net income or loss from continuing operations as a result of the following adjustments, including adjustment for our share of similar items recognized by our equity method investments: transaction-related and restructuring charges; realized and unrealized gains and losses, except realized gains and losses from digital assets in Corporate and Other; depreciation, amortization and impairment charges; debt prepayment penalties, and amortization of deferred financing costs, debt premiums and debt discounts; our share of unrealized carried interest, net of associated compensation expense; equity-based compensation expense; equity method earnings from BrightSpire Capital, Inc. (BRSP) which is replaced with dividends declared by BRSP; effect of straight-line lease income and expense; impairment of equity investments directly attributable to decrease in value of depreciable real estate held by the investee; non-revenue enhancing capital expenditures; income tax effect on certain of the foregoing adjustments. Income taxes included in DE reflect the benefit of deductions arising from certain expenses that are excluded from the calculation of DE, such as equity-based compensation, as these deductions do decrease actual income tax paid or payable by the Company in any one period. There are no differences in the Company’s measurement of DE and AFFO. Therefore, previously reported AFFO is the equivalent to DE and prior period information has not been recast. DE is presented on a reportable segment basis and for the Company in total.</w:t>
      </w:r>
    </w:p>
    <w:p>
      <w:pPr>
        <w:spacing w:after="0" w:line="34" w:lineRule="exact"/>
        <w:rPr>
          <w:sz w:val="20"/>
          <w:szCs w:val="20"/>
          <w:color w:val="auto"/>
        </w:rPr>
      </w:pPr>
    </w:p>
    <w:p>
      <w:pPr>
        <w:ind w:right="220"/>
        <w:spacing w:after="0" w:line="268" w:lineRule="auto"/>
        <w:rPr>
          <w:sz w:val="20"/>
          <w:szCs w:val="20"/>
          <w:color w:val="auto"/>
        </w:rPr>
      </w:pPr>
      <w:r>
        <w:rPr>
          <w:rFonts w:ascii="Arial" w:cs="Arial" w:eastAsia="Arial" w:hAnsi="Arial"/>
          <w:sz w:val="11"/>
          <w:szCs w:val="11"/>
          <w:color w:val="auto"/>
        </w:rPr>
        <w:t>We believe that DE is a meaningful supplemental measure as it reflects the ongoing operating performance of our core business by generally excluding items that are non-core in nature and allows for better comparability of operating results period-over-period and to other companies in similar lines of business.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w:t>
      </w:r>
    </w:p>
    <w:p>
      <w:pPr>
        <w:sectPr>
          <w:pgSz w:w="11900" w:h="16838" w:orient="portrait"/>
          <w:cols w:equalWidth="0" w:num="1">
            <w:col w:w="11300"/>
          </w:cols>
          <w:pgMar w:left="300" w:top="995" w:right="299" w:bottom="1440"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768350</wp:posOffset>
            </wp:positionH>
            <wp:positionV relativeFrom="page">
              <wp:posOffset>191770</wp:posOffset>
            </wp:positionV>
            <wp:extent cx="6012180" cy="4663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12180" cy="4663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Arial" w:cs="Arial" w:eastAsia="Arial" w:hAnsi="Arial"/>
          <w:sz w:val="26"/>
          <w:szCs w:val="26"/>
          <w:color w:val="auto"/>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right="100"/>
        <w:spacing w:after="0" w:line="243" w:lineRule="auto"/>
        <w:rPr>
          <w:sz w:val="20"/>
          <w:szCs w:val="20"/>
          <w:color w:val="auto"/>
        </w:rPr>
      </w:pPr>
      <w:r>
        <w:rPr>
          <w:rFonts w:ascii="Arial" w:cs="Arial" w:eastAsia="Arial" w:hAnsi="Arial"/>
          <w:sz w:val="11"/>
          <w:szCs w:val="11"/>
          <w:color w:val="424242"/>
        </w:rPr>
        <w:t>This presentation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9" w:lineRule="exact"/>
        <w:rPr>
          <w:sz w:val="20"/>
          <w:szCs w:val="20"/>
          <w:color w:val="auto"/>
        </w:rPr>
      </w:pPr>
    </w:p>
    <w:p>
      <w:pPr>
        <w:spacing w:after="0" w:line="236" w:lineRule="auto"/>
        <w:rPr>
          <w:sz w:val="20"/>
          <w:szCs w:val="20"/>
          <w:color w:val="auto"/>
        </w:rPr>
      </w:pPr>
      <w:r>
        <w:rPr>
          <w:rFonts w:ascii="Arial" w:cs="Arial" w:eastAsia="Arial" w:hAnsi="Arial"/>
          <w:sz w:val="11"/>
          <w:szCs w:val="11"/>
          <w:color w:val="424242"/>
        </w:rPr>
        <w:t>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the duration and severity of the current novel coronavirus (COVID-19) pandemic, driven by, among other factors, the treatment developments and public adoption rates and effectiveness of COVID-19 vaccines against emerging variants of COVID-19; the impact of the COVID-19 pandemic on the global market, economic and environmental conditions generally and in the digital and communications technology and investment management sectors; the effect of COVID-19 on the Company's operating cash flows, debt service obligations and covenants, liquidity position and valuations of its real estate investments, as well as the increased risk of claims, litigation and regulatory proceedings and uncertainty that may adversely affect the Company; our status as an owner, operator and investment manager of digital infrastructure and real estate and our ability to manage any related conflicts of interest; our ability to obtain and maintain financing arrangements, including securitizations, on favorable or comparable terms or at all; the impact of initiatives related to our digital transformation, including the strategic investment by Wafra and the formation of certain other investment management platforms, on our growth and earnings profile; whether the transaction with AMP Capital will be completed within the time frame and on the terms anticipated or at all, and whether we will realize any of the anticipated benefits from the transaction; whether we will realize any of the anticipated benefits of our strategic partnership with Wafra, including whether Wafra will make additional investments in our Digital IM and Digital Operating segments; our ability to integrate and maintain consistent standards and controls, including our ability to manage our acquisitions in the digital industry effectively; the impact to our business operations and financial condition of realized or anticipated compensation and administrative savings through cost reduction programs; our business and investment strategy, including the ability of the businesses in which we have a significant investment (such as BrightSpire Capital, Inc. (BRSP)) to execute their business strategies; BRSP's trading price and its impact on the carrying value of the Company's investment in BRSP, including whether the Company will recognize further other-than-temporary impairment on its investment in BRSP; performance of our investments relative to our expectations and the impact on our actual return on invested equity, as well as the cash provided by these investments and available for distribution; our ability to raise new investment funds and vehicles and transfer warehoused investments; our ability to grow our business by raising capital for the companies that we manage; our ability to deploy capital into new investments consistent with our digital business strategies, including the earnings profile of such new investments; the availability of, and competition for, attractive investment opportunities; our ability to achieve any of the anticipated benefits of certain joint ventures, including any ability for such ventures to create and/or distribute new investment products; our ability to satisfy and manage our capital requirements; our expected hold period for our assets and the impact of any changes in our expectations on the carrying value of such assets; the general volatility of the securities markets in which we participate; changes in interest rates and the market value of our assets; interest rate mismatches between our assets and any borrowings used to fund such assets; effects of hedging instruments on our assets; the impact of economic conditions on third parties on which we rely; any litigation and contractual claims against us and our affiliates, including potential settlement and litigation of such claims; our levels of leverage; adverse domestic or international macroeconomic factors, including those resulting from the COVID-19 pandemic, supply chain difficulties, inflation, a potential economic slowdown or recession; the impact of legislative, regulatory and competitive changes; the impact of our transition from a REIT to a C-corporation for tax purposes, and the related liability for corporate and other taxes; whether we will be able to utilize existing tax attributes to offset taxable income to the extent contemplated; our ability to maintain our exemption from registration as an investment company under the Investment Company Act of 1940, as amended (the “1940 Act”); changes in our board of directors or management team, and availability of qualified personnel; our ability to make or maintain distributions to our stockholders; and our understanding of our competition; and other risks and uncertainties, including those detailed in the Company’s Annual Report on Form 10-K for the fiscal year ended December 31, 2021 and Quarterly Report on Form 10-Q for the fiscal quarter ended March 31, 2022, each under the heading “Risk Factors,” as such factors may be updated from time to time in the Company’s subsequent periodic filings with the U.S. Securities and Exchange Commission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w:t>
      </w:r>
    </w:p>
    <w:p>
      <w:pPr>
        <w:spacing w:after="0" w:line="32" w:lineRule="exact"/>
        <w:rPr>
          <w:sz w:val="20"/>
          <w:szCs w:val="20"/>
          <w:color w:val="auto"/>
        </w:rPr>
      </w:pPr>
    </w:p>
    <w:p>
      <w:pPr>
        <w:ind w:right="60"/>
        <w:spacing w:after="0" w:line="268" w:lineRule="auto"/>
        <w:rPr>
          <w:sz w:val="20"/>
          <w:szCs w:val="20"/>
          <w:color w:val="auto"/>
        </w:rPr>
      </w:pPr>
      <w:r>
        <w:rPr>
          <w:rFonts w:ascii="Arial" w:cs="Arial" w:eastAsia="Arial" w:hAnsi="Arial"/>
          <w:sz w:val="11"/>
          <w:szCs w:val="11"/>
          <w:color w:val="424242"/>
        </w:rPr>
        <w:t>The Company cautions investors not to unduly rely on any forward-looking statements. The forward-looking statements speak only as of the date of this presentation. The Company is under no duty to update any of these forward-looking statements after the date of this presentation, nor to conform prior statements to actual results or revised expectations, and the Company does not intend to do so.</w:t>
      </w:r>
    </w:p>
    <w:p>
      <w:pPr>
        <w:spacing w:after="0" w:line="204" w:lineRule="exact"/>
        <w:rPr>
          <w:sz w:val="20"/>
          <w:szCs w:val="20"/>
          <w:color w:val="auto"/>
        </w:rPr>
      </w:pPr>
    </w:p>
    <w:p>
      <w:pPr>
        <w:ind w:right="300"/>
        <w:spacing w:after="0" w:line="264" w:lineRule="auto"/>
        <w:rPr>
          <w:sz w:val="20"/>
          <w:szCs w:val="20"/>
          <w:color w:val="auto"/>
        </w:rPr>
      </w:pPr>
      <w:r>
        <w:rPr>
          <w:rFonts w:ascii="Arial" w:cs="Arial" w:eastAsia="Arial" w:hAnsi="Arial"/>
          <w:sz w:val="11"/>
          <w:szCs w:val="11"/>
          <w:b w:val="1"/>
          <w:bCs w:val="1"/>
          <w:color w:val="424242"/>
        </w:rPr>
        <w:t>This presentation is for informational purposes only and does not constitute an offer to sell or a solicitation of an offer to buy any securities of the Company. This information is not intended to be indicative of future results. Actual performance of the Company may vary materially.</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424242"/>
        </w:rPr>
        <w:t>The appendices herein contain important information that is material to an understanding of this presentation and you should read this presentation only with and in context of the 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p>
      <w:pPr>
        <w:sectPr>
          <w:pgSz w:w="11900" w:h="16838" w:orient="portrait"/>
          <w:cols w:equalWidth="0" w:num="1">
            <w:col w:w="11300"/>
          </w:cols>
          <w:pgMar w:left="300" w:top="136" w:right="299" w:bottom="1440" w:gutter="0" w:footer="0" w:header="0"/>
        </w:sectPr>
      </w:pPr>
    </w:p>
    <w:bookmarkStart w:id="11" w:name="page12"/>
    <w:bookmarkEnd w:id="11"/>
    <w:p>
      <w:pPr>
        <w:spacing w:after="0"/>
        <w:rPr>
          <w:sz w:val="20"/>
          <w:szCs w:val="20"/>
          <w:color w:val="auto"/>
        </w:rPr>
      </w:pPr>
      <w:r>
        <w:rPr>
          <w:rFonts w:ascii="Arial" w:cs="Arial" w:eastAsia="Arial" w:hAnsi="Arial"/>
          <w:sz w:val="26"/>
          <w:szCs w:val="26"/>
          <w:color w:val="auto"/>
        </w:rPr>
        <w:t>Important Note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0"/>
          <w:szCs w:val="10"/>
          <w:color w:val="424242"/>
        </w:rPr>
        <w:t>This financial supplemental package includes certain non-GAAP financial measures and operating metrics that are not defined by generally accepted accounting principles, or GAAP.</w:t>
      </w:r>
    </w:p>
    <w:p>
      <w:pPr>
        <w:spacing w:after="0" w:line="38" w:lineRule="exact"/>
        <w:rPr>
          <w:sz w:val="20"/>
          <w:szCs w:val="20"/>
          <w:color w:val="auto"/>
        </w:rPr>
      </w:pPr>
    </w:p>
    <w:p>
      <w:pPr>
        <w:ind w:right="60"/>
        <w:spacing w:after="0" w:line="267" w:lineRule="auto"/>
        <w:rPr>
          <w:sz w:val="20"/>
          <w:szCs w:val="20"/>
          <w:color w:val="auto"/>
        </w:rPr>
      </w:pPr>
      <w:r>
        <w:rPr>
          <w:rFonts w:ascii="Arial" w:cs="Arial" w:eastAsia="Arial" w:hAnsi="Arial"/>
          <w:sz w:val="10"/>
          <w:szCs w:val="10"/>
          <w:color w:val="424242"/>
        </w:rPr>
        <w:t>Following our decision not to maintain qualification as a REIT for 2022, we no longer present Funds From Operations and Adjusted Funds From Operations, supplemental non-GAAP measures commonly used by equity REITs. Resulting from the significant growth in our digital investment management business, effective the second quarter of 2022, we report Distributable Earnings (“DE”), Adjusted Earnings before Interest, Taxes, Depreciation and Amortization (“Adjusted EBITDA”) and, specific to our Digital IM segment, Fee Related Earnings (“FRE”) as non-GAAP financial measures attributable to the DBRG OP, which more closely align the key performance metrics of our core business to the alternative investment management industry.</w:t>
      </w:r>
    </w:p>
    <w:p>
      <w:pPr>
        <w:spacing w:after="0" w:line="129" w:lineRule="exact"/>
        <w:rPr>
          <w:sz w:val="20"/>
          <w:szCs w:val="20"/>
          <w:color w:val="auto"/>
        </w:rPr>
      </w:pPr>
    </w:p>
    <w:p>
      <w:pPr>
        <w:ind w:right="160"/>
        <w:spacing w:after="0" w:line="258" w:lineRule="auto"/>
        <w:rPr>
          <w:sz w:val="20"/>
          <w:szCs w:val="20"/>
          <w:color w:val="auto"/>
        </w:rPr>
      </w:pPr>
      <w:r>
        <w:rPr>
          <w:rFonts w:ascii="Arial" w:cs="Arial" w:eastAsia="Arial" w:hAnsi="Arial"/>
          <w:sz w:val="10"/>
          <w:szCs w:val="10"/>
          <w:color w:val="424242"/>
        </w:rPr>
        <w:t>We use these non-GAAP financial measures in evaluating the Company’s business performance and in making operating decisions. As we evaluate profitability based upon continuing operations, these non-GAAP measures exclude results from discontinued operations. These non-GAAP financial measures should not be considered alternatives to GAAP net income or loss as indicators of operating performance, or to cash flows from operating activities as measures of liquidity, nor as indicators of the availability of funds for our cash needs, including funds available to make distributions. Our calculation of these non-GAAP measures may differ from methodologies utilized by other companies for similarly titled performance measures and, as a result, may not be directly comparable to those calculated by other companies in similar lines of business.</w:t>
      </w:r>
    </w:p>
    <w:p>
      <w:pPr>
        <w:spacing w:after="0" w:line="19" w:lineRule="exact"/>
        <w:rPr>
          <w:sz w:val="20"/>
          <w:szCs w:val="20"/>
          <w:color w:val="auto"/>
        </w:rPr>
      </w:pPr>
    </w:p>
    <w:p>
      <w:pPr>
        <w:ind w:right="20"/>
        <w:spacing w:after="0" w:line="286" w:lineRule="auto"/>
        <w:rPr>
          <w:sz w:val="20"/>
          <w:szCs w:val="20"/>
          <w:color w:val="auto"/>
        </w:rPr>
      </w:pPr>
      <w:r>
        <w:rPr>
          <w:rFonts w:ascii="Arial" w:cs="Arial" w:eastAsia="Arial" w:hAnsi="Arial"/>
          <w:sz w:val="10"/>
          <w:szCs w:val="10"/>
          <w:color w:val="424242"/>
        </w:rPr>
        <w:t>In evaluating the information presented throughout this supplemental financial report, refer to the appendices to this presentation for definitions and reconciliations of non-GAAP financial measures to GAAP measures. For purposes of comparability, historical information in this presentation may reflect certain adjustments to information reported in prior periods.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0"/>
          <w:szCs w:val="10"/>
          <w:b w:val="1"/>
          <w:bCs w:val="1"/>
          <w:u w:val="single" w:color="auto"/>
          <w:color w:val="424242"/>
        </w:rPr>
        <w:t>Distributable Earnings:</w:t>
      </w:r>
      <w:r>
        <w:rPr>
          <w:rFonts w:ascii="Arial" w:cs="Arial" w:eastAsia="Arial" w:hAnsi="Arial"/>
          <w:sz w:val="10"/>
          <w:szCs w:val="10"/>
          <w:b w:val="1"/>
          <w:bCs w:val="1"/>
          <w:color w:val="424242"/>
        </w:rPr>
        <w:t xml:space="preserve"> </w:t>
      </w:r>
      <w:r>
        <w:rPr>
          <w:rFonts w:ascii="Arial" w:cs="Arial" w:eastAsia="Arial" w:hAnsi="Arial"/>
          <w:sz w:val="10"/>
          <w:szCs w:val="10"/>
          <w:color w:val="424242"/>
        </w:rPr>
        <w:t>DE is an after-tax measure that differs from GAAP net income or loss from continuing operations as a result of the following adjustments, including adjustment for our share of similar items recognized by our equity method</w:t>
      </w:r>
      <w:r>
        <w:rPr>
          <w:rFonts w:ascii="Arial" w:cs="Arial" w:eastAsia="Arial" w:hAnsi="Arial"/>
          <w:sz w:val="10"/>
          <w:szCs w:val="10"/>
          <w:b w:val="1"/>
          <w:bCs w:val="1"/>
          <w:color w:val="424242"/>
        </w:rPr>
        <w:t xml:space="preserve"> </w:t>
      </w:r>
      <w:r>
        <w:rPr>
          <w:rFonts w:ascii="Arial" w:cs="Arial" w:eastAsia="Arial" w:hAnsi="Arial"/>
          <w:sz w:val="10"/>
          <w:szCs w:val="10"/>
          <w:color w:val="424242"/>
        </w:rPr>
        <w:t>investments: transaction-related and restructuring charges; realized and unrealized gains and losses, except realized gains and losses from digital assets in Corporate and Other; depreciation, amortization and impairment charges; debt prepayment penalties, and amortization of deferred financing costs, debt premiums and debt discounts; our share of unrealized carried interest, net of associated compensation expense; equity-based compensation expense; equity method earnings from BRSP which is replaced with dividends declared by BRSP; effect of straight-line lease income and expense; impairment of equity investments directly attributable to decrease in value of depreciable real estate held by the investee; non-revenue enhancing capital expenditures; income tax effect on certain of the foregoing adjustments. Income taxes included in DE reflect the benefit of deductions arising from certain expenses that are excluded from the calculation of DE, such as equity-based compensation, as these deductions do decrease actual income tax paid or payable by the Company in any one period. There are no differences in the Company’s measurement of DE and AFFO. Therefore, previously reported AFFO is the equivalent to DE and prior period information has not been recast. DE is presented on a reportable segment basis and for the Company in total.</w:t>
      </w:r>
    </w:p>
    <w:p>
      <w:pPr>
        <w:spacing w:after="0" w:line="12" w:lineRule="exact"/>
        <w:rPr>
          <w:sz w:val="20"/>
          <w:szCs w:val="20"/>
          <w:color w:val="auto"/>
        </w:rPr>
      </w:pPr>
    </w:p>
    <w:p>
      <w:pPr>
        <w:ind w:right="20"/>
        <w:spacing w:after="0" w:line="281" w:lineRule="auto"/>
        <w:rPr>
          <w:sz w:val="20"/>
          <w:szCs w:val="20"/>
          <w:color w:val="auto"/>
        </w:rPr>
      </w:pPr>
      <w:r>
        <w:rPr>
          <w:rFonts w:ascii="Arial" w:cs="Arial" w:eastAsia="Arial" w:hAnsi="Arial"/>
          <w:sz w:val="10"/>
          <w:szCs w:val="10"/>
          <w:color w:val="424242"/>
        </w:rPr>
        <w:t>We believe that DE is a meaningful supplemental measure as it reflects the ongoing operating performance of our core business by generally excluding items that are non-core in nature and allows for better comparability of operating results period-over-period and to other companies in similar lines of business.</w:t>
      </w:r>
    </w:p>
    <w:p>
      <w:pPr>
        <w:spacing w:after="0" w:line="1" w:lineRule="exact"/>
        <w:rPr>
          <w:sz w:val="20"/>
          <w:szCs w:val="20"/>
          <w:color w:val="auto"/>
        </w:rPr>
      </w:pPr>
    </w:p>
    <w:p>
      <w:pPr>
        <w:jc w:val="both"/>
        <w:ind w:right="160"/>
        <w:spacing w:after="0" w:line="274" w:lineRule="auto"/>
        <w:rPr>
          <w:sz w:val="20"/>
          <w:szCs w:val="20"/>
          <w:color w:val="auto"/>
        </w:rPr>
      </w:pPr>
      <w:r>
        <w:rPr>
          <w:rFonts w:ascii="Arial" w:cs="Arial" w:eastAsia="Arial" w:hAnsi="Arial"/>
          <w:sz w:val="10"/>
          <w:szCs w:val="10"/>
          <w:b w:val="1"/>
          <w:bCs w:val="1"/>
          <w:u w:val="single" w:color="auto"/>
          <w:color w:val="424242"/>
        </w:rPr>
        <w:t>Adjusted Earnings before Interest, Taxes, Depreciation and Amortization (Adjusted EBITDA):</w:t>
      </w:r>
      <w:r>
        <w:rPr>
          <w:rFonts w:ascii="Arial" w:cs="Arial" w:eastAsia="Arial" w:hAnsi="Arial"/>
          <w:sz w:val="10"/>
          <w:szCs w:val="10"/>
          <w:b w:val="1"/>
          <w:bCs w:val="1"/>
          <w:color w:val="424242"/>
        </w:rPr>
        <w:t xml:space="preserve"> </w:t>
      </w:r>
      <w:r>
        <w:rPr>
          <w:rFonts w:ascii="Arial" w:cs="Arial" w:eastAsia="Arial" w:hAnsi="Arial"/>
          <w:sz w:val="10"/>
          <w:szCs w:val="10"/>
          <w:color w:val="424242"/>
        </w:rPr>
        <w:t>Adjusted EBITDA represents DE adjusted to exclude the following items: interest expense as included in DE, income tax expense or benefit as</w:t>
      </w:r>
      <w:r>
        <w:rPr>
          <w:rFonts w:ascii="Arial" w:cs="Arial" w:eastAsia="Arial" w:hAnsi="Arial"/>
          <w:sz w:val="10"/>
          <w:szCs w:val="10"/>
          <w:b w:val="1"/>
          <w:bCs w:val="1"/>
          <w:color w:val="424242"/>
        </w:rPr>
        <w:t xml:space="preserve"> </w:t>
      </w:r>
      <w:r>
        <w:rPr>
          <w:rFonts w:ascii="Arial" w:cs="Arial" w:eastAsia="Arial" w:hAnsi="Arial"/>
          <w:sz w:val="10"/>
          <w:szCs w:val="10"/>
          <w:color w:val="424242"/>
        </w:rPr>
        <w:t>included in DE, preferred stock dividends, equity method earnings, placement fee expense, our share of realized carried interest and incentive fees net of associated compensation expense, certain investment costs for capital raising that are not reimbursable by our sponsored funds, and capital expenditures as deducted in DE. Adjusted EBITDA is presented on a reportable segment basis and for the Company in total.</w:t>
      </w:r>
    </w:p>
    <w:p>
      <w:pPr>
        <w:spacing w:after="0" w:line="2" w:lineRule="exact"/>
        <w:rPr>
          <w:sz w:val="20"/>
          <w:szCs w:val="20"/>
          <w:color w:val="auto"/>
        </w:rPr>
      </w:pPr>
    </w:p>
    <w:p>
      <w:pPr>
        <w:ind w:right="80"/>
        <w:spacing w:after="0" w:line="265" w:lineRule="auto"/>
        <w:rPr>
          <w:sz w:val="20"/>
          <w:szCs w:val="20"/>
          <w:color w:val="auto"/>
        </w:rPr>
      </w:pPr>
      <w:r>
        <w:rPr>
          <w:rFonts w:ascii="Arial" w:cs="Arial" w:eastAsia="Arial" w:hAnsi="Arial"/>
          <w:sz w:val="10"/>
          <w:szCs w:val="10"/>
          <w:color w:val="424242"/>
        </w:rPr>
        <w:t>We believe that Adjusted EBITDA is a meaningful supplemental measure of performance because it presents the Company’s operating performance independent of its capital structure, leverage and non-cash items, which allows for better comparability against entities with different capital structures and income tax rates. However, because Adjusted EBITDA is calculated before recurring cash charges including interest expense and taxes and does not deduct capital expenditures or other recurring cash requirements, its usefulness as a performance measure may be limited.</w:t>
      </w:r>
    </w:p>
    <w:p>
      <w:pPr>
        <w:spacing w:after="0" w:line="204" w:lineRule="exact"/>
        <w:rPr>
          <w:sz w:val="20"/>
          <w:szCs w:val="20"/>
          <w:color w:val="auto"/>
        </w:rPr>
      </w:pPr>
    </w:p>
    <w:p>
      <w:pPr>
        <w:ind w:right="100"/>
        <w:spacing w:after="0" w:line="264" w:lineRule="auto"/>
        <w:rPr>
          <w:sz w:val="20"/>
          <w:szCs w:val="20"/>
          <w:color w:val="auto"/>
        </w:rPr>
      </w:pPr>
      <w:r>
        <w:rPr>
          <w:rFonts w:ascii="Arial" w:cs="Arial" w:eastAsia="Arial" w:hAnsi="Arial"/>
          <w:sz w:val="10"/>
          <w:szCs w:val="10"/>
          <w:b w:val="1"/>
          <w:bCs w:val="1"/>
          <w:u w:val="single" w:color="auto"/>
          <w:color w:val="424242"/>
        </w:rPr>
        <w:t>Digital Investment Management Fee Related Earnings (Digital IM FRE)</w:t>
      </w:r>
      <w:r>
        <w:rPr>
          <w:rFonts w:ascii="Arial" w:cs="Arial" w:eastAsia="Arial" w:hAnsi="Arial"/>
          <w:sz w:val="10"/>
          <w:szCs w:val="10"/>
          <w:color w:val="424242"/>
        </w:rPr>
        <w:t>: Digital IM FRE is calculated as recurring fee income and other income inclusive of cost reimbursements, and net of compensation expense (excluding equity-based</w:t>
      </w:r>
      <w:r>
        <w:rPr>
          <w:rFonts w:ascii="Arial" w:cs="Arial" w:eastAsia="Arial" w:hAnsi="Arial"/>
          <w:sz w:val="10"/>
          <w:szCs w:val="10"/>
          <w:b w:val="1"/>
          <w:bCs w:val="1"/>
          <w:color w:val="424242"/>
        </w:rPr>
        <w:t xml:space="preserve"> </w:t>
      </w:r>
      <w:r>
        <w:rPr>
          <w:rFonts w:ascii="Arial" w:cs="Arial" w:eastAsia="Arial" w:hAnsi="Arial"/>
          <w:sz w:val="10"/>
          <w:szCs w:val="10"/>
          <w:color w:val="424242"/>
        </w:rPr>
        <w:t>compensation, carried interest and incentive compensation) and administrative expense (excluding placement fees and straight-line rent). Digital IM FRE is used to assess the extent to which direct base compensation and operating expenses are covered by recurring fee revenues in the digital investment management business. We believe that Digital IM FRE is a useful supplemental performance measure because it may provide additional insight into the profitability of the overall digital investment management business.</w:t>
      </w:r>
    </w:p>
    <w:p>
      <w:pPr>
        <w:spacing w:after="0" w:line="7" w:lineRule="exact"/>
        <w:rPr>
          <w:sz w:val="20"/>
          <w:szCs w:val="20"/>
          <w:color w:val="auto"/>
        </w:rPr>
      </w:pPr>
    </w:p>
    <w:p>
      <w:pPr>
        <w:jc w:val="both"/>
        <w:ind w:right="60"/>
        <w:spacing w:after="0" w:line="274" w:lineRule="auto"/>
        <w:rPr>
          <w:sz w:val="20"/>
          <w:szCs w:val="20"/>
          <w:color w:val="auto"/>
        </w:rPr>
      </w:pPr>
      <w:r>
        <w:rPr>
          <w:rFonts w:ascii="Arial" w:cs="Arial" w:eastAsia="Arial" w:hAnsi="Arial"/>
          <w:sz w:val="10"/>
          <w:szCs w:val="10"/>
          <w:color w:val="424242"/>
        </w:rPr>
        <w:t>Digital IM FRE is measured as Adjusted EBITDA for the Digital IM segment, adjusted to reflect the Company’s Digital IM segment as a stabilized business by excluding FRE associated with new investment strategies that have 1) not yet held a first close raising FEEUM; or 2) not yet achieved break-even Adjusted EBITDA only for investment products that may be terminated solely at the Company’s discretion, collectively referred to as “Start-up FRE.” The Company evaluates new investment strategies on a regular basis and excludes Start-Up FRE from Digital IM FRE until such time a new strategy is determined to form part of the Company’s core investment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p>
      <w:pPr>
        <w:sectPr>
          <w:pgSz w:w="11900" w:h="16838" w:orient="portrait"/>
          <w:cols w:equalWidth="0" w:num="1">
            <w:col w:w="11260"/>
          </w:cols>
          <w:pgMar w:left="300" w:top="136" w:right="339" w:bottom="1440" w:gutter="0" w:footer="0" w:header="0"/>
        </w:sectPr>
      </w:pPr>
    </w:p>
    <w:bookmarkStart w:id="12" w:name="page13"/>
    <w:bookmarkEnd w:id="12"/>
    <w:p>
      <w:pPr>
        <w:ind w:right="560"/>
        <w:spacing w:after="0" w:line="249" w:lineRule="auto"/>
        <w:rPr>
          <w:sz w:val="20"/>
          <w:szCs w:val="20"/>
          <w:color w:val="auto"/>
        </w:rPr>
      </w:pPr>
      <w:r>
        <w:rPr>
          <w:rFonts w:ascii="Arial" w:cs="Arial" w:eastAsia="Arial" w:hAnsi="Arial"/>
          <w:sz w:val="26"/>
          <w:szCs w:val="26"/>
          <w:color w:val="auto"/>
        </w:rPr>
        <w:t>Note Regarding DBRG Reportable Segments / Consolidated and OP Share of Consolidated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7804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color w:val="424242"/>
        </w:rPr>
        <w:t>This presentation includes supplemental financial information for the following segments:</w:t>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Digital Investment Management (Digital IM)</w:t>
      </w:r>
    </w:p>
    <w:p>
      <w:pPr>
        <w:spacing w:after="0" w:line="21" w:lineRule="exact"/>
        <w:rPr>
          <w:sz w:val="20"/>
          <w:szCs w:val="20"/>
          <w:color w:val="auto"/>
        </w:rPr>
      </w:pPr>
    </w:p>
    <w:p>
      <w:pPr>
        <w:ind w:right="260"/>
        <w:spacing w:after="0" w:line="234" w:lineRule="auto"/>
        <w:rPr>
          <w:sz w:val="20"/>
          <w:szCs w:val="20"/>
          <w:color w:val="auto"/>
        </w:rPr>
      </w:pPr>
      <w:r>
        <w:rPr>
          <w:rFonts w:ascii="Arial" w:cs="Arial" w:eastAsia="Arial" w:hAnsi="Arial"/>
          <w:sz w:val="10"/>
          <w:szCs w:val="10"/>
          <w:color w:val="424242"/>
        </w:rPr>
        <w:t>This business represents a leading global digital infrastructure investment platform, managing capital on behalf of a diverse base of global investors. The Company's flagship opportunistic strategy is conducted through its DigitalBridge Partners platform ("DBP") and separately capitalized vehicles, while other strategies, including digital credit, ventures and public equities, are conducted through other investment vehicles. The Company earns management fees, generally based on the</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0"/>
          <w:szCs w:val="10"/>
          <w:color w:val="424242"/>
        </w:rPr>
        <w:t>amount of assets or capital managed in investment vehicles, and has the potential to earn incentive fees and carried interest based upon the performance of such investment vehicles, subject to achievement of minimum return hurdles. Earnings from our Digital IM segment were attributed 31.5% to Wafra through the end of May 2022 when Wafra's investment in the Digital IM business was redeemed by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Digital Operating</w:t>
      </w:r>
    </w:p>
    <w:p>
      <w:pPr>
        <w:spacing w:after="0" w:line="21" w:lineRule="exact"/>
        <w:rPr>
          <w:sz w:val="20"/>
          <w:szCs w:val="20"/>
          <w:color w:val="auto"/>
        </w:rPr>
      </w:pPr>
    </w:p>
    <w:p>
      <w:pPr>
        <w:ind w:right="180"/>
        <w:spacing w:after="0" w:line="234" w:lineRule="auto"/>
        <w:rPr>
          <w:sz w:val="20"/>
          <w:szCs w:val="20"/>
          <w:color w:val="auto"/>
        </w:rPr>
      </w:pPr>
      <w:r>
        <w:rPr>
          <w:rFonts w:ascii="Arial" w:cs="Arial" w:eastAsia="Arial" w:hAnsi="Arial"/>
          <w:sz w:val="10"/>
          <w:szCs w:val="10"/>
          <w:color w:val="424242"/>
        </w:rPr>
        <w:t>This business is composed of balance sheet equity interests in digital infrastructure and real estate operating companies, which generally earn rental income from providing use of digital asset space and/or capacity through leases, services and other agreements. The Company currently owns interests in two companies: DataBank, including zColo, an edge colocation data center business; and Vantage SDC, a stabilized hyperscale data center business. Both DataBank and Vantage are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424242"/>
        </w:rPr>
        <w:t>also portfolio companies managed under Digital IM for the equity interests owned by third party capital.</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Corporate and Other</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424242"/>
        </w:rPr>
        <w:t>This segment is composed of the Company's other investment activities and corporate activities.</w:t>
      </w:r>
    </w:p>
    <w:p>
      <w:pPr>
        <w:spacing w:after="0" w:line="154" w:lineRule="exact"/>
        <w:rPr>
          <w:sz w:val="20"/>
          <w:szCs w:val="20"/>
          <w:color w:val="auto"/>
        </w:rPr>
      </w:pPr>
    </w:p>
    <w:p>
      <w:pPr>
        <w:ind w:right="20"/>
        <w:spacing w:after="0" w:line="245" w:lineRule="auto"/>
        <w:rPr>
          <w:sz w:val="20"/>
          <w:szCs w:val="20"/>
          <w:color w:val="auto"/>
        </w:rPr>
      </w:pPr>
      <w:r>
        <w:rPr>
          <w:rFonts w:ascii="Arial" w:cs="Arial" w:eastAsia="Arial" w:hAnsi="Arial"/>
          <w:sz w:val="10"/>
          <w:szCs w:val="10"/>
          <w:color w:val="424242"/>
        </w:rPr>
        <w:t>Other investment activities are composed of the Company's equity interests in: (i) digital investment vehicles, the largest of which is in the DBP flagship funds, and seed investments in various strategies such as digital liquid and digital credit; and (ii) remaining non-digital investments, primarily in BRSP. Outside of its general partner interests, the Company's other equity interests in its sponsored and/or managed digital investment vehicles are considered to be incidental to its digital investment</w:t>
      </w:r>
    </w:p>
    <w:p>
      <w:pPr>
        <w:ind w:right="60"/>
        <w:spacing w:after="0" w:line="244" w:lineRule="auto"/>
        <w:rPr>
          <w:sz w:val="20"/>
          <w:szCs w:val="20"/>
          <w:color w:val="auto"/>
        </w:rPr>
      </w:pPr>
      <w:r>
        <w:rPr>
          <w:rFonts w:ascii="Arial" w:cs="Arial" w:eastAsia="Arial" w:hAnsi="Arial"/>
          <w:sz w:val="10"/>
          <w:szCs w:val="10"/>
          <w:color w:val="424242"/>
        </w:rPr>
        <w:t>management business. The primary economics to the Company are represented by fee income and carried interest as general partner and/or manager, rather than economics from its equity interest in the investment vehicles as a limited partner or equivalent. With respect to seed investments, these are not intended to be a long-term deployment of capital by the Company and are expected to be warehoused temporarily on the Company's balance sheet until sufficient third party capital has been raised. At this time, the remaining non-digital investments are not substantially available for immediate sale and are expected to be monetized over an extended period beyond the near term. These other investment activities generate largely equity method earnings or losses and to a lesser extent, revenues in the form of interest income or dividend income from warehoused investments and consolidated investment vehicles. Effective the third quarter of 2021, these activities are no</w:t>
      </w:r>
    </w:p>
    <w:p>
      <w:pPr>
        <w:spacing w:after="0" w:line="234" w:lineRule="auto"/>
        <w:rPr>
          <w:sz w:val="20"/>
          <w:szCs w:val="20"/>
          <w:color w:val="auto"/>
        </w:rPr>
      </w:pPr>
      <w:r>
        <w:rPr>
          <w:rFonts w:ascii="Arial" w:cs="Arial" w:eastAsia="Arial" w:hAnsi="Arial"/>
          <w:sz w:val="10"/>
          <w:szCs w:val="10"/>
          <w:color w:val="424242"/>
        </w:rPr>
        <w:t>longer presented separately as the Digital Other and Other segments, which is consistent with and reflects management's focus on its core digital operations and overall simplification of the Company's business. This change in segment presentation is reflected retrospectively.</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0"/>
          <w:szCs w:val="10"/>
          <w:color w:val="424242"/>
        </w:rPr>
        <w:t>Corporate activities include corporate level cash and corresponding interest income, corporate level financing and related interest expense, corporate level transaction costs, costs in connection with unconsummated investments, income and expense related to cost reimbursement arrangements with affiliates, fixed assets for administrative use, compensation expense not directly attributable to reportable segments, corporate level administrative and overhead costs, and adjustments to eliminate intercompany fees. Costs which are directly attributable, or otherwise can be subjected to a reasonable and systematic allocation, have been allocated to each of the reportable segments. As segment results are presented before elimination of intercompany fees, elimination adjustment pertains to fee income earned by the Digital IM segment from third party capital in investment vehicles managed by the Company and consolidated within the Digital Operating segment and in Corporate and Other.</w:t>
      </w:r>
    </w:p>
    <w:p>
      <w:pPr>
        <w:spacing w:after="0" w:line="293" w:lineRule="exact"/>
        <w:rPr>
          <w:sz w:val="20"/>
          <w:szCs w:val="20"/>
          <w:color w:val="auto"/>
        </w:rPr>
      </w:pPr>
    </w:p>
    <w:p>
      <w:pPr>
        <w:spacing w:after="0" w:line="286" w:lineRule="auto"/>
        <w:rPr>
          <w:sz w:val="20"/>
          <w:szCs w:val="20"/>
          <w:color w:val="auto"/>
        </w:rPr>
      </w:pPr>
      <w:r>
        <w:rPr>
          <w:rFonts w:ascii="Arial" w:cs="Arial" w:eastAsia="Arial" w:hAnsi="Arial"/>
          <w:sz w:val="10"/>
          <w:szCs w:val="10"/>
          <w:color w:val="424242"/>
        </w:rPr>
        <w:t>Throughout this presentation, consolidated figures represent the interest of both the Company (and its subsidiary DigitalBridge Operating Company, LLC or the “DBRG OP”) and noncontrolling interests. Figures labeled as DBRG OP share represent the Company’s pro-rata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p>
      <w:pPr>
        <w:sectPr>
          <w:pgSz w:w="11900" w:h="16838" w:orient="portrait"/>
          <w:cols w:equalWidth="0" w:num="1">
            <w:col w:w="11280"/>
          </w:cols>
          <w:pgMar w:left="300" w:top="136" w:right="319" w:bottom="1440" w:gutter="0" w:footer="0" w:header="0"/>
        </w:sectPr>
      </w:pPr>
    </w:p>
    <w:bookmarkStart w:id="13" w:name="page14"/>
    <w:bookmarkEnd w:id="13"/>
    <w:p>
      <w:pPr>
        <w:spacing w:after="0"/>
        <w:rPr>
          <w:sz w:val="20"/>
          <w:szCs w:val="20"/>
          <w:color w:val="auto"/>
        </w:rPr>
      </w:pPr>
      <w:r>
        <w:rPr>
          <w:rFonts w:ascii="Arial" w:cs="Arial" w:eastAsia="Arial" w:hAnsi="Arial"/>
          <w:sz w:val="28"/>
          <w:szCs w:val="2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hanging="536"/>
        <w:spacing w:after="0"/>
        <w:tabs>
          <w:tab w:leader="none" w:pos="540" w:val="left"/>
        </w:tabs>
        <w:numPr>
          <w:ilvl w:val="0"/>
          <w:numId w:val="5"/>
        </w:numPr>
        <w:rPr>
          <w:rFonts w:ascii="Arial" w:cs="Arial" w:eastAsia="Arial" w:hAnsi="Arial"/>
          <w:sz w:val="12"/>
          <w:szCs w:val="12"/>
          <w:color w:val="3E5A99"/>
        </w:rPr>
      </w:pPr>
      <w:r>
        <w:rPr>
          <w:rFonts w:ascii="Arial" w:cs="Arial" w:eastAsia="Arial" w:hAnsi="Arial"/>
          <w:sz w:val="13"/>
          <w:szCs w:val="13"/>
          <w:color w:val="3E5A99"/>
        </w:rPr>
        <w:t>Financial Overview</w:t>
      </w:r>
    </w:p>
    <w:p>
      <w:pPr>
        <w:spacing w:after="0" w:line="103" w:lineRule="exact"/>
        <w:rPr>
          <w:sz w:val="20"/>
          <w:szCs w:val="20"/>
          <w:color w:val="auto"/>
        </w:rPr>
      </w:pPr>
    </w:p>
    <w:p>
      <w:pPr>
        <w:ind w:left="1020" w:hanging="503"/>
        <w:spacing w:after="0"/>
        <w:tabs>
          <w:tab w:leader="none" w:pos="1020" w:val="left"/>
        </w:tabs>
        <w:numPr>
          <w:ilvl w:val="1"/>
          <w:numId w:val="6"/>
        </w:numPr>
        <w:rPr>
          <w:rFonts w:ascii="Arial" w:cs="Arial" w:eastAsia="Arial" w:hAnsi="Arial"/>
          <w:sz w:val="13"/>
          <w:szCs w:val="13"/>
          <w:color w:val="424242"/>
        </w:rPr>
      </w:pPr>
      <w:r>
        <w:rPr>
          <w:rFonts w:ascii="Arial" w:cs="Arial" w:eastAsia="Arial" w:hAnsi="Arial"/>
          <w:sz w:val="13"/>
          <w:szCs w:val="13"/>
          <w:color w:val="424242"/>
        </w:rPr>
        <w:t>Summary Financial Metrics</w:t>
      </w:r>
    </w:p>
    <w:p>
      <w:pPr>
        <w:spacing w:after="0" w:line="95" w:lineRule="exact"/>
        <w:rPr>
          <w:rFonts w:ascii="Arial" w:cs="Arial" w:eastAsia="Arial" w:hAnsi="Arial"/>
          <w:sz w:val="13"/>
          <w:szCs w:val="13"/>
          <w:color w:val="424242"/>
        </w:rPr>
      </w:pPr>
    </w:p>
    <w:p>
      <w:pPr>
        <w:spacing w:after="0"/>
        <w:rPr>
          <w:rFonts w:ascii="Arial" w:cs="Arial" w:eastAsia="Arial" w:hAnsi="Arial"/>
          <w:sz w:val="13"/>
          <w:szCs w:val="13"/>
          <w:color w:val="424242"/>
        </w:rPr>
      </w:pPr>
      <w:r>
        <w:rPr>
          <w:rFonts w:ascii="Arial" w:cs="Arial" w:eastAsia="Arial" w:hAnsi="Arial"/>
          <w:sz w:val="12"/>
          <w:szCs w:val="12"/>
          <w:color w:val="3E5A99"/>
        </w:rPr>
        <w:t>II.</w:t>
      </w:r>
      <w:r>
        <w:rPr>
          <w:rFonts w:ascii="Arial" w:cs="Arial" w:eastAsia="Arial" w:hAnsi="Arial"/>
          <w:sz w:val="13"/>
          <w:szCs w:val="13"/>
          <w:color w:val="3E5A99"/>
        </w:rPr>
        <w:t>Financial Results</w:t>
      </w:r>
    </w:p>
    <w:p>
      <w:pPr>
        <w:spacing w:after="0" w:line="109" w:lineRule="exact"/>
        <w:rPr>
          <w:rFonts w:ascii="Arial" w:cs="Arial" w:eastAsia="Arial" w:hAnsi="Arial"/>
          <w:sz w:val="13"/>
          <w:szCs w:val="13"/>
          <w:color w:val="424242"/>
        </w:rPr>
      </w:pPr>
    </w:p>
    <w:p>
      <w:pPr>
        <w:ind w:left="1020" w:hanging="503"/>
        <w:spacing w:after="0"/>
        <w:tabs>
          <w:tab w:leader="none" w:pos="1020" w:val="left"/>
        </w:tabs>
        <w:numPr>
          <w:ilvl w:val="1"/>
          <w:numId w:val="7"/>
        </w:numPr>
        <w:rPr>
          <w:rFonts w:ascii="Arial" w:cs="Arial" w:eastAsia="Arial" w:hAnsi="Arial"/>
          <w:sz w:val="13"/>
          <w:szCs w:val="13"/>
          <w:color w:val="424242"/>
        </w:rPr>
      </w:pPr>
      <w:r>
        <w:rPr>
          <w:rFonts w:ascii="Arial" w:cs="Arial" w:eastAsia="Arial" w:hAnsi="Arial"/>
          <w:sz w:val="13"/>
          <w:szCs w:val="13"/>
          <w:color w:val="424242"/>
        </w:rPr>
        <w:t>Balance Sheet Consolidated &amp; Noncontrolling Interests’ Share</w:t>
      </w:r>
    </w:p>
    <w:p>
      <w:pPr>
        <w:spacing w:after="0" w:line="102" w:lineRule="exact"/>
        <w:rPr>
          <w:rFonts w:ascii="Arial" w:cs="Arial" w:eastAsia="Arial" w:hAnsi="Arial"/>
          <w:sz w:val="13"/>
          <w:szCs w:val="13"/>
          <w:color w:val="424242"/>
        </w:rPr>
      </w:pPr>
    </w:p>
    <w:p>
      <w:pPr>
        <w:ind w:left="1020" w:hanging="503"/>
        <w:spacing w:after="0"/>
        <w:tabs>
          <w:tab w:leader="none" w:pos="1020" w:val="left"/>
        </w:tabs>
        <w:numPr>
          <w:ilvl w:val="1"/>
          <w:numId w:val="7"/>
        </w:numPr>
        <w:rPr>
          <w:rFonts w:ascii="Arial" w:cs="Arial" w:eastAsia="Arial" w:hAnsi="Arial"/>
          <w:sz w:val="13"/>
          <w:szCs w:val="13"/>
          <w:color w:val="424242"/>
        </w:rPr>
      </w:pPr>
      <w:r>
        <w:rPr>
          <w:rFonts w:ascii="Arial" w:cs="Arial" w:eastAsia="Arial" w:hAnsi="Arial"/>
          <w:sz w:val="13"/>
          <w:szCs w:val="13"/>
          <w:color w:val="424242"/>
        </w:rPr>
        <w:t>Consolidated Segment Operating Results</w:t>
      </w:r>
    </w:p>
    <w:p>
      <w:pPr>
        <w:spacing w:after="0" w:line="102" w:lineRule="exact"/>
        <w:rPr>
          <w:rFonts w:ascii="Arial" w:cs="Arial" w:eastAsia="Arial" w:hAnsi="Arial"/>
          <w:sz w:val="13"/>
          <w:szCs w:val="13"/>
          <w:color w:val="424242"/>
        </w:rPr>
      </w:pPr>
    </w:p>
    <w:p>
      <w:pPr>
        <w:ind w:left="1020" w:hanging="503"/>
        <w:spacing w:after="0"/>
        <w:tabs>
          <w:tab w:leader="none" w:pos="1020" w:val="left"/>
        </w:tabs>
        <w:numPr>
          <w:ilvl w:val="1"/>
          <w:numId w:val="7"/>
        </w:numPr>
        <w:rPr>
          <w:rFonts w:ascii="Arial" w:cs="Arial" w:eastAsia="Arial" w:hAnsi="Arial"/>
          <w:sz w:val="13"/>
          <w:szCs w:val="13"/>
          <w:color w:val="424242"/>
        </w:rPr>
      </w:pPr>
      <w:r>
        <w:rPr>
          <w:rFonts w:ascii="Arial" w:cs="Arial" w:eastAsia="Arial" w:hAnsi="Arial"/>
          <w:sz w:val="13"/>
          <w:szCs w:val="13"/>
          <w:color w:val="424242"/>
        </w:rPr>
        <w:t>Noncontrolling Interests’ Share Segment Operating Results</w:t>
      </w:r>
    </w:p>
    <w:p>
      <w:pPr>
        <w:spacing w:after="0" w:line="102" w:lineRule="exact"/>
        <w:rPr>
          <w:rFonts w:ascii="Arial" w:cs="Arial" w:eastAsia="Arial" w:hAnsi="Arial"/>
          <w:sz w:val="13"/>
          <w:szCs w:val="13"/>
          <w:color w:val="424242"/>
        </w:rPr>
      </w:pPr>
    </w:p>
    <w:p>
      <w:pPr>
        <w:ind w:left="1020" w:hanging="503"/>
        <w:spacing w:after="0"/>
        <w:tabs>
          <w:tab w:leader="none" w:pos="1020" w:val="left"/>
        </w:tabs>
        <w:numPr>
          <w:ilvl w:val="1"/>
          <w:numId w:val="7"/>
        </w:numPr>
        <w:rPr>
          <w:rFonts w:ascii="Arial" w:cs="Arial" w:eastAsia="Arial" w:hAnsi="Arial"/>
          <w:sz w:val="13"/>
          <w:szCs w:val="13"/>
          <w:color w:val="424242"/>
        </w:rPr>
      </w:pPr>
      <w:r>
        <w:rPr>
          <w:rFonts w:ascii="Arial" w:cs="Arial" w:eastAsia="Arial" w:hAnsi="Arial"/>
          <w:sz w:val="13"/>
          <w:szCs w:val="13"/>
          <w:color w:val="424242"/>
        </w:rPr>
        <w:t>Segment Reconciliation of Net Income to DE and Adjusted EBITDA</w:t>
      </w:r>
    </w:p>
    <w:p>
      <w:pPr>
        <w:spacing w:after="0" w:line="103" w:lineRule="exact"/>
        <w:rPr>
          <w:sz w:val="20"/>
          <w:szCs w:val="20"/>
          <w:color w:val="auto"/>
        </w:rPr>
      </w:pPr>
    </w:p>
    <w:p>
      <w:pPr>
        <w:ind w:left="540" w:hanging="536"/>
        <w:spacing w:after="0"/>
        <w:tabs>
          <w:tab w:leader="none" w:pos="540" w:val="left"/>
        </w:tabs>
        <w:numPr>
          <w:ilvl w:val="0"/>
          <w:numId w:val="8"/>
        </w:numPr>
        <w:rPr>
          <w:rFonts w:ascii="Arial" w:cs="Arial" w:eastAsia="Arial" w:hAnsi="Arial"/>
          <w:sz w:val="12"/>
          <w:szCs w:val="12"/>
          <w:color w:val="3E5A99"/>
        </w:rPr>
      </w:pPr>
      <w:r>
        <w:rPr>
          <w:rFonts w:ascii="Arial" w:cs="Arial" w:eastAsia="Arial" w:hAnsi="Arial"/>
          <w:sz w:val="13"/>
          <w:szCs w:val="13"/>
          <w:color w:val="3E5A99"/>
        </w:rPr>
        <w:t>Capitalization</w:t>
      </w:r>
    </w:p>
    <w:p>
      <w:pPr>
        <w:spacing w:after="0" w:line="102" w:lineRule="exact"/>
        <w:rPr>
          <w:rFonts w:ascii="Arial" w:cs="Arial" w:eastAsia="Arial" w:hAnsi="Arial"/>
          <w:sz w:val="12"/>
          <w:szCs w:val="12"/>
          <w:color w:val="3E5A99"/>
        </w:rPr>
      </w:pPr>
    </w:p>
    <w:p>
      <w:pPr>
        <w:ind w:left="1020" w:hanging="503"/>
        <w:spacing w:after="0"/>
        <w:tabs>
          <w:tab w:leader="none" w:pos="1020" w:val="left"/>
        </w:tabs>
        <w:numPr>
          <w:ilvl w:val="1"/>
          <w:numId w:val="8"/>
        </w:numPr>
        <w:rPr>
          <w:rFonts w:ascii="Arial" w:cs="Arial" w:eastAsia="Arial" w:hAnsi="Arial"/>
          <w:sz w:val="13"/>
          <w:szCs w:val="13"/>
          <w:color w:val="424242"/>
        </w:rPr>
      </w:pPr>
      <w:r>
        <w:rPr>
          <w:rFonts w:ascii="Arial" w:cs="Arial" w:eastAsia="Arial" w:hAnsi="Arial"/>
          <w:sz w:val="13"/>
          <w:szCs w:val="13"/>
          <w:color w:val="424242"/>
        </w:rPr>
        <w:t>Debt Summary</w:t>
      </w:r>
    </w:p>
    <w:p>
      <w:pPr>
        <w:spacing w:after="0" w:line="102" w:lineRule="exact"/>
        <w:rPr>
          <w:rFonts w:ascii="Arial" w:cs="Arial" w:eastAsia="Arial" w:hAnsi="Arial"/>
          <w:sz w:val="13"/>
          <w:szCs w:val="13"/>
          <w:color w:val="424242"/>
        </w:rPr>
      </w:pPr>
    </w:p>
    <w:p>
      <w:pPr>
        <w:ind w:left="1020" w:hanging="503"/>
        <w:spacing w:after="0"/>
        <w:tabs>
          <w:tab w:leader="none" w:pos="1020" w:val="left"/>
        </w:tabs>
        <w:numPr>
          <w:ilvl w:val="1"/>
          <w:numId w:val="8"/>
        </w:numPr>
        <w:rPr>
          <w:rFonts w:ascii="Arial" w:cs="Arial" w:eastAsia="Arial" w:hAnsi="Arial"/>
          <w:sz w:val="13"/>
          <w:szCs w:val="13"/>
          <w:color w:val="424242"/>
        </w:rPr>
      </w:pPr>
      <w:r>
        <w:rPr>
          <w:rFonts w:ascii="Arial" w:cs="Arial" w:eastAsia="Arial" w:hAnsi="Arial"/>
          <w:sz w:val="13"/>
          <w:szCs w:val="13"/>
          <w:color w:val="424242"/>
        </w:rPr>
        <w:t>Secured Fund Fee Revenue Notes and Variable Funding Notes</w:t>
      </w:r>
    </w:p>
    <w:p>
      <w:pPr>
        <w:spacing w:after="0" w:line="102" w:lineRule="exact"/>
        <w:rPr>
          <w:rFonts w:ascii="Arial" w:cs="Arial" w:eastAsia="Arial" w:hAnsi="Arial"/>
          <w:sz w:val="13"/>
          <w:szCs w:val="13"/>
          <w:color w:val="424242"/>
        </w:rPr>
      </w:pPr>
    </w:p>
    <w:p>
      <w:pPr>
        <w:ind w:left="1020" w:hanging="503"/>
        <w:spacing w:after="0"/>
        <w:tabs>
          <w:tab w:leader="none" w:pos="1020" w:val="left"/>
        </w:tabs>
        <w:numPr>
          <w:ilvl w:val="1"/>
          <w:numId w:val="8"/>
        </w:numPr>
        <w:rPr>
          <w:rFonts w:ascii="Arial" w:cs="Arial" w:eastAsia="Arial" w:hAnsi="Arial"/>
          <w:sz w:val="13"/>
          <w:szCs w:val="13"/>
          <w:color w:val="424242"/>
        </w:rPr>
      </w:pPr>
      <w:r>
        <w:rPr>
          <w:rFonts w:ascii="Arial" w:cs="Arial" w:eastAsia="Arial" w:hAnsi="Arial"/>
          <w:sz w:val="13"/>
          <w:szCs w:val="13"/>
          <w:color w:val="424242"/>
        </w:rPr>
        <w:t>Convertible/Exchangeable Notes &amp; Perpetual Preferred Stock</w:t>
      </w:r>
    </w:p>
    <w:p>
      <w:pPr>
        <w:spacing w:after="0" w:line="102" w:lineRule="exact"/>
        <w:rPr>
          <w:rFonts w:ascii="Arial" w:cs="Arial" w:eastAsia="Arial" w:hAnsi="Arial"/>
          <w:sz w:val="13"/>
          <w:szCs w:val="13"/>
          <w:color w:val="424242"/>
        </w:rPr>
      </w:pPr>
    </w:p>
    <w:p>
      <w:pPr>
        <w:ind w:left="1020" w:hanging="503"/>
        <w:spacing w:after="0"/>
        <w:tabs>
          <w:tab w:leader="none" w:pos="1020" w:val="left"/>
        </w:tabs>
        <w:numPr>
          <w:ilvl w:val="1"/>
          <w:numId w:val="8"/>
        </w:numPr>
        <w:rPr>
          <w:rFonts w:ascii="Arial" w:cs="Arial" w:eastAsia="Arial" w:hAnsi="Arial"/>
          <w:sz w:val="13"/>
          <w:szCs w:val="13"/>
          <w:color w:val="424242"/>
        </w:rPr>
      </w:pPr>
      <w:r>
        <w:rPr>
          <w:rFonts w:ascii="Arial" w:cs="Arial" w:eastAsia="Arial" w:hAnsi="Arial"/>
          <w:sz w:val="13"/>
          <w:szCs w:val="13"/>
          <w:color w:val="424242"/>
        </w:rPr>
        <w:t>Organization Structure</w:t>
      </w:r>
    </w:p>
    <w:p>
      <w:pPr>
        <w:spacing w:after="0" w:line="95"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color w:val="3E5A99"/>
        </w:rPr>
        <w:t>IV.</w:t>
      </w:r>
      <w:r>
        <w:rPr>
          <w:sz w:val="20"/>
          <w:szCs w:val="20"/>
          <w:color w:val="auto"/>
        </w:rPr>
        <w:tab/>
      </w:r>
      <w:r>
        <w:rPr>
          <w:rFonts w:ascii="Arial" w:cs="Arial" w:eastAsia="Arial" w:hAnsi="Arial"/>
          <w:sz w:val="13"/>
          <w:szCs w:val="13"/>
          <w:color w:val="3E5A99"/>
        </w:rPr>
        <w:t>Assets Under Management</w:t>
      </w:r>
    </w:p>
    <w:p>
      <w:pPr>
        <w:spacing w:after="0" w:line="110" w:lineRule="exact"/>
        <w:rPr>
          <w:sz w:val="20"/>
          <w:szCs w:val="20"/>
          <w:color w:val="auto"/>
        </w:rPr>
      </w:pPr>
    </w:p>
    <w:p>
      <w:pPr>
        <w:ind w:left="540" w:hanging="536"/>
        <w:spacing w:after="0"/>
        <w:tabs>
          <w:tab w:leader="none" w:pos="540" w:val="left"/>
        </w:tabs>
        <w:numPr>
          <w:ilvl w:val="0"/>
          <w:numId w:val="9"/>
        </w:numPr>
        <w:rPr>
          <w:rFonts w:ascii="Arial" w:cs="Arial" w:eastAsia="Arial" w:hAnsi="Arial"/>
          <w:sz w:val="12"/>
          <w:szCs w:val="12"/>
          <w:color w:val="3E5A99"/>
        </w:rPr>
      </w:pPr>
      <w:r>
        <w:rPr>
          <w:rFonts w:ascii="Arial" w:cs="Arial" w:eastAsia="Arial" w:hAnsi="Arial"/>
          <w:sz w:val="13"/>
          <w:szCs w:val="13"/>
          <w:color w:val="3E5A99"/>
        </w:rPr>
        <w:t>Digital Investment Management</w:t>
      </w:r>
    </w:p>
    <w:p>
      <w:pPr>
        <w:spacing w:after="0" w:line="95"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color w:val="3E5A99"/>
        </w:rPr>
        <w:t>VI.</w:t>
      </w:r>
      <w:r>
        <w:rPr>
          <w:sz w:val="20"/>
          <w:szCs w:val="20"/>
          <w:color w:val="auto"/>
        </w:rPr>
        <w:tab/>
      </w:r>
      <w:r>
        <w:rPr>
          <w:rFonts w:ascii="Arial" w:cs="Arial" w:eastAsia="Arial" w:hAnsi="Arial"/>
          <w:sz w:val="13"/>
          <w:szCs w:val="13"/>
          <w:color w:val="3E5A99"/>
        </w:rPr>
        <w:t>Digital Operating</w:t>
      </w:r>
    </w:p>
    <w:p>
      <w:pPr>
        <w:spacing w:after="0" w:line="103"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color w:val="3E5A99"/>
        </w:rPr>
        <w:t>VII.</w:t>
      </w:r>
      <w:r>
        <w:rPr>
          <w:sz w:val="20"/>
          <w:szCs w:val="20"/>
          <w:color w:val="auto"/>
        </w:rPr>
        <w:tab/>
      </w:r>
      <w:r>
        <w:rPr>
          <w:rFonts w:ascii="Arial" w:cs="Arial" w:eastAsia="Arial" w:hAnsi="Arial"/>
          <w:sz w:val="13"/>
          <w:szCs w:val="13"/>
          <w:color w:val="3E5A99"/>
        </w:rPr>
        <w:t>Other</w:t>
      </w:r>
    </w:p>
    <w:p>
      <w:pPr>
        <w:spacing w:after="0" w:line="103"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color w:val="3E5A99"/>
        </w:rPr>
        <w:t>VIII.</w:t>
      </w:r>
      <w:r>
        <w:rPr>
          <w:sz w:val="20"/>
          <w:szCs w:val="20"/>
          <w:color w:val="auto"/>
        </w:rPr>
        <w:tab/>
      </w:r>
      <w:r>
        <w:rPr>
          <w:rFonts w:ascii="Arial" w:cs="Arial" w:eastAsia="Arial" w:hAnsi="Arial"/>
          <w:sz w:val="13"/>
          <w:szCs w:val="13"/>
          <w:color w:val="3E5A99"/>
        </w:rPr>
        <w:t>Cash G&amp;A Expense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3E5A99"/>
        </w:rPr>
        <w:t>Appendices</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3"/>
          <w:szCs w:val="13"/>
          <w:color w:val="3E5A99"/>
        </w:rPr>
        <w:t>Reconciliations of Digital IM FRE and Digital Operating Adjusted EBITDA to Net Income (Loss)</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3"/>
          <w:szCs w:val="13"/>
          <w:color w:val="3E5A99"/>
        </w:rPr>
        <w:t>Reconciliations of DE and Adjusted EBITDA and to Net Income (Loss)</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3"/>
          <w:szCs w:val="13"/>
          <w:color w:val="3E5A99"/>
        </w:rPr>
        <w:t>Definitions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u w:val="single" w:color="auto"/>
          <w:color w:val="40576D"/>
        </w:rPr>
        <w:t>Page</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3"/>
          <w:szCs w:val="13"/>
          <w:color w:val="424242"/>
        </w:rPr>
        <w:t>6</w:t>
      </w:r>
    </w:p>
    <w:p>
      <w:pPr>
        <w:spacing w:after="0" w:line="355"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7</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8</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9</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10-11</w:t>
      </w:r>
    </w:p>
    <w:p>
      <w:pPr>
        <w:spacing w:after="0" w:line="355"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12</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13</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14</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15</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16</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17</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18-20</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21</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22</w:t>
      </w:r>
    </w:p>
    <w:p>
      <w:pPr>
        <w:spacing w:after="0" w:line="200" w:lineRule="exact"/>
        <w:rPr>
          <w:sz w:val="20"/>
          <w:szCs w:val="20"/>
          <w:color w:val="auto"/>
        </w:rPr>
      </w:pPr>
    </w:p>
    <w:p>
      <w:pPr>
        <w:spacing w:after="0" w:line="218"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24</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25-26</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27</w:t>
      </w:r>
    </w:p>
    <w:p>
      <w:pPr>
        <w:spacing w:after="0" w:line="200" w:lineRule="exact"/>
        <w:rPr>
          <w:sz w:val="20"/>
          <w:szCs w:val="20"/>
          <w:color w:val="auto"/>
        </w:rPr>
      </w:pPr>
    </w:p>
    <w:p>
      <w:pPr>
        <w:sectPr>
          <w:pgSz w:w="11900" w:h="16838" w:orient="portrait"/>
          <w:cols w:equalWidth="0" w:num="2">
            <w:col w:w="6740" w:space="720"/>
            <w:col w:w="3840"/>
          </w:cols>
          <w:pgMar w:left="300" w:top="130" w:right="299" w:bottom="1440" w:gutter="0" w:footer="0" w:header="0"/>
          <w:type w:val="continuous"/>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8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5</w:t>
            </w:r>
          </w:p>
        </w:tc>
      </w:tr>
    </w:tbl>
    <w:p>
      <w:pPr>
        <w:sectPr>
          <w:pgSz w:w="11900" w:h="16838" w:orient="portrait"/>
          <w:cols w:equalWidth="0" w:num="1">
            <w:col w:w="11300"/>
          </w:cols>
          <w:pgMar w:left="300" w:top="130" w:right="299" w:bottom="1440" w:gutter="0" w:footer="0" w:header="0"/>
          <w:type w:val="continuous"/>
        </w:sectPr>
      </w:pPr>
    </w:p>
    <w:bookmarkStart w:id="14" w:name="page15"/>
    <w:bookmarkEnd w:id="14"/>
    <w:p>
      <w:pPr>
        <w:ind w:left="8"/>
        <w:spacing w:after="0"/>
        <w:rPr>
          <w:sz w:val="20"/>
          <w:szCs w:val="20"/>
          <w:color w:val="auto"/>
        </w:rPr>
      </w:pPr>
      <w:r>
        <w:rPr>
          <w:rFonts w:ascii="Arial" w:cs="Arial" w:eastAsia="Arial" w:hAnsi="Arial"/>
          <w:sz w:val="29"/>
          <w:szCs w:val="29"/>
          <w:color w:val="auto"/>
        </w:rPr>
        <w:t>Ia. Summary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3620" w:type="dxa"/>
            <w:vAlign w:val="bottom"/>
          </w:tcPr>
          <w:p>
            <w:pPr>
              <w:spacing w:after="0"/>
              <w:rPr>
                <w:sz w:val="20"/>
                <w:szCs w:val="20"/>
                <w:color w:val="auto"/>
              </w:rPr>
            </w:pPr>
            <w:r>
              <w:rPr>
                <w:rFonts w:ascii="Arial" w:cs="Arial" w:eastAsia="Arial" w:hAnsi="Arial"/>
                <w:sz w:val="10"/>
                <w:szCs w:val="10"/>
                <w:i w:val="1"/>
                <w:iCs w:val="1"/>
                <w:color w:val="auto"/>
              </w:rPr>
              <w:t>($ and shares in thousands, except per share data and as noted) (Unaudited)</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6/30/2022 - 2Q22</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97"/>
              </w:rPr>
              <w:t>3/31/2022 - 1Q22</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12/31/2021 - 4Q21</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7"/>
              </w:rPr>
              <w:t>9/30/2021 - 3Q21</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97"/>
              </w:rPr>
              <w:t>6/30/2021 - 2Q21</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97"/>
              </w:rPr>
              <w:t>3/31/2021 - 1Q21</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12/31/2020 - 4Q20</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w w:val="98"/>
              </w:rPr>
              <w:t>9/30/2020- 3Q20</w:t>
            </w:r>
          </w:p>
        </w:tc>
        <w:tc>
          <w:tcPr>
            <w:tcW w:w="0" w:type="dxa"/>
            <w:vAlign w:val="bottom"/>
          </w:tcPr>
          <w:p>
            <w:pPr>
              <w:spacing w:after="0"/>
              <w:rPr>
                <w:sz w:val="1"/>
                <w:szCs w:val="1"/>
                <w:color w:val="auto"/>
              </w:rPr>
            </w:pPr>
          </w:p>
        </w:tc>
      </w:tr>
      <w:tr>
        <w:trPr>
          <w:trHeight w:val="124"/>
        </w:trPr>
        <w:tc>
          <w:tcPr>
            <w:tcW w:w="3620" w:type="dxa"/>
            <w:vAlign w:val="bottom"/>
          </w:tcPr>
          <w:p>
            <w:pPr>
              <w:spacing w:after="0" w:line="124" w:lineRule="exact"/>
              <w:rPr>
                <w:sz w:val="20"/>
                <w:szCs w:val="20"/>
                <w:color w:val="auto"/>
              </w:rPr>
            </w:pPr>
            <w:r>
              <w:rPr>
                <w:rFonts w:ascii="Arial" w:cs="Arial" w:eastAsia="Arial" w:hAnsi="Arial"/>
                <w:sz w:val="11"/>
                <w:szCs w:val="11"/>
                <w:b w:val="1"/>
                <w:bCs w:val="1"/>
                <w:i w:val="1"/>
                <w:iCs w:val="1"/>
                <w:color w:val="003366"/>
              </w:rPr>
              <w:t>Financial Data</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Net income (loss) attributable to common stockholders</w:t>
            </w: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(37,321)</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(262,316)</w:t>
            </w:r>
          </w:p>
        </w:tc>
        <w:tc>
          <w:tcPr>
            <w:tcW w:w="24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(20,686)</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41,036</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(141,260)</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(264,806)</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(140,575)</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(205,784)</w:t>
            </w:r>
          </w:p>
        </w:tc>
        <w:tc>
          <w:tcPr>
            <w:tcW w:w="0" w:type="dxa"/>
            <w:vAlign w:val="bottom"/>
          </w:tcPr>
          <w:p>
            <w:pPr>
              <w:spacing w:after="0"/>
              <w:rPr>
                <w:sz w:val="1"/>
                <w:szCs w:val="1"/>
                <w:color w:val="auto"/>
              </w:rPr>
            </w:pPr>
          </w:p>
        </w:tc>
      </w:tr>
      <w:tr>
        <w:trPr>
          <w:trHeight w:val="143"/>
        </w:trPr>
        <w:tc>
          <w:tcPr>
            <w:tcW w:w="3620" w:type="dxa"/>
            <w:vAlign w:val="bottom"/>
          </w:tcPr>
          <w:p>
            <w:pPr>
              <w:spacing w:after="0"/>
              <w:rPr>
                <w:sz w:val="20"/>
                <w:szCs w:val="20"/>
                <w:color w:val="auto"/>
              </w:rPr>
            </w:pPr>
            <w:r>
              <w:rPr>
                <w:rFonts w:ascii="Arial" w:cs="Arial" w:eastAsia="Arial" w:hAnsi="Arial"/>
                <w:sz w:val="11"/>
                <w:szCs w:val="11"/>
                <w:color w:val="auto"/>
              </w:rPr>
              <w:t>Net income (loss) attributable to common stockholders per basic share</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(0.06)</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(0.46)</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0.08</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(0.29)</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(0.56)</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(0.30)</w:t>
            </w:r>
          </w:p>
        </w:tc>
        <w:tc>
          <w:tcPr>
            <w:tcW w:w="1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(0.44)</w:t>
            </w:r>
          </w:p>
        </w:tc>
        <w:tc>
          <w:tcPr>
            <w:tcW w:w="0" w:type="dxa"/>
            <w:vAlign w:val="bottom"/>
          </w:tcPr>
          <w:p>
            <w:pPr>
              <w:spacing w:after="0"/>
              <w:rPr>
                <w:sz w:val="1"/>
                <w:szCs w:val="1"/>
                <w:color w:val="auto"/>
              </w:rPr>
            </w:pPr>
          </w:p>
        </w:tc>
      </w:tr>
      <w:tr>
        <w:trPr>
          <w:trHeight w:val="145"/>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Distributable Earnings ("DE")</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7,585</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1,569</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(5,352)</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(5,578)</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(10,213)</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(25,373)</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(31,010)</w:t>
            </w:r>
          </w:p>
        </w:tc>
        <w:tc>
          <w:tcPr>
            <w:tcW w:w="0" w:type="dxa"/>
            <w:vAlign w:val="bottom"/>
          </w:tcPr>
          <w:p>
            <w:pPr>
              <w:spacing w:after="0"/>
              <w:rPr>
                <w:sz w:val="1"/>
                <w:szCs w:val="1"/>
                <w:color w:val="auto"/>
              </w:rPr>
            </w:pPr>
          </w:p>
        </w:tc>
      </w:tr>
      <w:tr>
        <w:trPr>
          <w:trHeight w:val="143"/>
        </w:trPr>
        <w:tc>
          <w:tcPr>
            <w:tcW w:w="3620" w:type="dxa"/>
            <w:vAlign w:val="bottom"/>
          </w:tcPr>
          <w:p>
            <w:pPr>
              <w:spacing w:after="0"/>
              <w:rPr>
                <w:sz w:val="20"/>
                <w:szCs w:val="20"/>
                <w:color w:val="auto"/>
              </w:rPr>
            </w:pPr>
            <w:r>
              <w:rPr>
                <w:rFonts w:ascii="Arial" w:cs="Arial" w:eastAsia="Arial" w:hAnsi="Arial"/>
                <w:sz w:val="11"/>
                <w:szCs w:val="11"/>
                <w:color w:val="auto"/>
              </w:rPr>
              <w:t>DE per basic share</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0.01</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(0.01)</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(0.02)</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(0.05)</w:t>
            </w:r>
          </w:p>
        </w:tc>
        <w:tc>
          <w:tcPr>
            <w:tcW w:w="1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(0.06)</w:t>
            </w:r>
          </w:p>
        </w:tc>
        <w:tc>
          <w:tcPr>
            <w:tcW w:w="0" w:type="dxa"/>
            <w:vAlign w:val="bottom"/>
          </w:tcPr>
          <w:p>
            <w:pPr>
              <w:spacing w:after="0"/>
              <w:rPr>
                <w:sz w:val="1"/>
                <w:szCs w:val="1"/>
                <w:color w:val="auto"/>
              </w:rPr>
            </w:pPr>
          </w:p>
        </w:tc>
      </w:tr>
      <w:tr>
        <w:trPr>
          <w:trHeight w:val="145"/>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Adjusted EBITDA</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30,928</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20,494</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20,957</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17,622</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15,377</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12,538</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(2,444)</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(5,519)</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1"/>
                <w:szCs w:val="11"/>
                <w:b w:val="1"/>
                <w:bCs w:val="1"/>
                <w:i w:val="1"/>
                <w:iCs w:val="1"/>
                <w:color w:val="003366"/>
              </w:rPr>
              <w:t>Balance Sheet, Capitalization and Trading Statistics</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Total consolidated assets</w:t>
            </w: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11,877,288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11,232,157</w:t>
            </w:r>
          </w:p>
        </w:tc>
        <w:tc>
          <w:tcPr>
            <w:tcW w:w="24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14,197,816</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15,442,981</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15,921,346</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16,625,250</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20,200,560</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19,043,050</w:t>
            </w:r>
          </w:p>
        </w:tc>
        <w:tc>
          <w:tcPr>
            <w:tcW w:w="0" w:type="dxa"/>
            <w:vAlign w:val="bottom"/>
          </w:tcPr>
          <w:p>
            <w:pPr>
              <w:spacing w:after="0"/>
              <w:rPr>
                <w:sz w:val="1"/>
                <w:szCs w:val="1"/>
                <w:color w:val="auto"/>
              </w:rPr>
            </w:pPr>
          </w:p>
        </w:tc>
      </w:tr>
      <w:tr>
        <w:trPr>
          <w:trHeight w:val="143"/>
        </w:trPr>
        <w:tc>
          <w:tcPr>
            <w:tcW w:w="3620" w:type="dxa"/>
            <w:vAlign w:val="bottom"/>
          </w:tcPr>
          <w:p>
            <w:pPr>
              <w:ind w:left="120"/>
              <w:spacing w:after="0"/>
              <w:rPr>
                <w:sz w:val="20"/>
                <w:szCs w:val="20"/>
                <w:color w:val="auto"/>
              </w:rPr>
            </w:pPr>
            <w:r>
              <w:rPr>
                <w:rFonts w:ascii="Arial" w:cs="Arial" w:eastAsia="Arial" w:hAnsi="Arial"/>
                <w:sz w:val="11"/>
                <w:szCs w:val="11"/>
                <w:color w:val="auto"/>
              </w:rPr>
              <w:t>DBRG OP share of consolidated assets</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4,177,806</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3,561,501</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6,233,158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6,086,259</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6,929,390</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7,324,784</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10,119,834</w:t>
            </w:r>
          </w:p>
        </w:tc>
        <w:tc>
          <w:tcPr>
            <w:tcW w:w="1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10,087,808</w:t>
            </w:r>
          </w:p>
        </w:tc>
        <w:tc>
          <w:tcPr>
            <w:tcW w:w="0" w:type="dxa"/>
            <w:vAlign w:val="bottom"/>
          </w:tcPr>
          <w:p>
            <w:pPr>
              <w:spacing w:after="0"/>
              <w:rPr>
                <w:sz w:val="1"/>
                <w:szCs w:val="1"/>
                <w:color w:val="auto"/>
              </w:rPr>
            </w:pPr>
          </w:p>
        </w:tc>
      </w:tr>
      <w:tr>
        <w:trPr>
          <w:trHeight w:val="145"/>
        </w:trPr>
        <w:tc>
          <w:tcPr>
            <w:tcW w:w="3620" w:type="dxa"/>
            <w:vAlign w:val="bottom"/>
            <w:shd w:val="clear" w:color="auto" w:fill="DBDBDB"/>
          </w:tcPr>
          <w:p>
            <w:pPr>
              <w:spacing w:after="0" w:line="145" w:lineRule="exact"/>
              <w:rPr>
                <w:sz w:val="20"/>
                <w:szCs w:val="20"/>
                <w:color w:val="auto"/>
              </w:rPr>
            </w:pPr>
            <w:r>
              <w:rPr>
                <w:rFonts w:ascii="Arial" w:cs="Arial" w:eastAsia="Arial" w:hAnsi="Arial"/>
                <w:sz w:val="11"/>
                <w:szCs w:val="11"/>
                <w:color w:val="auto"/>
              </w:rPr>
              <w:t>Total consolidated debt</w:t>
            </w:r>
            <w:r>
              <w:rPr>
                <w:rFonts w:ascii="Arial" w:cs="Arial" w:eastAsia="Arial" w:hAnsi="Arial"/>
                <w:sz w:val="14"/>
                <w:szCs w:val="14"/>
                <w:color w:val="auto"/>
                <w:vertAlign w:val="superscript"/>
              </w:rPr>
              <w:t>(1)</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5,612,274</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5,187,597</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4,922,722</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4,621,240</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3,919,255</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7,023,226</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7,931,458</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7,165,859</w:t>
            </w:r>
          </w:p>
        </w:tc>
        <w:tc>
          <w:tcPr>
            <w:tcW w:w="0" w:type="dxa"/>
            <w:vAlign w:val="bottom"/>
          </w:tcPr>
          <w:p>
            <w:pPr>
              <w:spacing w:after="0"/>
              <w:rPr>
                <w:sz w:val="1"/>
                <w:szCs w:val="1"/>
                <w:color w:val="auto"/>
              </w:rPr>
            </w:pPr>
          </w:p>
        </w:tc>
      </w:tr>
      <w:tr>
        <w:trPr>
          <w:trHeight w:val="144"/>
        </w:trPr>
        <w:tc>
          <w:tcPr>
            <w:tcW w:w="3620" w:type="dxa"/>
            <w:vAlign w:val="bottom"/>
          </w:tcPr>
          <w:p>
            <w:pPr>
              <w:ind w:left="120"/>
              <w:spacing w:after="0" w:line="144" w:lineRule="exact"/>
              <w:rPr>
                <w:sz w:val="20"/>
                <w:szCs w:val="20"/>
                <w:color w:val="auto"/>
              </w:rPr>
            </w:pPr>
            <w:r>
              <w:rPr>
                <w:rFonts w:ascii="Arial" w:cs="Arial" w:eastAsia="Arial" w:hAnsi="Arial"/>
                <w:sz w:val="11"/>
                <w:szCs w:val="11"/>
                <w:color w:val="auto"/>
              </w:rPr>
              <w:t>DBRG OP share of consolidated debt</w:t>
            </w:r>
            <w:r>
              <w:rPr>
                <w:rFonts w:ascii="Arial" w:cs="Arial" w:eastAsia="Arial" w:hAnsi="Arial"/>
                <w:sz w:val="14"/>
                <w:szCs w:val="14"/>
                <w:color w:val="auto"/>
                <w:vertAlign w:val="superscript"/>
              </w:rPr>
              <w:t>(1)</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1,746,365</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1,458,886</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1,366,528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1,391,943</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1,073,609</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3,392,620</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3,853,642</w:t>
            </w:r>
          </w:p>
        </w:tc>
        <w:tc>
          <w:tcPr>
            <w:tcW w:w="1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3,683,660</w:t>
            </w:r>
          </w:p>
        </w:tc>
        <w:tc>
          <w:tcPr>
            <w:tcW w:w="0" w:type="dxa"/>
            <w:vAlign w:val="bottom"/>
          </w:tcPr>
          <w:p>
            <w:pPr>
              <w:spacing w:after="0"/>
              <w:rPr>
                <w:sz w:val="1"/>
                <w:szCs w:val="1"/>
                <w:color w:val="auto"/>
              </w:rPr>
            </w:pPr>
          </w:p>
        </w:tc>
      </w:tr>
      <w:tr>
        <w:trPr>
          <w:trHeight w:val="144"/>
        </w:trPr>
        <w:tc>
          <w:tcPr>
            <w:tcW w:w="3620" w:type="dxa"/>
            <w:vAlign w:val="bottom"/>
            <w:shd w:val="clear" w:color="auto" w:fill="DBDBDB"/>
          </w:tcPr>
          <w:p>
            <w:pPr>
              <w:spacing w:after="0" w:line="144" w:lineRule="exact"/>
              <w:rPr>
                <w:sz w:val="20"/>
                <w:szCs w:val="20"/>
                <w:color w:val="auto"/>
              </w:rPr>
            </w:pPr>
            <w:r>
              <w:rPr>
                <w:rFonts w:ascii="Arial" w:cs="Arial" w:eastAsia="Arial" w:hAnsi="Arial"/>
                <w:sz w:val="11"/>
                <w:szCs w:val="11"/>
                <w:color w:val="auto"/>
              </w:rPr>
              <w:t>Basic shares and OP units outstanding</w:t>
            </w:r>
            <w:r>
              <w:rPr>
                <w:rFonts w:ascii="Arial" w:cs="Arial" w:eastAsia="Arial" w:hAnsi="Arial"/>
                <w:sz w:val="14"/>
                <w:szCs w:val="14"/>
                <w:color w:val="auto"/>
                <w:vertAlign w:val="superscript"/>
              </w:rPr>
              <w:t>(2)</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707,718</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649,845</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620,553</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547,162</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545,815</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538,908</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535,217</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535,473</w:t>
            </w:r>
          </w:p>
        </w:tc>
        <w:tc>
          <w:tcPr>
            <w:tcW w:w="0" w:type="dxa"/>
            <w:vAlign w:val="bottom"/>
          </w:tcPr>
          <w:p>
            <w:pPr>
              <w:spacing w:after="0"/>
              <w:rPr>
                <w:sz w:val="1"/>
                <w:szCs w:val="1"/>
                <w:color w:val="auto"/>
              </w:rPr>
            </w:pPr>
          </w:p>
        </w:tc>
      </w:tr>
      <w:tr>
        <w:trPr>
          <w:trHeight w:val="143"/>
        </w:trPr>
        <w:tc>
          <w:tcPr>
            <w:tcW w:w="3620" w:type="dxa"/>
            <w:vAlign w:val="bottom"/>
          </w:tcPr>
          <w:p>
            <w:pPr>
              <w:spacing w:after="0"/>
              <w:rPr>
                <w:sz w:val="20"/>
                <w:szCs w:val="20"/>
                <w:color w:val="auto"/>
              </w:rPr>
            </w:pPr>
            <w:r>
              <w:rPr>
                <w:rFonts w:ascii="Arial" w:cs="Arial" w:eastAsia="Arial" w:hAnsi="Arial"/>
                <w:sz w:val="11"/>
                <w:szCs w:val="11"/>
                <w:color w:val="auto"/>
              </w:rPr>
              <w:t>Liquidation preference of perpetual preferred equity</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883,500</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883,500</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883,500</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947,500</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1,033,750</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1,033,750</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1,033,750</w:t>
            </w:r>
          </w:p>
        </w:tc>
        <w:tc>
          <w:tcPr>
            <w:tcW w:w="1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1,033,750</w:t>
            </w:r>
          </w:p>
        </w:tc>
        <w:tc>
          <w:tcPr>
            <w:tcW w:w="0" w:type="dxa"/>
            <w:vAlign w:val="bottom"/>
          </w:tcPr>
          <w:p>
            <w:pPr>
              <w:spacing w:after="0"/>
              <w:rPr>
                <w:sz w:val="1"/>
                <w:szCs w:val="1"/>
                <w:color w:val="auto"/>
              </w:rPr>
            </w:pPr>
          </w:p>
        </w:tc>
      </w:tr>
      <w:tr>
        <w:trPr>
          <w:trHeight w:val="145"/>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Insider ownership of shares and OP units</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3.5%</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9.4%</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9.4%</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3"/>
        </w:trPr>
        <w:tc>
          <w:tcPr>
            <w:tcW w:w="3620" w:type="dxa"/>
            <w:vAlign w:val="bottom"/>
          </w:tcPr>
          <w:p>
            <w:pPr>
              <w:spacing w:after="0"/>
              <w:rPr>
                <w:sz w:val="20"/>
                <w:szCs w:val="20"/>
                <w:color w:val="auto"/>
              </w:rPr>
            </w:pPr>
            <w:r>
              <w:rPr>
                <w:rFonts w:ascii="Arial" w:cs="Arial" w:eastAsia="Arial" w:hAnsi="Arial"/>
                <w:sz w:val="11"/>
                <w:szCs w:val="11"/>
                <w:color w:val="auto"/>
              </w:rPr>
              <w:t>Digital Assets Under Management ("AUM") (in billions)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47.9</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46.6</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45.3</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37.8</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34.9</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32.0</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30.0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45"/>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Digital Fee Earning Equity Under Management ("FEEUM") (in billions)</w:t>
            </w: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19.0</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18.8</w:t>
            </w:r>
          </w:p>
        </w:tc>
        <w:tc>
          <w:tcPr>
            <w:tcW w:w="24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18.3</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16.5</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14.5</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12.9</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1"/>
                <w:szCs w:val="11"/>
                <w:b w:val="1"/>
                <w:bCs w:val="1"/>
                <w:i w:val="1"/>
                <w:iCs w:val="1"/>
                <w:color w:val="003366"/>
              </w:rPr>
              <w:t>Digital Key Metrics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Digital IM FRE</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25,459</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24,604</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34,790</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33,659</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27,680</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20,138</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6,415</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10,731</w:t>
            </w:r>
          </w:p>
        </w:tc>
        <w:tc>
          <w:tcPr>
            <w:tcW w:w="0" w:type="dxa"/>
            <w:vAlign w:val="bottom"/>
          </w:tcPr>
          <w:p>
            <w:pPr>
              <w:spacing w:after="0"/>
              <w:rPr>
                <w:sz w:val="1"/>
                <w:szCs w:val="1"/>
                <w:color w:val="auto"/>
              </w:rPr>
            </w:pPr>
          </w:p>
        </w:tc>
      </w:tr>
      <w:tr>
        <w:trPr>
          <w:trHeight w:val="143"/>
        </w:trPr>
        <w:tc>
          <w:tcPr>
            <w:tcW w:w="3620" w:type="dxa"/>
            <w:vAlign w:val="bottom"/>
          </w:tcPr>
          <w:p>
            <w:pPr>
              <w:spacing w:after="0"/>
              <w:rPr>
                <w:sz w:val="20"/>
                <w:szCs w:val="20"/>
                <w:color w:val="auto"/>
              </w:rPr>
            </w:pPr>
            <w:r>
              <w:rPr>
                <w:rFonts w:ascii="Arial" w:cs="Arial" w:eastAsia="Arial" w:hAnsi="Arial"/>
                <w:sz w:val="11"/>
                <w:szCs w:val="11"/>
                <w:color w:val="auto"/>
              </w:rPr>
              <w:t>Digital IM FRE - DBRG OP share</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20,759</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16,989</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23,757</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22,922</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19,470</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13,583</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3,893</w:t>
            </w:r>
          </w:p>
        </w:tc>
        <w:tc>
          <w:tcPr>
            <w:tcW w:w="1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8,148</w:t>
            </w:r>
          </w:p>
        </w:tc>
        <w:tc>
          <w:tcPr>
            <w:tcW w:w="0" w:type="dxa"/>
            <w:vAlign w:val="bottom"/>
          </w:tcPr>
          <w:p>
            <w:pPr>
              <w:spacing w:after="0"/>
              <w:rPr>
                <w:sz w:val="1"/>
                <w:szCs w:val="1"/>
                <w:color w:val="auto"/>
              </w:rPr>
            </w:pPr>
          </w:p>
        </w:tc>
      </w:tr>
      <w:tr>
        <w:trPr>
          <w:trHeight w:val="145"/>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Digital Operating Adjusted EBITDA</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101,233</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88,659</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84,529</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80,886</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81,995</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82,287</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59,716</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45,177</w:t>
            </w:r>
          </w:p>
        </w:tc>
        <w:tc>
          <w:tcPr>
            <w:tcW w:w="0" w:type="dxa"/>
            <w:vAlign w:val="bottom"/>
          </w:tcPr>
          <w:p>
            <w:pPr>
              <w:spacing w:after="0"/>
              <w:rPr>
                <w:sz w:val="1"/>
                <w:szCs w:val="1"/>
                <w:color w:val="auto"/>
              </w:rPr>
            </w:pPr>
          </w:p>
        </w:tc>
      </w:tr>
      <w:tr>
        <w:trPr>
          <w:trHeight w:val="143"/>
        </w:trPr>
        <w:tc>
          <w:tcPr>
            <w:tcW w:w="3620" w:type="dxa"/>
            <w:vAlign w:val="bottom"/>
          </w:tcPr>
          <w:p>
            <w:pPr>
              <w:spacing w:after="0"/>
              <w:rPr>
                <w:sz w:val="20"/>
                <w:szCs w:val="20"/>
                <w:color w:val="auto"/>
              </w:rPr>
            </w:pPr>
            <w:r>
              <w:rPr>
                <w:rFonts w:ascii="Arial" w:cs="Arial" w:eastAsia="Arial" w:hAnsi="Arial"/>
                <w:sz w:val="11"/>
                <w:szCs w:val="11"/>
                <w:color w:val="auto"/>
              </w:rPr>
              <w:t>Digital Operating Adjusted EBITDA - DBRG OP share</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17,643</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15,497</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14,200</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13,636</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13,776</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13,948</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9,620</w:t>
            </w:r>
          </w:p>
        </w:tc>
        <w:tc>
          <w:tcPr>
            <w:tcW w:w="1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6,914</w:t>
            </w:r>
          </w:p>
        </w:tc>
        <w:tc>
          <w:tcPr>
            <w:tcW w:w="0" w:type="dxa"/>
            <w:vAlign w:val="bottom"/>
          </w:tcPr>
          <w:p>
            <w:pPr>
              <w:spacing w:after="0"/>
              <w:rPr>
                <w:sz w:val="1"/>
                <w:szCs w:val="1"/>
                <w:color w:val="auto"/>
              </w:rPr>
            </w:pPr>
          </w:p>
        </w:tc>
      </w:tr>
      <w:tr>
        <w:trPr>
          <w:trHeight w:val="145"/>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Digital and Corporate Debt</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5,612,274</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5,187,597</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4,856,222</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4,617,240</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3,919,255</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3,869,338</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3,758,345</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3,077,861</w:t>
            </w:r>
          </w:p>
        </w:tc>
        <w:tc>
          <w:tcPr>
            <w:tcW w:w="0" w:type="dxa"/>
            <w:vAlign w:val="bottom"/>
          </w:tcPr>
          <w:p>
            <w:pPr>
              <w:spacing w:after="0"/>
              <w:rPr>
                <w:sz w:val="1"/>
                <w:szCs w:val="1"/>
                <w:color w:val="auto"/>
              </w:rPr>
            </w:pPr>
          </w:p>
        </w:tc>
      </w:tr>
      <w:tr>
        <w:trPr>
          <w:trHeight w:val="143"/>
        </w:trPr>
        <w:tc>
          <w:tcPr>
            <w:tcW w:w="3620" w:type="dxa"/>
            <w:vAlign w:val="bottom"/>
          </w:tcPr>
          <w:p>
            <w:pPr>
              <w:spacing w:after="0"/>
              <w:rPr>
                <w:sz w:val="20"/>
                <w:szCs w:val="20"/>
                <w:color w:val="auto"/>
              </w:rPr>
            </w:pPr>
            <w:r>
              <w:rPr>
                <w:rFonts w:ascii="Arial" w:cs="Arial" w:eastAsia="Arial" w:hAnsi="Arial"/>
                <w:sz w:val="11"/>
                <w:szCs w:val="11"/>
                <w:color w:val="auto"/>
              </w:rPr>
              <w:t>Digital and Corporate Debt - DBRG OP share</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1,746,365</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1,458,886</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1,300,028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1,387,943</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1,073,609</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1,027,520</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1,059,881</w:t>
            </w:r>
          </w:p>
        </w:tc>
        <w:tc>
          <w:tcPr>
            <w:tcW w:w="1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886,765</w:t>
            </w:r>
          </w:p>
        </w:tc>
        <w:tc>
          <w:tcPr>
            <w:tcW w:w="0" w:type="dxa"/>
            <w:vAlign w:val="bottom"/>
          </w:tcPr>
          <w:p>
            <w:pPr>
              <w:spacing w:after="0"/>
              <w:rPr>
                <w:sz w:val="1"/>
                <w:szCs w:val="1"/>
                <w:color w:val="auto"/>
              </w:rPr>
            </w:pPr>
          </w:p>
        </w:tc>
      </w:tr>
      <w:tr>
        <w:trPr>
          <w:trHeight w:val="145"/>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Other digital net carrying value</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1,190,358</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672,130</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532,969</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503,106</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424,345</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353,776</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353,194</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256,451</w:t>
            </w:r>
          </w:p>
        </w:tc>
        <w:tc>
          <w:tcPr>
            <w:tcW w:w="0" w:type="dxa"/>
            <w:vAlign w:val="bottom"/>
          </w:tcPr>
          <w:p>
            <w:pPr>
              <w:spacing w:after="0"/>
              <w:rPr>
                <w:sz w:val="1"/>
                <w:szCs w:val="1"/>
                <w:color w:val="auto"/>
              </w:rPr>
            </w:pPr>
          </w:p>
        </w:tc>
      </w:tr>
      <w:tr>
        <w:trPr>
          <w:trHeight w:val="143"/>
        </w:trPr>
        <w:tc>
          <w:tcPr>
            <w:tcW w:w="3620" w:type="dxa"/>
            <w:vAlign w:val="bottom"/>
          </w:tcPr>
          <w:p>
            <w:pPr>
              <w:spacing w:after="0"/>
              <w:rPr>
                <w:sz w:val="20"/>
                <w:szCs w:val="20"/>
                <w:color w:val="auto"/>
              </w:rPr>
            </w:pPr>
            <w:r>
              <w:rPr>
                <w:rFonts w:ascii="Arial" w:cs="Arial" w:eastAsia="Arial" w:hAnsi="Arial"/>
                <w:sz w:val="11"/>
                <w:szCs w:val="11"/>
                <w:color w:val="auto"/>
              </w:rPr>
              <w:t>Other digital net carrying value - DBRG OP share</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808,570</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495,825</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358,178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339,634</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269,488</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243,726</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254,718</w:t>
            </w:r>
          </w:p>
        </w:tc>
        <w:tc>
          <w:tcPr>
            <w:tcW w:w="1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210,396</w:t>
            </w:r>
          </w:p>
        </w:tc>
        <w:tc>
          <w:tcPr>
            <w:tcW w:w="0" w:type="dxa"/>
            <w:vAlign w:val="bottom"/>
          </w:tcPr>
          <w:p>
            <w:pPr>
              <w:spacing w:after="0"/>
              <w:rPr>
                <w:sz w:val="1"/>
                <w:szCs w:val="1"/>
                <w:color w:val="auto"/>
              </w:rPr>
            </w:pPr>
          </w:p>
        </w:tc>
      </w:tr>
      <w:tr>
        <w:trPr>
          <w:trHeight w:val="145"/>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Number of BRSP shares owned by DigitalBridge</w:t>
            </w: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34,991</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34,991</w:t>
            </w:r>
          </w:p>
        </w:tc>
        <w:tc>
          <w:tcPr>
            <w:tcW w:w="24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34,991</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34,991</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44,478</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44,474</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44,474</w:t>
            </w:r>
          </w:p>
        </w:tc>
        <w:tc>
          <w:tcPr>
            <w:tcW w:w="1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44,473</w:t>
            </w:r>
          </w:p>
        </w:tc>
        <w:tc>
          <w:tcPr>
            <w:tcW w:w="0" w:type="dxa"/>
            <w:vAlign w:val="bottom"/>
          </w:tcPr>
          <w:p>
            <w:pPr>
              <w:spacing w:after="0"/>
              <w:rPr>
                <w:sz w:val="1"/>
                <w:szCs w:val="1"/>
                <w:color w:val="auto"/>
              </w:rPr>
            </w:pPr>
          </w:p>
        </w:tc>
      </w:tr>
      <w:tr>
        <w:trPr>
          <w:trHeight w:val="108"/>
        </w:trPr>
        <w:tc>
          <w:tcPr>
            <w:tcW w:w="3620" w:type="dxa"/>
            <w:vAlign w:val="bottom"/>
          </w:tcPr>
          <w:p>
            <w:pPr>
              <w:spacing w:after="0" w:line="109" w:lineRule="exact"/>
              <w:rPr>
                <w:sz w:val="20"/>
                <w:szCs w:val="20"/>
                <w:color w:val="auto"/>
              </w:rPr>
            </w:pPr>
            <w:r>
              <w:rPr>
                <w:rFonts w:ascii="Arial" w:cs="Arial" w:eastAsia="Arial" w:hAnsi="Arial"/>
                <w:sz w:val="11"/>
                <w:szCs w:val="11"/>
                <w:color w:val="auto"/>
              </w:rPr>
              <w:t>Digital and Corporate net assets &amp; other non-digital assets net carrying</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269,580</w:t>
            </w:r>
          </w:p>
        </w:tc>
        <w:tc>
          <w:tcPr>
            <w:tcW w:w="1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1,053,640</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1,085,397</w:t>
            </w:r>
          </w:p>
        </w:tc>
        <w:tc>
          <w:tcPr>
            <w:tcW w:w="1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654,576</w:t>
            </w:r>
          </w:p>
        </w:tc>
        <w:tc>
          <w:tcPr>
            <w:tcW w:w="1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439,747</w:t>
            </w:r>
          </w:p>
        </w:tc>
        <w:tc>
          <w:tcPr>
            <w:tcW w:w="1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283,133</w:t>
            </w:r>
          </w:p>
        </w:tc>
        <w:tc>
          <w:tcPr>
            <w:tcW w:w="24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493,388</w:t>
            </w:r>
          </w:p>
        </w:tc>
        <w:tc>
          <w:tcPr>
            <w:tcW w:w="120" w:type="dxa"/>
            <w:vAlign w:val="bottom"/>
          </w:tcPr>
          <w:p>
            <w:pPr>
              <w:spacing w:after="0"/>
              <w:rPr>
                <w:sz w:val="9"/>
                <w:szCs w:val="9"/>
                <w:color w:val="auto"/>
              </w:rPr>
            </w:pPr>
          </w:p>
        </w:tc>
        <w:tc>
          <w:tcPr>
            <w:tcW w:w="880" w:type="dxa"/>
            <w:vAlign w:val="bottom"/>
            <w:vMerge w:val="restart"/>
          </w:tcPr>
          <w:p>
            <w:pPr>
              <w:jc w:val="right"/>
              <w:ind w:right="26"/>
              <w:spacing w:after="0"/>
              <w:rPr>
                <w:sz w:val="20"/>
                <w:szCs w:val="20"/>
                <w:color w:val="auto"/>
              </w:rPr>
            </w:pPr>
            <w:r>
              <w:rPr>
                <w:rFonts w:ascii="Arial" w:cs="Arial" w:eastAsia="Arial" w:hAnsi="Arial"/>
                <w:sz w:val="11"/>
                <w:szCs w:val="11"/>
                <w:color w:val="auto"/>
              </w:rPr>
              <w:t>330,965</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20"/>
                <w:szCs w:val="20"/>
                <w:color w:val="auto"/>
              </w:rPr>
            </w:pPr>
            <w:r>
              <w:rPr>
                <w:rFonts w:ascii="Arial" w:cs="Arial" w:eastAsia="Arial" w:hAnsi="Arial"/>
                <w:sz w:val="11"/>
                <w:szCs w:val="11"/>
                <w:color w:val="auto"/>
              </w:rPr>
              <w:t>value - DBRG OP share</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5" w:lineRule="exact"/>
        <w:rPr>
          <w:sz w:val="20"/>
          <w:szCs w:val="20"/>
          <w:color w:val="auto"/>
        </w:rPr>
      </w:pPr>
    </w:p>
    <w:p>
      <w:pPr>
        <w:ind w:left="188" w:hanging="188"/>
        <w:spacing w:after="0"/>
        <w:tabs>
          <w:tab w:leader="none" w:pos="188" w:val="left"/>
        </w:tabs>
        <w:numPr>
          <w:ilvl w:val="0"/>
          <w:numId w:val="10"/>
        </w:numPr>
        <w:rPr>
          <w:rFonts w:ascii="Arial" w:cs="Arial" w:eastAsia="Arial" w:hAnsi="Arial"/>
          <w:sz w:val="8"/>
          <w:szCs w:val="8"/>
          <w:color w:val="424242"/>
        </w:rPr>
      </w:pPr>
      <w:r>
        <w:rPr>
          <w:rFonts w:ascii="Arial" w:cs="Arial" w:eastAsia="Arial" w:hAnsi="Arial"/>
          <w:sz w:val="8"/>
          <w:szCs w:val="8"/>
          <w:color w:val="424242"/>
        </w:rPr>
        <w:t>Represents principal balance and excludes debt issuance costs, discounts and premiums.</w:t>
      </w:r>
    </w:p>
    <w:p>
      <w:pPr>
        <w:spacing w:after="0" w:line="7" w:lineRule="exact"/>
        <w:rPr>
          <w:rFonts w:ascii="Arial" w:cs="Arial" w:eastAsia="Arial" w:hAnsi="Arial"/>
          <w:sz w:val="8"/>
          <w:szCs w:val="8"/>
          <w:color w:val="424242"/>
        </w:rPr>
      </w:pPr>
    </w:p>
    <w:p>
      <w:pPr>
        <w:jc w:val="both"/>
        <w:ind w:left="208" w:right="60" w:hanging="208"/>
        <w:spacing w:after="0" w:line="247" w:lineRule="auto"/>
        <w:tabs>
          <w:tab w:leader="none" w:pos="211" w:val="left"/>
        </w:tabs>
        <w:numPr>
          <w:ilvl w:val="0"/>
          <w:numId w:val="10"/>
        </w:numPr>
        <w:rPr>
          <w:rFonts w:ascii="Arial" w:cs="Arial" w:eastAsia="Arial" w:hAnsi="Arial"/>
          <w:sz w:val="8"/>
          <w:szCs w:val="8"/>
          <w:color w:val="424242"/>
        </w:rPr>
      </w:pPr>
      <w:r>
        <w:rPr>
          <w:rFonts w:ascii="Arial" w:cs="Arial" w:eastAsia="Arial" w:hAnsi="Arial"/>
          <w:sz w:val="8"/>
          <w:szCs w:val="8"/>
          <w:color w:val="424242"/>
        </w:rPr>
        <w:t>Includes common shares and OP units outstanding, vested and unvested restricted stock and vested director share units. Based on the performance of the Company's class A common stock price during the three months ended June 30, 2022 and the results of certain Company-specific metrics as of June 30, 2022, excluded are class A common shares that are contingently issuable in relation to performance stock units and unvested shares related to LTIP units of 7.7 million and net settlement for the exercise of warrants held by Wafra of 8.8 million. Also excluded are class A shares issuable in relation to an assumed exchange of the Company's remaining 5.75% senior notes of 34.1 million.</w:t>
      </w:r>
    </w:p>
    <w:p>
      <w:pPr>
        <w:spacing w:after="0" w:line="30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8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6</w:t>
            </w:r>
          </w:p>
        </w:tc>
      </w:tr>
    </w:tbl>
    <w:p>
      <w:pPr>
        <w:sectPr>
          <w:pgSz w:w="11900" w:h="16838" w:orient="portrait"/>
          <w:cols w:equalWidth="0" w:num="1">
            <w:col w:w="11308"/>
          </w:cols>
          <w:pgMar w:left="292" w:top="130" w:right="299" w:bottom="1440" w:gutter="0" w:footer="0" w:header="0"/>
        </w:sectPr>
      </w:pPr>
    </w:p>
    <w:bookmarkStart w:id="15" w:name="page16"/>
    <w:bookmarkEnd w:id="15"/>
    <w:p>
      <w:pPr>
        <w:spacing w:after="0"/>
        <w:rPr>
          <w:sz w:val="20"/>
          <w:szCs w:val="20"/>
          <w:color w:val="auto"/>
        </w:rPr>
      </w:pPr>
      <w:r>
        <w:rPr>
          <w:rFonts w:ascii="Arial" w:cs="Arial" w:eastAsia="Arial" w:hAnsi="Arial"/>
          <w:sz w:val="29"/>
          <w:szCs w:val="29"/>
          <w:color w:val="auto"/>
        </w:rPr>
        <w:t>IIa. Financial Results -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920" w:type="dxa"/>
            <w:vAlign w:val="bottom"/>
          </w:tcPr>
          <w:p>
            <w:pPr>
              <w:spacing w:after="0"/>
              <w:rPr>
                <w:sz w:val="20"/>
                <w:szCs w:val="20"/>
                <w:color w:val="auto"/>
              </w:rPr>
            </w:pPr>
            <w:r>
              <w:rPr>
                <w:rFonts w:ascii="Arial" w:cs="Arial" w:eastAsia="Arial" w:hAnsi="Arial"/>
                <w:sz w:val="10"/>
                <w:szCs w:val="10"/>
                <w:i w:val="1"/>
                <w:iCs w:val="1"/>
                <w:color w:val="auto"/>
              </w:rPr>
              <w:t>($ in thousands, except per share data) (unaudited)</w:t>
            </w:r>
          </w:p>
        </w:tc>
        <w:tc>
          <w:tcPr>
            <w:tcW w:w="1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June 30, 2022</w:t>
            </w:r>
          </w:p>
        </w:tc>
        <w:tc>
          <w:tcPr>
            <w:tcW w:w="800" w:type="dxa"/>
            <w:vAlign w:val="bottom"/>
            <w:tcBorders>
              <w:bottom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Consolidated</w:t>
            </w:r>
          </w:p>
        </w:tc>
        <w:tc>
          <w:tcPr>
            <w:tcW w:w="128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8"/>
              </w:rPr>
              <w:t>Noncontrolling Interests'</w:t>
            </w: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3580" w:type="dxa"/>
            <w:vAlign w:val="bottom"/>
            <w:gridSpan w:val="2"/>
          </w:tcPr>
          <w:p>
            <w:pPr>
              <w:jc w:val="center"/>
              <w:ind w:right="3260"/>
              <w:spacing w:after="0"/>
              <w:rPr>
                <w:sz w:val="20"/>
                <w:szCs w:val="20"/>
                <w:color w:val="auto"/>
              </w:rPr>
            </w:pPr>
            <w:r>
              <w:rPr>
                <w:rFonts w:ascii="Arial" w:cs="Arial" w:eastAsia="Arial" w:hAnsi="Arial"/>
                <w:sz w:val="10"/>
                <w:szCs w:val="10"/>
                <w:b w:val="1"/>
                <w:bCs w:val="1"/>
                <w:color w:val="auto"/>
              </w:rPr>
              <w:t>Share</w:t>
            </w:r>
          </w:p>
        </w:tc>
        <w:tc>
          <w:tcPr>
            <w:tcW w:w="0" w:type="dxa"/>
            <w:vAlign w:val="bottom"/>
          </w:tcPr>
          <w:p>
            <w:pPr>
              <w:spacing w:after="0"/>
              <w:rPr>
                <w:sz w:val="1"/>
                <w:szCs w:val="1"/>
                <w:color w:val="auto"/>
              </w:rPr>
            </w:pPr>
          </w:p>
        </w:tc>
      </w:tr>
      <w:tr>
        <w:trPr>
          <w:trHeight w:val="124"/>
        </w:trPr>
        <w:tc>
          <w:tcPr>
            <w:tcW w:w="5920" w:type="dxa"/>
            <w:vAlign w:val="bottom"/>
          </w:tcPr>
          <w:p>
            <w:pPr>
              <w:spacing w:after="0" w:line="124" w:lineRule="exact"/>
              <w:rPr>
                <w:sz w:val="20"/>
                <w:szCs w:val="20"/>
                <w:color w:val="auto"/>
              </w:rPr>
            </w:pPr>
            <w:r>
              <w:rPr>
                <w:rFonts w:ascii="Arial" w:cs="Arial" w:eastAsia="Arial" w:hAnsi="Arial"/>
                <w:sz w:val="11"/>
                <w:szCs w:val="11"/>
                <w:b w:val="1"/>
                <w:bCs w:val="1"/>
                <w:i w:val="1"/>
                <w:iCs w:val="1"/>
                <w:color w:val="003366"/>
              </w:rPr>
              <w:t>Assets</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337,150</w:t>
            </w: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jc w:val="right"/>
              <w:ind w:right="37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175,818</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Restricted cash</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108,686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83,851</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Real estate, net</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6,047,928</w:t>
            </w: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4,878,537</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Loans receivable</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514,163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3,945</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Equity and debt investments</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1,080,261</w:t>
            </w: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421,001</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Goodwill</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761,368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354,982</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Deferred leasing costs and intangible assets, net</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1,827,960</w:t>
            </w: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1,186,035</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Assets held for disposition</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156,672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8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Other assets</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991,382</w:t>
            </w: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595,313</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Due from affiliates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51,718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8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592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Total assets</w:t>
            </w:r>
          </w:p>
        </w:tc>
        <w:tc>
          <w:tcPr>
            <w:tcW w:w="180" w:type="dxa"/>
            <w:vAlign w:val="bottom"/>
            <w:tcBorders>
              <w:top w:val="single" w:sz="8" w:color="auto"/>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11,877,288</w:t>
            </w: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480" w:type="dxa"/>
            <w:vAlign w:val="bottom"/>
            <w:tcBorders>
              <w:top w:val="single" w:sz="8" w:color="auto"/>
              <w:bottom w:val="single" w:sz="8" w:color="auto"/>
            </w:tcBorders>
            <w:shd w:val="clear" w:color="auto" w:fill="DBDBDB"/>
          </w:tcPr>
          <w:p>
            <w:pPr>
              <w:jc w:val="right"/>
              <w:ind w:right="37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7,699,482</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5920" w:type="dxa"/>
            <w:vAlign w:val="bottom"/>
          </w:tcPr>
          <w:p>
            <w:pPr>
              <w:spacing w:after="0" w:line="113" w:lineRule="exact"/>
              <w:rPr>
                <w:sz w:val="20"/>
                <w:szCs w:val="20"/>
                <w:color w:val="auto"/>
              </w:rPr>
            </w:pPr>
            <w:r>
              <w:rPr>
                <w:rFonts w:ascii="Arial" w:cs="Arial" w:eastAsia="Arial" w:hAnsi="Arial"/>
                <w:sz w:val="11"/>
                <w:szCs w:val="11"/>
                <w:b w:val="1"/>
                <w:bCs w:val="1"/>
                <w:i w:val="1"/>
                <w:iCs w:val="1"/>
                <w:color w:val="003366"/>
              </w:rPr>
              <w:t>Liabilities</w:t>
            </w: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Debt, net</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5,539,732</w:t>
            </w: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jc w:val="right"/>
              <w:ind w:right="37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3,820,638</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Accrued and other liabilities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1,624,708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878,656</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Intangible liabilities, net</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32,840</w:t>
            </w: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27,649</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Liabilities related to assets held for disposition</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719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8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Dividends and distributions payable</w:t>
            </w:r>
          </w:p>
        </w:tc>
        <w:tc>
          <w:tcPr>
            <w:tcW w:w="180" w:type="dxa"/>
            <w:vAlign w:val="bottom"/>
            <w:tcBorders>
              <w:bottom w:val="single" w:sz="8" w:color="auto"/>
            </w:tcBorders>
            <w:shd w:val="clear" w:color="auto" w:fill="DBDBDB"/>
          </w:tcPr>
          <w:p>
            <w:pPr>
              <w:spacing w:after="0"/>
              <w:rPr>
                <w:sz w:val="12"/>
                <w:szCs w:val="12"/>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15,759</w:t>
            </w:r>
          </w:p>
        </w:tc>
        <w:tc>
          <w:tcPr>
            <w:tcW w:w="100" w:type="dxa"/>
            <w:vAlign w:val="bottom"/>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92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Total liabilities</w:t>
            </w: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7,213,758</w:t>
            </w:r>
          </w:p>
        </w:tc>
        <w:tc>
          <w:tcPr>
            <w:tcW w:w="100" w:type="dxa"/>
            <w:vAlign w:val="bottom"/>
            <w:tcBorders>
              <w:bottom w:val="single" w:sz="8" w:color="DBDBDB"/>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4,726,943</w:t>
            </w: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920" w:type="dxa"/>
            <w:vAlign w:val="bottom"/>
            <w:shd w:val="clear" w:color="auto" w:fill="DBDBDB"/>
          </w:tcPr>
          <w:p>
            <w:pPr>
              <w:spacing w:after="0" w:line="122" w:lineRule="exact"/>
              <w:rPr>
                <w:sz w:val="20"/>
                <w:szCs w:val="20"/>
                <w:color w:val="auto"/>
              </w:rPr>
            </w:pPr>
            <w:r>
              <w:rPr>
                <w:rFonts w:ascii="Arial" w:cs="Arial" w:eastAsia="Arial" w:hAnsi="Arial"/>
                <w:sz w:val="11"/>
                <w:szCs w:val="11"/>
                <w:color w:val="auto"/>
              </w:rPr>
              <w:t>Commitments and contingencies</w:t>
            </w:r>
          </w:p>
        </w:tc>
        <w:tc>
          <w:tcPr>
            <w:tcW w:w="18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4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20" w:type="dxa"/>
            <w:vAlign w:val="bottom"/>
          </w:tcPr>
          <w:p>
            <w:pPr>
              <w:spacing w:after="0"/>
              <w:rPr>
                <w:sz w:val="20"/>
                <w:szCs w:val="20"/>
                <w:color w:val="auto"/>
              </w:rPr>
            </w:pPr>
            <w:r>
              <w:rPr>
                <w:rFonts w:ascii="Arial" w:cs="Arial" w:eastAsia="Arial" w:hAnsi="Arial"/>
                <w:sz w:val="11"/>
                <w:szCs w:val="11"/>
                <w:b w:val="1"/>
                <w:bCs w:val="1"/>
                <w:color w:val="auto"/>
              </w:rPr>
              <w:t>Redeemable noncontrolling interests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102,011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102,011</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20" w:type="dxa"/>
            <w:vAlign w:val="bottom"/>
          </w:tcPr>
          <w:p>
            <w:pPr>
              <w:spacing w:after="0"/>
              <w:rPr>
                <w:sz w:val="20"/>
                <w:szCs w:val="20"/>
                <w:color w:val="auto"/>
              </w:rPr>
            </w:pPr>
            <w:r>
              <w:rPr>
                <w:rFonts w:ascii="Arial" w:cs="Arial" w:eastAsia="Arial" w:hAnsi="Arial"/>
                <w:sz w:val="11"/>
                <w:szCs w:val="11"/>
                <w:b w:val="1"/>
                <w:bCs w:val="1"/>
                <w:i w:val="1"/>
                <w:iCs w:val="1"/>
                <w:color w:val="003366"/>
              </w:rPr>
              <w:t>Equity</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20" w:type="dxa"/>
            <w:vAlign w:val="bottom"/>
            <w:shd w:val="clear" w:color="auto" w:fill="DBDBDB"/>
          </w:tcPr>
          <w:p>
            <w:pPr>
              <w:spacing w:after="0"/>
              <w:rPr>
                <w:sz w:val="20"/>
                <w:szCs w:val="20"/>
                <w:color w:val="auto"/>
              </w:rPr>
            </w:pPr>
            <w:r>
              <w:rPr>
                <w:rFonts w:ascii="Arial" w:cs="Arial" w:eastAsia="Arial" w:hAnsi="Arial"/>
                <w:sz w:val="11"/>
                <w:szCs w:val="11"/>
                <w:color w:val="auto"/>
              </w:rPr>
              <w:t>Stockholders’ equity:</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920" w:type="dxa"/>
            <w:vAlign w:val="bottom"/>
          </w:tcPr>
          <w:p>
            <w:pPr>
              <w:ind w:left="140"/>
              <w:spacing w:after="0" w:line="109" w:lineRule="exact"/>
              <w:rPr>
                <w:sz w:val="20"/>
                <w:szCs w:val="20"/>
                <w:color w:val="auto"/>
              </w:rPr>
            </w:pPr>
            <w:r>
              <w:rPr>
                <w:rFonts w:ascii="Arial" w:cs="Arial" w:eastAsia="Arial" w:hAnsi="Arial"/>
                <w:sz w:val="11"/>
                <w:szCs w:val="11"/>
                <w:color w:val="auto"/>
              </w:rPr>
              <w:t>Preferred stock, $0.01 par value per share; $883,500 liquidation preference; 250,000 shares authorized; 35,340</w:t>
            </w:r>
          </w:p>
        </w:tc>
        <w:tc>
          <w:tcPr>
            <w:tcW w:w="18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854,232</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580" w:type="dxa"/>
            <w:vAlign w:val="bottom"/>
            <w:gridSpan w:val="2"/>
            <w:vMerge w:val="restart"/>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shares issued and outstanding</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Common stock, $0.01 par value per share</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300"/>
              <w:spacing w:after="0"/>
              <w:rPr>
                <w:sz w:val="20"/>
                <w:szCs w:val="20"/>
                <w:color w:val="auto"/>
              </w:rPr>
            </w:pPr>
            <w:r>
              <w:rPr>
                <w:rFonts w:ascii="Arial" w:cs="Arial" w:eastAsia="Arial" w:hAnsi="Arial"/>
                <w:sz w:val="11"/>
                <w:szCs w:val="11"/>
                <w:color w:val="auto"/>
              </w:rPr>
              <w:t>Class A, 949,000 shares authorized; 655,750 shares issued and outstanding</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6,557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8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300"/>
              <w:spacing w:after="0"/>
              <w:rPr>
                <w:sz w:val="20"/>
                <w:szCs w:val="20"/>
                <w:color w:val="auto"/>
              </w:rPr>
            </w:pPr>
            <w:r>
              <w:rPr>
                <w:rFonts w:ascii="Arial" w:cs="Arial" w:eastAsia="Arial" w:hAnsi="Arial"/>
                <w:sz w:val="11"/>
                <w:szCs w:val="11"/>
                <w:color w:val="auto"/>
              </w:rPr>
              <w:t>Class B, 1,000 shares authorized; 666 shares issued and outstanding</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Additional paid-in capital</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7,646,852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8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Accumulated deficit</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(6,875,817)</w:t>
            </w:r>
          </w:p>
        </w:tc>
        <w:tc>
          <w:tcPr>
            <w:tcW w:w="1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Accumulated other comprehensive income</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1,455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8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5920" w:type="dxa"/>
            <w:vAlign w:val="bottom"/>
            <w:tcBorders>
              <w:top w:val="single" w:sz="8" w:color="DBDBDB"/>
            </w:tcBorders>
            <w:shd w:val="clear" w:color="auto" w:fill="DBDBDB"/>
          </w:tcPr>
          <w:p>
            <w:pPr>
              <w:ind w:left="300"/>
              <w:spacing w:after="0"/>
              <w:rPr>
                <w:sz w:val="20"/>
                <w:szCs w:val="20"/>
                <w:color w:val="auto"/>
              </w:rPr>
            </w:pPr>
            <w:r>
              <w:rPr>
                <w:rFonts w:ascii="Arial" w:cs="Arial" w:eastAsia="Arial" w:hAnsi="Arial"/>
                <w:sz w:val="11"/>
                <w:szCs w:val="11"/>
                <w:color w:val="auto"/>
              </w:rPr>
              <w:t>Total stockholders’ equity</w:t>
            </w:r>
          </w:p>
        </w:tc>
        <w:tc>
          <w:tcPr>
            <w:tcW w:w="180" w:type="dxa"/>
            <w:vAlign w:val="bottom"/>
            <w:tcBorders>
              <w:top w:val="single" w:sz="8" w:color="auto"/>
            </w:tcBorders>
            <w:shd w:val="clear" w:color="auto" w:fill="DBDBDB"/>
          </w:tcPr>
          <w:p>
            <w:pPr>
              <w:spacing w:after="0"/>
              <w:rPr>
                <w:sz w:val="11"/>
                <w:szCs w:val="11"/>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1,633,286</w:t>
            </w:r>
          </w:p>
        </w:tc>
        <w:tc>
          <w:tcPr>
            <w:tcW w:w="100" w:type="dxa"/>
            <w:vAlign w:val="bottom"/>
            <w:tcBorders>
              <w:top w:val="single" w:sz="8" w:color="DBDBDB"/>
            </w:tcBorders>
            <w:shd w:val="clear" w:color="auto" w:fill="DBDBDB"/>
          </w:tcPr>
          <w:p>
            <w:pPr>
              <w:spacing w:after="0"/>
              <w:rPr>
                <w:sz w:val="11"/>
                <w:szCs w:val="11"/>
                <w:color w:val="auto"/>
              </w:rPr>
            </w:pPr>
          </w:p>
        </w:tc>
        <w:tc>
          <w:tcPr>
            <w:tcW w:w="480" w:type="dxa"/>
            <w:vAlign w:val="bottom"/>
            <w:tcBorders>
              <w:top w:val="single" w:sz="8" w:color="auto"/>
            </w:tcBorders>
            <w:shd w:val="clear" w:color="auto" w:fill="DBDBDB"/>
          </w:tcPr>
          <w:p>
            <w:pPr>
              <w:spacing w:after="0"/>
              <w:rPr>
                <w:sz w:val="11"/>
                <w:szCs w:val="11"/>
                <w:color w:val="auto"/>
              </w:rPr>
            </w:pPr>
          </w:p>
        </w:tc>
        <w:tc>
          <w:tcPr>
            <w:tcW w:w="80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Noncontrolling interests in investment entities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2,870,528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2,870,528</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Noncontrolling interests in Operating Company</w:t>
            </w:r>
          </w:p>
        </w:tc>
        <w:tc>
          <w:tcPr>
            <w:tcW w:w="180" w:type="dxa"/>
            <w:vAlign w:val="bottom"/>
            <w:tcBorders>
              <w:bottom w:val="single" w:sz="8" w:color="auto"/>
            </w:tcBorders>
            <w:shd w:val="clear" w:color="auto" w:fill="DBDBDB"/>
          </w:tcPr>
          <w:p>
            <w:pPr>
              <w:spacing w:after="0"/>
              <w:rPr>
                <w:sz w:val="12"/>
                <w:szCs w:val="12"/>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57,705</w:t>
            </w:r>
          </w:p>
        </w:tc>
        <w:tc>
          <w:tcPr>
            <w:tcW w:w="100" w:type="dxa"/>
            <w:vAlign w:val="bottom"/>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9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Total equity</w:t>
            </w: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4,561,519</w:t>
            </w:r>
          </w:p>
        </w:tc>
        <w:tc>
          <w:tcPr>
            <w:tcW w:w="100" w:type="dxa"/>
            <w:vAlign w:val="bottom"/>
            <w:tcBorders>
              <w:bottom w:val="single" w:sz="8" w:color="DBDBDB"/>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2,870,528</w:t>
            </w: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9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Total liabilities, redeemable noncontrolling interests and equity</w:t>
            </w:r>
          </w:p>
        </w:tc>
        <w:tc>
          <w:tcPr>
            <w:tcW w:w="1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11,877,288</w:t>
            </w:r>
          </w:p>
        </w:tc>
        <w:tc>
          <w:tcPr>
            <w:tcW w:w="100" w:type="dxa"/>
            <w:vAlign w:val="bottom"/>
            <w:tcBorders>
              <w:bottom w:val="single" w:sz="8" w:color="DBDBDB"/>
            </w:tcBorders>
            <w:shd w:val="clear" w:color="auto" w:fill="DBDBDB"/>
          </w:tcPr>
          <w:p>
            <w:pPr>
              <w:spacing w:after="0"/>
              <w:rPr>
                <w:sz w:val="11"/>
                <w:szCs w:val="11"/>
                <w:color w:val="auto"/>
              </w:rPr>
            </w:pPr>
          </w:p>
        </w:tc>
        <w:tc>
          <w:tcPr>
            <w:tcW w:w="480" w:type="dxa"/>
            <w:vAlign w:val="bottom"/>
            <w:tcBorders>
              <w:bottom w:val="single" w:sz="8" w:color="auto"/>
            </w:tcBorders>
            <w:shd w:val="clear" w:color="auto" w:fill="DBDBDB"/>
          </w:tcPr>
          <w:p>
            <w:pPr>
              <w:jc w:val="right"/>
              <w:ind w:right="37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7,699,482</w:t>
            </w: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5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92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580" w:type="dxa"/>
            <w:vAlign w:val="bottom"/>
            <w:gridSpan w:val="2"/>
          </w:tcPr>
          <w:p>
            <w:pPr>
              <w:jc w:val="right"/>
              <w:ind w:right="420"/>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0" w:right="299" w:bottom="1440" w:gutter="0" w:footer="0" w:header="0"/>
        </w:sectPr>
      </w:pPr>
    </w:p>
    <w:bookmarkStart w:id="16" w:name="page17"/>
    <w:bookmarkEnd w:id="16"/>
    <w:p>
      <w:pPr>
        <w:spacing w:after="0"/>
        <w:rPr>
          <w:sz w:val="20"/>
          <w:szCs w:val="20"/>
          <w:color w:val="auto"/>
        </w:rPr>
      </w:pPr>
      <w:r>
        <w:rPr>
          <w:rFonts w:ascii="Arial" w:cs="Arial" w:eastAsia="Arial" w:hAnsi="Arial"/>
          <w:sz w:val="29"/>
          <w:szCs w:val="29"/>
          <w:color w:val="auto"/>
        </w:rPr>
        <w:t>IIb. Financial Results - Consolidated 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0"/>
                <w:szCs w:val="10"/>
                <w:b w:val="1"/>
                <w:bCs w:val="1"/>
                <w:color w:val="auto"/>
                <w:w w:val="98"/>
              </w:rPr>
              <w:t>Three Months Ended June 30, 2022</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980" w:type="dxa"/>
            <w:vAlign w:val="bottom"/>
            <w:vMerge w:val="restart"/>
          </w:tcPr>
          <w:p>
            <w:pPr>
              <w:spacing w:after="0"/>
              <w:rPr>
                <w:sz w:val="20"/>
                <w:szCs w:val="20"/>
                <w:color w:val="auto"/>
              </w:rPr>
            </w:pPr>
            <w:r>
              <w:rPr>
                <w:rFonts w:ascii="Arial" w:cs="Arial" w:eastAsia="Arial" w:hAnsi="Arial"/>
                <w:sz w:val="10"/>
                <w:szCs w:val="10"/>
                <w:i w:val="1"/>
                <w:iCs w:val="1"/>
                <w:color w:val="auto"/>
              </w:rPr>
              <w:t>($ in thousands) (unaudited)</w:t>
            </w:r>
          </w:p>
        </w:tc>
        <w:tc>
          <w:tcPr>
            <w:tcW w:w="80" w:type="dxa"/>
            <w:vAlign w:val="bottom"/>
          </w:tcPr>
          <w:p>
            <w:pPr>
              <w:spacing w:after="0"/>
              <w:rPr>
                <w:sz w:val="7"/>
                <w:szCs w:val="7"/>
                <w:color w:val="auto"/>
              </w:rPr>
            </w:pPr>
          </w:p>
        </w:tc>
        <w:tc>
          <w:tcPr>
            <w:tcW w:w="1060" w:type="dxa"/>
            <w:vAlign w:val="bottom"/>
            <w:gridSpan w:val="2"/>
          </w:tcPr>
          <w:p>
            <w:pPr>
              <w:jc w:val="center"/>
              <w:ind w:right="160"/>
              <w:spacing w:after="0" w:line="88" w:lineRule="exact"/>
              <w:rPr>
                <w:sz w:val="20"/>
                <w:szCs w:val="20"/>
                <w:color w:val="auto"/>
              </w:rPr>
            </w:pPr>
            <w:r>
              <w:rPr>
                <w:rFonts w:ascii="Arial" w:cs="Arial" w:eastAsia="Arial" w:hAnsi="Arial"/>
                <w:sz w:val="10"/>
                <w:szCs w:val="10"/>
                <w:b w:val="1"/>
                <w:bCs w:val="1"/>
                <w:color w:val="auto"/>
                <w:w w:val="99"/>
              </w:rPr>
              <w:t>Digital Investment</w:t>
            </w:r>
          </w:p>
        </w:tc>
        <w:tc>
          <w:tcPr>
            <w:tcW w:w="100" w:type="dxa"/>
            <w:vAlign w:val="bottom"/>
          </w:tcPr>
          <w:p>
            <w:pPr>
              <w:spacing w:after="0"/>
              <w:rPr>
                <w:sz w:val="7"/>
                <w:szCs w:val="7"/>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Digital Operating</w:t>
            </w: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rPr>
              <w:t>Corporate and Other</w:t>
            </w:r>
          </w:p>
        </w:tc>
        <w:tc>
          <w:tcPr>
            <w:tcW w:w="140" w:type="dxa"/>
            <w:vAlign w:val="bottom"/>
          </w:tcPr>
          <w:p>
            <w:pPr>
              <w:spacing w:after="0"/>
              <w:rPr>
                <w:sz w:val="7"/>
                <w:szCs w:val="7"/>
                <w:color w:val="auto"/>
              </w:rPr>
            </w:pPr>
          </w:p>
        </w:tc>
        <w:tc>
          <w:tcPr>
            <w:tcW w:w="100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w w:val="97"/>
              </w:rPr>
              <w:t>Discontinued</w:t>
            </w:r>
          </w:p>
        </w:tc>
        <w:tc>
          <w:tcPr>
            <w:tcW w:w="240" w:type="dxa"/>
            <w:vAlign w:val="bottom"/>
          </w:tcPr>
          <w:p>
            <w:pPr>
              <w:spacing w:after="0"/>
              <w:rPr>
                <w:sz w:val="7"/>
                <w:szCs w:val="7"/>
                <w:color w:val="auto"/>
              </w:rPr>
            </w:pPr>
          </w:p>
        </w:tc>
        <w:tc>
          <w:tcPr>
            <w:tcW w:w="3540" w:type="dxa"/>
            <w:vAlign w:val="bottom"/>
            <w:gridSpan w:val="2"/>
            <w:vMerge w:val="restart"/>
          </w:tcPr>
          <w:p>
            <w:pPr>
              <w:jc w:val="right"/>
              <w:ind w:right="31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2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Management</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Operations</w:t>
            </w:r>
          </w:p>
        </w:tc>
        <w:tc>
          <w:tcPr>
            <w:tcW w:w="240" w:type="dxa"/>
            <w:vAlign w:val="bottom"/>
          </w:tcPr>
          <w:p>
            <w:pPr>
              <w:spacing w:after="0"/>
              <w:rPr>
                <w:sz w:val="11"/>
                <w:szCs w:val="11"/>
                <w:color w:val="auto"/>
              </w:rPr>
            </w:pPr>
          </w:p>
        </w:tc>
        <w:tc>
          <w:tcPr>
            <w:tcW w:w="3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980" w:type="dxa"/>
            <w:vAlign w:val="bottom"/>
          </w:tcPr>
          <w:p>
            <w:pPr>
              <w:spacing w:after="0" w:line="124" w:lineRule="exact"/>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Property operating income</w:t>
            </w: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227,646</w:t>
            </w: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jc w:val="right"/>
              <w:ind w:right="227"/>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6,605</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234,251</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140"/>
              <w:spacing w:after="0"/>
              <w:rPr>
                <w:sz w:val="20"/>
                <w:szCs w:val="20"/>
                <w:color w:val="auto"/>
              </w:rPr>
            </w:pPr>
            <w:r>
              <w:rPr>
                <w:rFonts w:ascii="Arial" w:cs="Arial" w:eastAsia="Arial" w:hAnsi="Arial"/>
                <w:sz w:val="11"/>
                <w:szCs w:val="11"/>
                <w:color w:val="auto"/>
              </w:rPr>
              <w:t>Interest income</w:t>
            </w:r>
          </w:p>
        </w:tc>
        <w:tc>
          <w:tcPr>
            <w:tcW w:w="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8,477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8,499</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Fee income</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45,113</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(795)</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44,318</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Other income</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987</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c>
          <w:tcPr>
            <w:tcW w:w="80" w:type="dxa"/>
            <w:vAlign w:val="bottom"/>
            <w:tcBorders>
              <w:bottom w:val="single" w:sz="8" w:color="DBDBDB"/>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1,320</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2,341</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shd w:val="clear" w:color="auto" w:fill="DBDBDB"/>
          </w:tcPr>
          <w:p>
            <w:pPr>
              <w:ind w:left="260"/>
              <w:spacing w:after="0"/>
              <w:rPr>
                <w:sz w:val="20"/>
                <w:szCs w:val="20"/>
                <w:color w:val="auto"/>
              </w:rPr>
            </w:pPr>
            <w:r>
              <w:rPr>
                <w:rFonts w:ascii="Arial" w:cs="Arial" w:eastAsia="Arial" w:hAnsi="Arial"/>
                <w:sz w:val="11"/>
                <w:szCs w:val="11"/>
                <w:b w:val="1"/>
                <w:bCs w:val="1"/>
                <w:color w:val="auto"/>
              </w:rPr>
              <w:t>Total revenues</w:t>
            </w:r>
          </w:p>
        </w:tc>
        <w:tc>
          <w:tcPr>
            <w:tcW w:w="80" w:type="dxa"/>
            <w:vAlign w:val="bottom"/>
            <w:shd w:val="clear" w:color="auto" w:fill="DBDBDB"/>
          </w:tcPr>
          <w:p>
            <w:pPr>
              <w:spacing w:after="0"/>
              <w:rPr>
                <w:sz w:val="11"/>
                <w:szCs w:val="11"/>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46,115</w:t>
            </w: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227,687</w:t>
            </w:r>
          </w:p>
        </w:tc>
        <w:tc>
          <w:tcPr>
            <w:tcW w:w="8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15,607</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1"/>
                <w:szCs w:val="11"/>
                <w:color w:val="auto"/>
              </w:rPr>
            </w:pP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289,409</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980" w:type="dxa"/>
            <w:vAlign w:val="bottom"/>
          </w:tcPr>
          <w:p>
            <w:pPr>
              <w:spacing w:after="0" w:line="124" w:lineRule="exact"/>
              <w:rPr>
                <w:sz w:val="20"/>
                <w:szCs w:val="20"/>
                <w:color w:val="auto"/>
              </w:rPr>
            </w:pPr>
            <w:r>
              <w:rPr>
                <w:rFonts w:ascii="Arial" w:cs="Arial" w:eastAsia="Arial" w:hAnsi="Arial"/>
                <w:sz w:val="11"/>
                <w:szCs w:val="11"/>
                <w:b w:val="1"/>
                <w:bCs w:val="1"/>
                <w:color w:val="auto"/>
              </w:rPr>
              <w:t>Expenses</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Property operating expense</w:t>
            </w:r>
          </w:p>
        </w:tc>
        <w:tc>
          <w:tcPr>
            <w:tcW w:w="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94,744</w:t>
            </w: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2,546</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97,290</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140"/>
              <w:spacing w:after="0"/>
              <w:rPr>
                <w:sz w:val="20"/>
                <w:szCs w:val="20"/>
                <w:color w:val="auto"/>
              </w:rPr>
            </w:pPr>
            <w:r>
              <w:rPr>
                <w:rFonts w:ascii="Arial" w:cs="Arial" w:eastAsia="Arial" w:hAnsi="Arial"/>
                <w:sz w:val="11"/>
                <w:szCs w:val="11"/>
                <w:color w:val="auto"/>
              </w:rPr>
              <w:t>Interest expense</w:t>
            </w:r>
          </w:p>
        </w:tc>
        <w:tc>
          <w:tcPr>
            <w:tcW w:w="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2,785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37,233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6,370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46,388</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Investment expense</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259</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5,487</w:t>
            </w: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1,441</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7,187</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140"/>
              <w:spacing w:after="0"/>
              <w:rPr>
                <w:sz w:val="20"/>
                <w:szCs w:val="20"/>
                <w:color w:val="auto"/>
              </w:rPr>
            </w:pPr>
            <w:r>
              <w:rPr>
                <w:rFonts w:ascii="Arial" w:cs="Arial" w:eastAsia="Arial" w:hAnsi="Arial"/>
                <w:sz w:val="11"/>
                <w:szCs w:val="11"/>
                <w:color w:val="auto"/>
              </w:rPr>
              <w:t>Transaction-related costs</w:t>
            </w:r>
          </w:p>
        </w:tc>
        <w:tc>
          <w:tcPr>
            <w:tcW w:w="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1,898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858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2,756</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Depreciation and amortization</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5,375</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145,817</w:t>
            </w: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4,160</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155,352</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140"/>
              <w:spacing w:after="0"/>
              <w:rPr>
                <w:sz w:val="20"/>
                <w:szCs w:val="20"/>
                <w:color w:val="auto"/>
              </w:rPr>
            </w:pPr>
            <w:r>
              <w:rPr>
                <w:rFonts w:ascii="Arial" w:cs="Arial" w:eastAsia="Arial" w:hAnsi="Arial"/>
                <w:sz w:val="11"/>
                <w:szCs w:val="11"/>
                <w:color w:val="auto"/>
              </w:rPr>
              <w:t>Compensation expense</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Cash and equity-based compensation</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23,230</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20,229</w:t>
            </w: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9,333</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52,792</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220"/>
              <w:spacing w:after="0"/>
              <w:rPr>
                <w:sz w:val="20"/>
                <w:szCs w:val="20"/>
                <w:color w:val="auto"/>
              </w:rPr>
            </w:pPr>
            <w:r>
              <w:rPr>
                <w:rFonts w:ascii="Arial" w:cs="Arial" w:eastAsia="Arial" w:hAnsi="Arial"/>
                <w:sz w:val="11"/>
                <w:szCs w:val="11"/>
                <w:color w:val="auto"/>
              </w:rPr>
              <w:t>Carried interest and incentive fee compensation</w:t>
            </w:r>
          </w:p>
        </w:tc>
        <w:tc>
          <w:tcPr>
            <w:tcW w:w="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49,069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49,069</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Administrative expenses</w:t>
            </w:r>
          </w:p>
        </w:tc>
        <w:tc>
          <w:tcPr>
            <w:tcW w:w="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4,869</w:t>
            </w:r>
          </w:p>
        </w:tc>
        <w:tc>
          <w:tcPr>
            <w:tcW w:w="80" w:type="dxa"/>
            <w:vAlign w:val="bottom"/>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8,910</w:t>
            </w:r>
          </w:p>
        </w:tc>
        <w:tc>
          <w:tcPr>
            <w:tcW w:w="80" w:type="dxa"/>
            <w:vAlign w:val="bottom"/>
            <w:shd w:val="clear" w:color="auto" w:fill="DBDBDB"/>
          </w:tcPr>
          <w:p>
            <w:pPr>
              <w:spacing w:after="0"/>
              <w:rPr>
                <w:sz w:val="12"/>
                <w:szCs w:val="12"/>
                <w:color w:val="auto"/>
              </w:rPr>
            </w:pPr>
          </w:p>
        </w:tc>
        <w:tc>
          <w:tcPr>
            <w:tcW w:w="36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12,574</w:t>
            </w:r>
          </w:p>
        </w:tc>
        <w:tc>
          <w:tcPr>
            <w:tcW w:w="80" w:type="dxa"/>
            <w:vAlign w:val="bottom"/>
            <w:shd w:val="clear" w:color="auto" w:fill="DBDBDB"/>
          </w:tcPr>
          <w:p>
            <w:pPr>
              <w:spacing w:after="0"/>
              <w:rPr>
                <w:sz w:val="12"/>
                <w:szCs w:val="12"/>
                <w:color w:val="auto"/>
              </w:rPr>
            </w:pPr>
          </w:p>
        </w:tc>
        <w:tc>
          <w:tcPr>
            <w:tcW w:w="14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240" w:type="dxa"/>
            <w:vAlign w:val="bottom"/>
            <w:tcBorders>
              <w:bottom w:val="single" w:sz="8" w:color="auto"/>
            </w:tcBorders>
            <w:shd w:val="clear" w:color="auto" w:fill="DBDBDB"/>
          </w:tcPr>
          <w:p>
            <w:pPr>
              <w:spacing w:after="0"/>
              <w:rPr>
                <w:sz w:val="12"/>
                <w:szCs w:val="12"/>
                <w:color w:val="auto"/>
              </w:rPr>
            </w:pPr>
          </w:p>
        </w:tc>
        <w:tc>
          <w:tcPr>
            <w:tcW w:w="8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26,353</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80" w:type="dxa"/>
            <w:vAlign w:val="bottom"/>
          </w:tcPr>
          <w:p>
            <w:pPr>
              <w:ind w:left="260"/>
              <w:spacing w:after="0"/>
              <w:rPr>
                <w:sz w:val="20"/>
                <w:szCs w:val="20"/>
                <w:color w:val="auto"/>
              </w:rPr>
            </w:pPr>
            <w:r>
              <w:rPr>
                <w:rFonts w:ascii="Arial" w:cs="Arial" w:eastAsia="Arial" w:hAnsi="Arial"/>
                <w:sz w:val="11"/>
                <w:szCs w:val="11"/>
                <w:b w:val="1"/>
                <w:bCs w:val="1"/>
                <w:color w:val="auto"/>
              </w:rPr>
              <w:t>Total expenses</w:t>
            </w:r>
          </w:p>
        </w:tc>
        <w:tc>
          <w:tcPr>
            <w:tcW w:w="80" w:type="dxa"/>
            <w:vAlign w:val="bottom"/>
          </w:tcPr>
          <w:p>
            <w:pPr>
              <w:spacing w:after="0"/>
              <w:rPr>
                <w:sz w:val="11"/>
                <w:szCs w:val="11"/>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87,485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312,420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37,282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437,187</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980" w:type="dxa"/>
            <w:vAlign w:val="bottom"/>
            <w:tcBorders>
              <w:top w:val="single" w:sz="8" w:color="DBDBDB"/>
            </w:tcBorders>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Other income (loss)</w:t>
            </w:r>
          </w:p>
        </w:tc>
        <w:tc>
          <w:tcPr>
            <w:tcW w:w="80" w:type="dxa"/>
            <w:vAlign w:val="bottom"/>
            <w:tcBorders>
              <w:top w:val="single" w:sz="8" w:color="auto"/>
            </w:tcBorders>
            <w:shd w:val="clear" w:color="auto" w:fill="DBDBDB"/>
          </w:tcPr>
          <w:p>
            <w:pPr>
              <w:spacing w:after="0"/>
              <w:rPr>
                <w:sz w:val="10"/>
                <w:szCs w:val="10"/>
                <w:color w:val="auto"/>
              </w:rPr>
            </w:pPr>
          </w:p>
        </w:tc>
        <w:tc>
          <w:tcPr>
            <w:tcW w:w="98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auto"/>
            </w:tcBorders>
            <w:shd w:val="clear" w:color="auto" w:fill="DBDBDB"/>
          </w:tcPr>
          <w:p>
            <w:pPr>
              <w:spacing w:after="0"/>
              <w:rPr>
                <w:sz w:val="10"/>
                <w:szCs w:val="10"/>
                <w:color w:val="auto"/>
              </w:rPr>
            </w:pPr>
          </w:p>
        </w:tc>
        <w:tc>
          <w:tcPr>
            <w:tcW w:w="94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360" w:type="dxa"/>
            <w:vAlign w:val="bottom"/>
            <w:tcBorders>
              <w:top w:val="single" w:sz="8" w:color="auto"/>
            </w:tcBorders>
            <w:shd w:val="clear" w:color="auto" w:fill="DBDBDB"/>
          </w:tcPr>
          <w:p>
            <w:pPr>
              <w:spacing w:after="0"/>
              <w:rPr>
                <w:sz w:val="10"/>
                <w:szCs w:val="10"/>
                <w:color w:val="auto"/>
              </w:rPr>
            </w:pPr>
          </w:p>
        </w:tc>
        <w:tc>
          <w:tcPr>
            <w:tcW w:w="70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40" w:type="dxa"/>
            <w:vAlign w:val="bottom"/>
            <w:tcBorders>
              <w:top w:val="single" w:sz="8" w:color="auto"/>
            </w:tcBorders>
            <w:shd w:val="clear" w:color="auto" w:fill="DBDBDB"/>
          </w:tcPr>
          <w:p>
            <w:pPr>
              <w:spacing w:after="0"/>
              <w:rPr>
                <w:sz w:val="10"/>
                <w:szCs w:val="10"/>
                <w:color w:val="auto"/>
              </w:rPr>
            </w:pPr>
          </w:p>
        </w:tc>
        <w:tc>
          <w:tcPr>
            <w:tcW w:w="92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240" w:type="dxa"/>
            <w:vAlign w:val="bottom"/>
            <w:tcBorders>
              <w:top w:val="single" w:sz="8" w:color="auto"/>
            </w:tcBorders>
            <w:shd w:val="clear" w:color="auto" w:fill="DBDBDB"/>
          </w:tcPr>
          <w:p>
            <w:pPr>
              <w:spacing w:after="0"/>
              <w:rPr>
                <w:sz w:val="10"/>
                <w:szCs w:val="10"/>
                <w:color w:val="auto"/>
              </w:rPr>
            </w:pPr>
          </w:p>
        </w:tc>
        <w:tc>
          <w:tcPr>
            <w:tcW w:w="820" w:type="dxa"/>
            <w:vAlign w:val="bottom"/>
            <w:tcBorders>
              <w:top w:val="single" w:sz="8" w:color="auto"/>
            </w:tcBorders>
            <w:shd w:val="clear" w:color="auto" w:fill="DBDBDB"/>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140"/>
              <w:spacing w:after="0"/>
              <w:rPr>
                <w:sz w:val="20"/>
                <w:szCs w:val="20"/>
                <w:color w:val="auto"/>
              </w:rPr>
            </w:pPr>
            <w:r>
              <w:rPr>
                <w:rFonts w:ascii="Arial" w:cs="Arial" w:eastAsia="Arial" w:hAnsi="Arial"/>
                <w:sz w:val="11"/>
                <w:szCs w:val="11"/>
                <w:color w:val="auto"/>
              </w:rPr>
              <w:t>Other gain (loss), net</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(534)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(45,298)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(46,256)</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Equity method earnings (loss)</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1,016</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26,411</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27,427</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Equity method earnings (loss) - carried interest</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110,779</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110,779</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shd w:val="clear" w:color="auto" w:fill="DBDBDB"/>
          </w:tcPr>
          <w:p>
            <w:pPr>
              <w:spacing w:after="0"/>
              <w:rPr>
                <w:sz w:val="11"/>
                <w:szCs w:val="11"/>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70,001</w:t>
            </w: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(85,267)</w:t>
            </w:r>
          </w:p>
        </w:tc>
        <w:tc>
          <w:tcPr>
            <w:tcW w:w="8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(40,562)</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1"/>
                <w:szCs w:val="1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(55,828)</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8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Income tax benefit (expense)</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(2,006)</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w:t>
            </w:r>
          </w:p>
        </w:tc>
        <w:tc>
          <w:tcPr>
            <w:tcW w:w="80" w:type="dxa"/>
            <w:vAlign w:val="bottom"/>
            <w:tcBorders>
              <w:bottom w:val="single" w:sz="8" w:color="DBDBDB"/>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4,685</w:t>
            </w:r>
          </w:p>
        </w:tc>
        <w:tc>
          <w:tcPr>
            <w:tcW w:w="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2,518</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Income (loss) from continuing operations</w:t>
            </w:r>
          </w:p>
        </w:tc>
        <w:tc>
          <w:tcPr>
            <w:tcW w:w="80" w:type="dxa"/>
            <w:vAlign w:val="bottom"/>
            <w:shd w:val="clear" w:color="auto" w:fill="DBDBDB"/>
          </w:tcPr>
          <w:p>
            <w:pPr>
              <w:spacing w:after="0"/>
              <w:rPr>
                <w:sz w:val="11"/>
                <w:szCs w:val="11"/>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67,995</w:t>
            </w: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(85,428)</w:t>
            </w:r>
          </w:p>
        </w:tc>
        <w:tc>
          <w:tcPr>
            <w:tcW w:w="8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(35,877)</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1"/>
                <w:szCs w:val="1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(53,310)</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20"/>
                <w:szCs w:val="20"/>
                <w:color w:val="auto"/>
              </w:rPr>
            </w:pPr>
            <w:r>
              <w:rPr>
                <w:rFonts w:ascii="Arial" w:cs="Arial" w:eastAsia="Arial" w:hAnsi="Arial"/>
                <w:sz w:val="11"/>
                <w:szCs w:val="11"/>
                <w:color w:val="auto"/>
              </w:rPr>
              <w:t>Income (loss) from discontinued operations</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(14,771)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(14,771)</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top w:val="single" w:sz="8" w:color="auto"/>
            </w:tcBorders>
            <w:shd w:val="clear" w:color="auto" w:fill="DBDBDB"/>
          </w:tcPr>
          <w:p>
            <w:pPr>
              <w:spacing w:after="0"/>
              <w:rPr>
                <w:sz w:val="11"/>
                <w:szCs w:val="11"/>
                <w:color w:val="auto"/>
              </w:rPr>
            </w:pPr>
          </w:p>
        </w:tc>
        <w:tc>
          <w:tcPr>
            <w:tcW w:w="98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67,995</w:t>
            </w:r>
          </w:p>
        </w:tc>
        <w:tc>
          <w:tcPr>
            <w:tcW w:w="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auto"/>
            </w:tcBorders>
            <w:shd w:val="clear" w:color="auto" w:fill="DBDBDB"/>
          </w:tcPr>
          <w:p>
            <w:pPr>
              <w:spacing w:after="0"/>
              <w:rPr>
                <w:sz w:val="11"/>
                <w:szCs w:val="11"/>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(85,428)</w:t>
            </w:r>
          </w:p>
        </w:tc>
        <w:tc>
          <w:tcPr>
            <w:tcW w:w="80" w:type="dxa"/>
            <w:vAlign w:val="bottom"/>
            <w:tcBorders>
              <w:top w:val="single" w:sz="8" w:color="DBDBDB"/>
            </w:tcBorders>
            <w:shd w:val="clear" w:color="auto" w:fill="DBDBDB"/>
          </w:tcPr>
          <w:p>
            <w:pPr>
              <w:spacing w:after="0"/>
              <w:rPr>
                <w:sz w:val="11"/>
                <w:szCs w:val="11"/>
                <w:color w:val="auto"/>
              </w:rPr>
            </w:pPr>
          </w:p>
        </w:tc>
        <w:tc>
          <w:tcPr>
            <w:tcW w:w="360" w:type="dxa"/>
            <w:vAlign w:val="bottom"/>
            <w:tcBorders>
              <w:top w:val="single" w:sz="8" w:color="auto"/>
            </w:tcBorders>
            <w:shd w:val="clear" w:color="auto" w:fill="DBDBDB"/>
          </w:tcPr>
          <w:p>
            <w:pPr>
              <w:spacing w:after="0"/>
              <w:rPr>
                <w:sz w:val="11"/>
                <w:szCs w:val="11"/>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(35,877)</w:t>
            </w:r>
          </w:p>
        </w:tc>
        <w:tc>
          <w:tcPr>
            <w:tcW w:w="8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auto"/>
            </w:tcBorders>
            <w:shd w:val="clear" w:color="auto" w:fill="DBDBDB"/>
          </w:tcPr>
          <w:p>
            <w:pPr>
              <w:spacing w:after="0"/>
              <w:rPr>
                <w:sz w:val="11"/>
                <w:szCs w:val="11"/>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(14,771)</w:t>
            </w:r>
          </w:p>
        </w:tc>
        <w:tc>
          <w:tcPr>
            <w:tcW w:w="80" w:type="dxa"/>
            <w:vAlign w:val="bottom"/>
            <w:tcBorders>
              <w:top w:val="single" w:sz="8" w:color="DBDBDB"/>
            </w:tcBorders>
            <w:shd w:val="clear" w:color="auto" w:fill="DBDBDB"/>
          </w:tcPr>
          <w:p>
            <w:pPr>
              <w:spacing w:after="0"/>
              <w:rPr>
                <w:sz w:val="11"/>
                <w:szCs w:val="11"/>
                <w:color w:val="auto"/>
              </w:rPr>
            </w:pPr>
          </w:p>
        </w:tc>
        <w:tc>
          <w:tcPr>
            <w:tcW w:w="240" w:type="dxa"/>
            <w:vAlign w:val="bottom"/>
            <w:tcBorders>
              <w:top w:val="single" w:sz="8" w:color="auto"/>
            </w:tcBorders>
            <w:shd w:val="clear" w:color="auto" w:fill="DBDBDB"/>
          </w:tcPr>
          <w:p>
            <w:pPr>
              <w:spacing w:after="0"/>
              <w:rPr>
                <w:sz w:val="11"/>
                <w:szCs w:val="11"/>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(68,081)</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20"/>
                <w:szCs w:val="20"/>
                <w:color w:val="auto"/>
              </w:rPr>
            </w:pPr>
            <w:r>
              <w:rPr>
                <w:rFonts w:ascii="Arial" w:cs="Arial" w:eastAsia="Arial" w:hAnsi="Arial"/>
                <w:sz w:val="11"/>
                <w:szCs w:val="11"/>
                <w:color w:val="auto"/>
              </w:rPr>
              <w:t>Net income (loss) attributable to noncontrolling interests:</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Redeemable noncontrolling interests</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47</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(14,374)</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(14,327)</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140"/>
              <w:spacing w:after="0"/>
              <w:rPr>
                <w:sz w:val="20"/>
                <w:szCs w:val="20"/>
                <w:color w:val="auto"/>
              </w:rPr>
            </w:pPr>
            <w:r>
              <w:rPr>
                <w:rFonts w:ascii="Arial" w:cs="Arial" w:eastAsia="Arial" w:hAnsi="Arial"/>
                <w:sz w:val="11"/>
                <w:szCs w:val="11"/>
                <w:color w:val="auto"/>
              </w:rPr>
              <w:t>Investment entities</w:t>
            </w:r>
          </w:p>
        </w:tc>
        <w:tc>
          <w:tcPr>
            <w:tcW w:w="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44,931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(69,414)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(5,005)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386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(29,102)</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Operating Company</w:t>
            </w:r>
          </w:p>
        </w:tc>
        <w:tc>
          <w:tcPr>
            <w:tcW w:w="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1,748</w:t>
            </w:r>
          </w:p>
        </w:tc>
        <w:tc>
          <w:tcPr>
            <w:tcW w:w="80" w:type="dxa"/>
            <w:vAlign w:val="bottom"/>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(1,207)</w:t>
            </w:r>
          </w:p>
        </w:tc>
        <w:tc>
          <w:tcPr>
            <w:tcW w:w="80" w:type="dxa"/>
            <w:vAlign w:val="bottom"/>
            <w:shd w:val="clear" w:color="auto" w:fill="DBDBDB"/>
          </w:tcPr>
          <w:p>
            <w:pPr>
              <w:spacing w:after="0"/>
              <w:rPr>
                <w:sz w:val="12"/>
                <w:szCs w:val="12"/>
                <w:color w:val="auto"/>
              </w:rPr>
            </w:pPr>
          </w:p>
        </w:tc>
        <w:tc>
          <w:tcPr>
            <w:tcW w:w="36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(2,489)</w:t>
            </w:r>
          </w:p>
        </w:tc>
        <w:tc>
          <w:tcPr>
            <w:tcW w:w="80" w:type="dxa"/>
            <w:vAlign w:val="bottom"/>
            <w:shd w:val="clear" w:color="auto" w:fill="DBDBDB"/>
          </w:tcPr>
          <w:p>
            <w:pPr>
              <w:spacing w:after="0"/>
              <w:rPr>
                <w:sz w:val="12"/>
                <w:szCs w:val="12"/>
                <w:color w:val="auto"/>
              </w:rPr>
            </w:pPr>
          </w:p>
        </w:tc>
        <w:tc>
          <w:tcPr>
            <w:tcW w:w="14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(1,142)</w:t>
            </w:r>
          </w:p>
        </w:tc>
        <w:tc>
          <w:tcPr>
            <w:tcW w:w="80" w:type="dxa"/>
            <w:vAlign w:val="bottom"/>
            <w:shd w:val="clear" w:color="auto" w:fill="DBDBDB"/>
          </w:tcPr>
          <w:p>
            <w:pPr>
              <w:spacing w:after="0"/>
              <w:rPr>
                <w:sz w:val="12"/>
                <w:szCs w:val="12"/>
                <w:color w:val="auto"/>
              </w:rPr>
            </w:pPr>
          </w:p>
        </w:tc>
        <w:tc>
          <w:tcPr>
            <w:tcW w:w="240" w:type="dxa"/>
            <w:vAlign w:val="bottom"/>
            <w:tcBorders>
              <w:bottom w:val="single" w:sz="8" w:color="auto"/>
            </w:tcBorders>
            <w:shd w:val="clear" w:color="auto" w:fill="DBDBDB"/>
          </w:tcPr>
          <w:p>
            <w:pPr>
              <w:spacing w:after="0"/>
              <w:rPr>
                <w:sz w:val="12"/>
                <w:szCs w:val="12"/>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(3,090)</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80" w:type="dxa"/>
            <w:vAlign w:val="bottom"/>
            <w:tcBorders>
              <w:bottom w:val="single" w:sz="8" w:color="DBDBDB"/>
            </w:tcBorders>
          </w:tcPr>
          <w:p>
            <w:pPr>
              <w:spacing w:after="0" w:line="115" w:lineRule="exact"/>
              <w:rPr>
                <w:sz w:val="20"/>
                <w:szCs w:val="20"/>
                <w:color w:val="auto"/>
              </w:rPr>
            </w:pPr>
            <w:r>
              <w:rPr>
                <w:rFonts w:ascii="Arial" w:cs="Arial" w:eastAsia="Arial" w:hAnsi="Arial"/>
                <w:sz w:val="11"/>
                <w:szCs w:val="11"/>
                <w:b w:val="1"/>
                <w:bCs w:val="1"/>
                <w:color w:val="auto"/>
                <w:w w:val="98"/>
              </w:rPr>
              <w:t>Net income (loss) attributable to DigitalBridge Group, Inc.</w:t>
            </w: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21,269</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(14,807)</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(14,009)</w:t>
            </w:r>
          </w:p>
        </w:tc>
        <w:tc>
          <w:tcPr>
            <w:tcW w:w="80" w:type="dxa"/>
            <w:vAlign w:val="bottom"/>
            <w:tcBorders>
              <w:bottom w:val="single" w:sz="8" w:color="DBDBDB"/>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(14,015)</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(21,562)</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Preferred stock dividends</w:t>
            </w:r>
          </w:p>
        </w:tc>
        <w:tc>
          <w:tcPr>
            <w:tcW w:w="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15,759</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15,759</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20"/>
                <w:szCs w:val="20"/>
                <w:color w:val="auto"/>
              </w:rPr>
            </w:pPr>
            <w:r>
              <w:rPr>
                <w:rFonts w:ascii="Arial" w:cs="Arial" w:eastAsia="Arial" w:hAnsi="Arial"/>
                <w:sz w:val="11"/>
                <w:szCs w:val="11"/>
                <w:b w:val="1"/>
                <w:bCs w:val="1"/>
                <w:color w:val="auto"/>
              </w:rPr>
              <w:t>Net income (loss) attributable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21,269</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(14,807)</w:t>
            </w:r>
          </w:p>
        </w:tc>
        <w:tc>
          <w:tcPr>
            <w:tcW w:w="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(29,768)</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(14,015)</w:t>
            </w:r>
          </w:p>
        </w:tc>
        <w:tc>
          <w:tcPr>
            <w:tcW w:w="8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(37,321)</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98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40" w:type="dxa"/>
            <w:vAlign w:val="bottom"/>
            <w:gridSpan w:val="2"/>
          </w:tcPr>
          <w:p>
            <w:pPr>
              <w:jc w:val="right"/>
              <w:ind w:right="420"/>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0" w:right="299" w:bottom="1440" w:gutter="0" w:footer="0" w:header="0"/>
        </w:sectPr>
      </w:pPr>
    </w:p>
    <w:bookmarkStart w:id="17" w:name="page18"/>
    <w:bookmarkEnd w:id="17"/>
    <w:p>
      <w:pPr>
        <w:spacing w:after="0"/>
        <w:rPr>
          <w:sz w:val="20"/>
          <w:szCs w:val="20"/>
          <w:color w:val="auto"/>
        </w:rPr>
      </w:pPr>
      <w:r>
        <w:rPr>
          <w:rFonts w:ascii="Arial" w:cs="Arial" w:eastAsia="Arial" w:hAnsi="Arial"/>
          <w:sz w:val="26"/>
          <w:szCs w:val="26"/>
          <w:color w:val="auto"/>
        </w:rPr>
        <w:t>IIc. Financial Results - Noncontrolling Interests’ Share 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6"/>
          </w:tcPr>
          <w:p>
            <w:pPr>
              <w:jc w:val="right"/>
              <w:ind w:right="568"/>
              <w:spacing w:after="0"/>
              <w:rPr>
                <w:sz w:val="20"/>
                <w:szCs w:val="20"/>
                <w:color w:val="auto"/>
              </w:rPr>
            </w:pPr>
            <w:r>
              <w:rPr>
                <w:rFonts w:ascii="Arial" w:cs="Arial" w:eastAsia="Arial" w:hAnsi="Arial"/>
                <w:sz w:val="10"/>
                <w:szCs w:val="10"/>
                <w:b w:val="1"/>
                <w:bCs w:val="1"/>
                <w:color w:val="auto"/>
              </w:rPr>
              <w:t>Three Months Ended June 30, 2022</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920" w:type="dxa"/>
            <w:vAlign w:val="bottom"/>
            <w:vMerge w:val="restart"/>
          </w:tcPr>
          <w:p>
            <w:pPr>
              <w:spacing w:after="0"/>
              <w:rPr>
                <w:sz w:val="20"/>
                <w:szCs w:val="20"/>
                <w:color w:val="auto"/>
              </w:rPr>
            </w:pPr>
            <w:r>
              <w:rPr>
                <w:rFonts w:ascii="Arial" w:cs="Arial" w:eastAsia="Arial" w:hAnsi="Arial"/>
                <w:sz w:val="10"/>
                <w:szCs w:val="10"/>
                <w:i w:val="1"/>
                <w:iCs w:val="1"/>
                <w:color w:val="auto"/>
              </w:rPr>
              <w:t>($ in thousands) (unaudited)</w:t>
            </w:r>
          </w:p>
        </w:tc>
        <w:tc>
          <w:tcPr>
            <w:tcW w:w="80" w:type="dxa"/>
            <w:vAlign w:val="bottom"/>
          </w:tcPr>
          <w:p>
            <w:pPr>
              <w:spacing w:after="0"/>
              <w:rPr>
                <w:sz w:val="7"/>
                <w:szCs w:val="7"/>
                <w:color w:val="auto"/>
              </w:rPr>
            </w:pPr>
          </w:p>
        </w:tc>
        <w:tc>
          <w:tcPr>
            <w:tcW w:w="1060" w:type="dxa"/>
            <w:vAlign w:val="bottom"/>
            <w:gridSpan w:val="2"/>
          </w:tcPr>
          <w:p>
            <w:pPr>
              <w:jc w:val="center"/>
              <w:ind w:right="160"/>
              <w:spacing w:after="0" w:line="88" w:lineRule="exact"/>
              <w:rPr>
                <w:sz w:val="20"/>
                <w:szCs w:val="20"/>
                <w:color w:val="auto"/>
              </w:rPr>
            </w:pPr>
            <w:r>
              <w:rPr>
                <w:rFonts w:ascii="Arial" w:cs="Arial" w:eastAsia="Arial" w:hAnsi="Arial"/>
                <w:sz w:val="10"/>
                <w:szCs w:val="10"/>
                <w:b w:val="1"/>
                <w:bCs w:val="1"/>
                <w:color w:val="auto"/>
                <w:w w:val="99"/>
              </w:rPr>
              <w:t>Digital Investment</w:t>
            </w:r>
          </w:p>
        </w:tc>
        <w:tc>
          <w:tcPr>
            <w:tcW w:w="80" w:type="dxa"/>
            <w:vAlign w:val="bottom"/>
          </w:tcPr>
          <w:p>
            <w:pPr>
              <w:spacing w:after="0"/>
              <w:rPr>
                <w:sz w:val="7"/>
                <w:szCs w:val="7"/>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Digital Operating</w:t>
            </w:r>
          </w:p>
        </w:tc>
        <w:tc>
          <w:tcPr>
            <w:tcW w:w="11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Corporate and Other</w:t>
            </w:r>
          </w:p>
        </w:tc>
        <w:tc>
          <w:tcPr>
            <w:tcW w:w="90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Discontinued</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40" w:type="dxa"/>
            <w:vAlign w:val="bottom"/>
            <w:gridSpan w:val="2"/>
            <w:vMerge w:val="restart"/>
          </w:tcPr>
          <w:p>
            <w:pPr>
              <w:jc w:val="right"/>
              <w:ind w:right="3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2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Management</w:t>
            </w: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900" w:type="dxa"/>
            <w:vAlign w:val="bottom"/>
          </w:tcPr>
          <w:p>
            <w:pPr>
              <w:jc w:val="right"/>
              <w:ind w:right="28"/>
              <w:spacing w:after="0"/>
              <w:rPr>
                <w:sz w:val="20"/>
                <w:szCs w:val="20"/>
                <w:color w:val="auto"/>
              </w:rPr>
            </w:pPr>
            <w:r>
              <w:rPr>
                <w:rFonts w:ascii="Arial" w:cs="Arial" w:eastAsia="Arial" w:hAnsi="Arial"/>
                <w:sz w:val="10"/>
                <w:szCs w:val="10"/>
                <w:b w:val="1"/>
                <w:bCs w:val="1"/>
                <w:color w:val="auto"/>
              </w:rPr>
              <w:t>Operations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920" w:type="dxa"/>
            <w:vAlign w:val="bottom"/>
          </w:tcPr>
          <w:p>
            <w:pPr>
              <w:spacing w:after="0" w:line="124" w:lineRule="exact"/>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DBDBDB"/>
          </w:tcPr>
          <w:p>
            <w:pPr>
              <w:ind w:left="80"/>
              <w:spacing w:after="0"/>
              <w:rPr>
                <w:sz w:val="20"/>
                <w:szCs w:val="20"/>
                <w:color w:val="auto"/>
              </w:rPr>
            </w:pPr>
            <w:r>
              <w:rPr>
                <w:rFonts w:ascii="Arial" w:cs="Arial" w:eastAsia="Arial" w:hAnsi="Arial"/>
                <w:sz w:val="11"/>
                <w:szCs w:val="11"/>
                <w:color w:val="auto"/>
              </w:rPr>
              <w:t>Property operating income</w:t>
            </w:r>
          </w:p>
        </w:tc>
        <w:tc>
          <w:tcPr>
            <w:tcW w:w="8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186,828</w:t>
            </w:r>
          </w:p>
        </w:tc>
        <w:tc>
          <w:tcPr>
            <w:tcW w:w="80" w:type="dxa"/>
            <w:vAlign w:val="bottom"/>
            <w:shd w:val="clear" w:color="auto" w:fill="DBDBDB"/>
          </w:tcPr>
          <w:p>
            <w:pPr>
              <w:spacing w:after="0"/>
              <w:rPr>
                <w:sz w:val="12"/>
                <w:szCs w:val="12"/>
                <w:color w:val="auto"/>
              </w:rPr>
            </w:pPr>
          </w:p>
        </w:tc>
        <w:tc>
          <w:tcPr>
            <w:tcW w:w="340" w:type="dxa"/>
            <w:vAlign w:val="bottom"/>
            <w:shd w:val="clear" w:color="auto" w:fill="DBDBDB"/>
          </w:tcPr>
          <w:p>
            <w:pPr>
              <w:jc w:val="right"/>
              <w:ind w:right="23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2,871</w:t>
            </w: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768"/>
              <w:spacing w:after="0"/>
              <w:rPr>
                <w:sz w:val="20"/>
                <w:szCs w:val="20"/>
                <w:color w:val="auto"/>
              </w:rPr>
            </w:pPr>
            <w:r>
              <w:rPr>
                <w:rFonts w:ascii="Arial" w:cs="Arial" w:eastAsia="Arial" w:hAnsi="Arial"/>
                <w:sz w:val="11"/>
                <w:szCs w:val="11"/>
                <w:color w:val="auto"/>
                <w:w w:val="97"/>
              </w:rPr>
              <w:t>$</w:t>
            </w:r>
          </w:p>
        </w:tc>
        <w:tc>
          <w:tcPr>
            <w:tcW w:w="280" w:type="dxa"/>
            <w:vAlign w:val="bottom"/>
            <w:gridSpan w:val="2"/>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189,699</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20" w:type="dxa"/>
            <w:vAlign w:val="bottom"/>
          </w:tcPr>
          <w:p>
            <w:pPr>
              <w:ind w:left="80"/>
              <w:spacing w:after="0"/>
              <w:rPr>
                <w:sz w:val="20"/>
                <w:szCs w:val="20"/>
                <w:color w:val="auto"/>
              </w:rPr>
            </w:pPr>
            <w:r>
              <w:rPr>
                <w:rFonts w:ascii="Arial" w:cs="Arial" w:eastAsia="Arial" w:hAnsi="Arial"/>
                <w:sz w:val="11"/>
                <w:szCs w:val="11"/>
                <w:color w:val="auto"/>
              </w:rPr>
              <w:t>Interest income</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45</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20" w:type="dxa"/>
            <w:vAlign w:val="bottom"/>
            <w:shd w:val="clear" w:color="auto" w:fill="DBDBDB"/>
          </w:tcPr>
          <w:p>
            <w:pPr>
              <w:ind w:left="80"/>
              <w:spacing w:after="0"/>
              <w:rPr>
                <w:sz w:val="20"/>
                <w:szCs w:val="20"/>
                <w:color w:val="auto"/>
              </w:rPr>
            </w:pPr>
            <w:r>
              <w:rPr>
                <w:rFonts w:ascii="Arial" w:cs="Arial" w:eastAsia="Arial" w:hAnsi="Arial"/>
                <w:sz w:val="11"/>
                <w:szCs w:val="11"/>
                <w:color w:val="auto"/>
              </w:rPr>
              <w:t>Fee income</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DBDBDB"/>
          </w:tcPr>
          <w:p>
            <w:pPr>
              <w:spacing w:after="0"/>
              <w:rPr>
                <w:sz w:val="12"/>
                <w:szCs w:val="12"/>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DBDBDB"/>
          </w:tcPr>
          <w:p>
            <w:pPr>
              <w:spacing w:after="0"/>
              <w:rPr>
                <w:sz w:val="12"/>
                <w:szCs w:val="12"/>
                <w:color w:val="auto"/>
              </w:rPr>
            </w:pPr>
          </w:p>
        </w:tc>
        <w:tc>
          <w:tcPr>
            <w:tcW w:w="280" w:type="dxa"/>
            <w:vAlign w:val="bottom"/>
            <w:gridSpan w:val="2"/>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2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Other income</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w:t>
            </w:r>
          </w:p>
        </w:tc>
        <w:tc>
          <w:tcPr>
            <w:tcW w:w="8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811</w:t>
            </w:r>
          </w:p>
        </w:tc>
        <w:tc>
          <w:tcPr>
            <w:tcW w:w="80" w:type="dxa"/>
            <w:vAlign w:val="bottom"/>
            <w:tcBorders>
              <w:bottom w:val="single" w:sz="8" w:color="DBDBDB"/>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842</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20" w:type="dxa"/>
            <w:vAlign w:val="bottom"/>
            <w:shd w:val="clear" w:color="auto" w:fill="DBDBDB"/>
          </w:tcPr>
          <w:p>
            <w:pPr>
              <w:ind w:left="160"/>
              <w:spacing w:after="0"/>
              <w:rPr>
                <w:sz w:val="20"/>
                <w:szCs w:val="20"/>
                <w:color w:val="auto"/>
              </w:rPr>
            </w:pPr>
            <w:r>
              <w:rPr>
                <w:rFonts w:ascii="Arial" w:cs="Arial" w:eastAsia="Arial" w:hAnsi="Arial"/>
                <w:sz w:val="11"/>
                <w:szCs w:val="11"/>
                <w:b w:val="1"/>
                <w:bCs w:val="1"/>
                <w:color w:val="auto"/>
              </w:rPr>
              <w:t>Total revenues</w:t>
            </w:r>
          </w:p>
        </w:tc>
        <w:tc>
          <w:tcPr>
            <w:tcW w:w="80" w:type="dxa"/>
            <w:vAlign w:val="bottom"/>
            <w:shd w:val="clear" w:color="auto" w:fill="DBDBDB"/>
          </w:tcPr>
          <w:p>
            <w:pPr>
              <w:spacing w:after="0"/>
              <w:rPr>
                <w:sz w:val="11"/>
                <w:szCs w:val="1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186,858</w:t>
            </w:r>
          </w:p>
        </w:tc>
        <w:tc>
          <w:tcPr>
            <w:tcW w:w="8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3,724</w:t>
            </w: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280" w:type="dxa"/>
            <w:vAlign w:val="bottom"/>
            <w:gridSpan w:val="2"/>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1"/>
                <w:szCs w:val="1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190,599</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920" w:type="dxa"/>
            <w:vAlign w:val="bottom"/>
          </w:tcPr>
          <w:p>
            <w:pPr>
              <w:spacing w:after="0" w:line="124" w:lineRule="exact"/>
              <w:rPr>
                <w:sz w:val="20"/>
                <w:szCs w:val="20"/>
                <w:color w:val="auto"/>
              </w:rPr>
            </w:pPr>
            <w:r>
              <w:rPr>
                <w:rFonts w:ascii="Arial" w:cs="Arial" w:eastAsia="Arial" w:hAnsi="Arial"/>
                <w:sz w:val="11"/>
                <w:szCs w:val="11"/>
                <w:b w:val="1"/>
                <w:bCs w:val="1"/>
                <w:color w:val="auto"/>
              </w:rPr>
              <w:t>Expenses</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DBDBDB"/>
          </w:tcPr>
          <w:p>
            <w:pPr>
              <w:ind w:left="80"/>
              <w:spacing w:after="0"/>
              <w:rPr>
                <w:sz w:val="20"/>
                <w:szCs w:val="20"/>
                <w:color w:val="auto"/>
              </w:rPr>
            </w:pPr>
            <w:r>
              <w:rPr>
                <w:rFonts w:ascii="Arial" w:cs="Arial" w:eastAsia="Arial" w:hAnsi="Arial"/>
                <w:sz w:val="11"/>
                <w:szCs w:val="11"/>
                <w:color w:val="auto"/>
              </w:rPr>
              <w:t>Property operating expense</w:t>
            </w:r>
          </w:p>
        </w:tc>
        <w:tc>
          <w:tcPr>
            <w:tcW w:w="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77,584</w:t>
            </w:r>
          </w:p>
        </w:tc>
        <w:tc>
          <w:tcPr>
            <w:tcW w:w="8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1,107</w:t>
            </w: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280" w:type="dxa"/>
            <w:vAlign w:val="bottom"/>
            <w:gridSpan w:val="2"/>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78,691</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20" w:type="dxa"/>
            <w:vAlign w:val="bottom"/>
          </w:tcPr>
          <w:p>
            <w:pPr>
              <w:ind w:left="80"/>
              <w:spacing w:after="0"/>
              <w:rPr>
                <w:sz w:val="20"/>
                <w:szCs w:val="20"/>
                <w:color w:val="auto"/>
              </w:rPr>
            </w:pPr>
            <w:r>
              <w:rPr>
                <w:rFonts w:ascii="Arial" w:cs="Arial" w:eastAsia="Arial" w:hAnsi="Arial"/>
                <w:sz w:val="11"/>
                <w:szCs w:val="11"/>
                <w:color w:val="auto"/>
              </w:rPr>
              <w:t>Interest expense</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29,876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541</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30,417</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2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expense</w:t>
            </w:r>
          </w:p>
        </w:tc>
        <w:tc>
          <w:tcPr>
            <w:tcW w:w="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4,689</w:t>
            </w:r>
          </w:p>
        </w:tc>
        <w:tc>
          <w:tcPr>
            <w:tcW w:w="8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224</w:t>
            </w: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280" w:type="dxa"/>
            <w:vAlign w:val="bottom"/>
            <w:gridSpan w:val="2"/>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4,913</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20" w:type="dxa"/>
            <w:vAlign w:val="bottom"/>
          </w:tcPr>
          <w:p>
            <w:pPr>
              <w:ind w:left="80"/>
              <w:spacing w:after="0"/>
              <w:rPr>
                <w:sz w:val="20"/>
                <w:szCs w:val="20"/>
                <w:color w:val="auto"/>
              </w:rPr>
            </w:pPr>
            <w:r>
              <w:rPr>
                <w:rFonts w:ascii="Arial" w:cs="Arial" w:eastAsia="Arial" w:hAnsi="Arial"/>
                <w:sz w:val="11"/>
                <w:szCs w:val="11"/>
                <w:color w:val="auto"/>
              </w:rPr>
              <w:t>Depreciation and amortization</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120,645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1,273</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121,918</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20" w:type="dxa"/>
            <w:vAlign w:val="bottom"/>
            <w:shd w:val="clear" w:color="auto" w:fill="DBDBDB"/>
          </w:tcPr>
          <w:p>
            <w:pPr>
              <w:ind w:left="80"/>
              <w:spacing w:after="0"/>
              <w:rPr>
                <w:sz w:val="20"/>
                <w:szCs w:val="20"/>
                <w:color w:val="auto"/>
              </w:rPr>
            </w:pPr>
            <w:r>
              <w:rPr>
                <w:rFonts w:ascii="Arial" w:cs="Arial" w:eastAsia="Arial" w:hAnsi="Arial"/>
                <w:sz w:val="11"/>
                <w:szCs w:val="11"/>
                <w:color w:val="auto"/>
              </w:rPr>
              <w:t>Compensation expense</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20" w:type="dxa"/>
            <w:vAlign w:val="bottom"/>
          </w:tcPr>
          <w:p>
            <w:pPr>
              <w:ind w:left="140"/>
              <w:spacing w:after="0"/>
              <w:rPr>
                <w:sz w:val="20"/>
                <w:szCs w:val="20"/>
                <w:color w:val="auto"/>
              </w:rPr>
            </w:pPr>
            <w:r>
              <w:rPr>
                <w:rFonts w:ascii="Arial" w:cs="Arial" w:eastAsia="Arial" w:hAnsi="Arial"/>
                <w:sz w:val="11"/>
                <w:szCs w:val="11"/>
                <w:color w:val="auto"/>
              </w:rPr>
              <w:t>Cash and equity-based compensation</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15,271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2"/>
                <w:szCs w:val="12"/>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15,271</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Carried interest and incentive fee compensation</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45,190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DBDBDB"/>
          </w:tcPr>
          <w:p>
            <w:pPr>
              <w:spacing w:after="0"/>
              <w:rPr>
                <w:sz w:val="12"/>
                <w:szCs w:val="12"/>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DBDBDB"/>
          </w:tcPr>
          <w:p>
            <w:pPr>
              <w:spacing w:after="0"/>
              <w:rPr>
                <w:sz w:val="12"/>
                <w:szCs w:val="12"/>
                <w:color w:val="auto"/>
              </w:rPr>
            </w:pPr>
          </w:p>
        </w:tc>
        <w:tc>
          <w:tcPr>
            <w:tcW w:w="280" w:type="dxa"/>
            <w:vAlign w:val="bottom"/>
            <w:gridSpan w:val="2"/>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45,190</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2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Administrative expenses</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6,895</w:t>
            </w:r>
          </w:p>
        </w:tc>
        <w:tc>
          <w:tcPr>
            <w:tcW w:w="8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325</w:t>
            </w:r>
          </w:p>
        </w:tc>
        <w:tc>
          <w:tcPr>
            <w:tcW w:w="80" w:type="dxa"/>
            <w:vAlign w:val="bottom"/>
            <w:tcBorders>
              <w:bottom w:val="single" w:sz="8" w:color="DBDBDB"/>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7,245</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20" w:type="dxa"/>
            <w:vAlign w:val="bottom"/>
            <w:shd w:val="clear" w:color="auto" w:fill="DBDBDB"/>
          </w:tcPr>
          <w:p>
            <w:pPr>
              <w:ind w:left="160"/>
              <w:spacing w:after="0"/>
              <w:rPr>
                <w:sz w:val="20"/>
                <w:szCs w:val="20"/>
                <w:color w:val="auto"/>
              </w:rPr>
            </w:pPr>
            <w:r>
              <w:rPr>
                <w:rFonts w:ascii="Arial" w:cs="Arial" w:eastAsia="Arial" w:hAnsi="Arial"/>
                <w:sz w:val="11"/>
                <w:szCs w:val="11"/>
                <w:b w:val="1"/>
                <w:bCs w:val="1"/>
                <w:color w:val="auto"/>
              </w:rPr>
              <w:t>Total expenses</w:t>
            </w:r>
          </w:p>
        </w:tc>
        <w:tc>
          <w:tcPr>
            <w:tcW w:w="80" w:type="dxa"/>
            <w:vAlign w:val="bottom"/>
            <w:shd w:val="clear" w:color="auto" w:fill="DBDBDB"/>
          </w:tcPr>
          <w:p>
            <w:pPr>
              <w:spacing w:after="0"/>
              <w:rPr>
                <w:sz w:val="11"/>
                <w:szCs w:val="1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45,215</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254,960</w:t>
            </w:r>
          </w:p>
        </w:tc>
        <w:tc>
          <w:tcPr>
            <w:tcW w:w="8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3,470</w:t>
            </w: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280" w:type="dxa"/>
            <w:vAlign w:val="bottom"/>
            <w:gridSpan w:val="2"/>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1"/>
                <w:szCs w:val="1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303,645</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920" w:type="dxa"/>
            <w:vAlign w:val="bottom"/>
          </w:tcPr>
          <w:p>
            <w:pPr>
              <w:spacing w:after="0" w:line="124" w:lineRule="exact"/>
              <w:rPr>
                <w:sz w:val="20"/>
                <w:szCs w:val="20"/>
                <w:color w:val="auto"/>
              </w:rPr>
            </w:pPr>
            <w:r>
              <w:rPr>
                <w:rFonts w:ascii="Arial" w:cs="Arial" w:eastAsia="Arial" w:hAnsi="Arial"/>
                <w:sz w:val="11"/>
                <w:szCs w:val="11"/>
                <w:b w:val="1"/>
                <w:bCs w:val="1"/>
                <w:color w:val="auto"/>
              </w:rPr>
              <w:t>Other income (loss)</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DBDBDB"/>
          </w:tcPr>
          <w:p>
            <w:pPr>
              <w:ind w:left="80"/>
              <w:spacing w:after="0"/>
              <w:rPr>
                <w:sz w:val="20"/>
                <w:szCs w:val="20"/>
                <w:color w:val="auto"/>
              </w:rPr>
            </w:pPr>
            <w:r>
              <w:rPr>
                <w:rFonts w:ascii="Arial" w:cs="Arial" w:eastAsia="Arial" w:hAnsi="Arial"/>
                <w:sz w:val="11"/>
                <w:szCs w:val="11"/>
                <w:color w:val="auto"/>
              </w:rPr>
              <w:t>Other gain (loss), net</w:t>
            </w:r>
          </w:p>
        </w:tc>
        <w:tc>
          <w:tcPr>
            <w:tcW w:w="8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(463)</w:t>
            </w:r>
          </w:p>
        </w:tc>
        <w:tc>
          <w:tcPr>
            <w:tcW w:w="8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(24,747)</w:t>
            </w: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280" w:type="dxa"/>
            <w:vAlign w:val="bottom"/>
            <w:gridSpan w:val="2"/>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(25,290)</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20" w:type="dxa"/>
            <w:vAlign w:val="bottom"/>
          </w:tcPr>
          <w:p>
            <w:pPr>
              <w:ind w:left="80"/>
              <w:spacing w:after="0"/>
              <w:rPr>
                <w:sz w:val="20"/>
                <w:szCs w:val="20"/>
                <w:color w:val="auto"/>
              </w:rPr>
            </w:pPr>
            <w:r>
              <w:rPr>
                <w:rFonts w:ascii="Arial" w:cs="Arial" w:eastAsia="Arial" w:hAnsi="Arial"/>
                <w:sz w:val="11"/>
                <w:szCs w:val="11"/>
                <w:color w:val="auto"/>
              </w:rPr>
              <w:t>Equity method earnings (loss)</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5,233</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5,875</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20" w:type="dxa"/>
            <w:vAlign w:val="bottom"/>
            <w:shd w:val="clear" w:color="auto" w:fill="DBDBDB"/>
          </w:tcPr>
          <w:p>
            <w:pPr>
              <w:ind w:left="80"/>
              <w:spacing w:after="0"/>
              <w:rPr>
                <w:sz w:val="20"/>
                <w:szCs w:val="20"/>
                <w:color w:val="auto"/>
              </w:rPr>
            </w:pPr>
            <w:r>
              <w:rPr>
                <w:rFonts w:ascii="Arial" w:cs="Arial" w:eastAsia="Arial" w:hAnsi="Arial"/>
                <w:sz w:val="11"/>
                <w:szCs w:val="11"/>
                <w:color w:val="auto"/>
              </w:rPr>
              <w:t>Equity method earnings (loss) - carried interest</w:t>
            </w:r>
          </w:p>
        </w:tc>
        <w:tc>
          <w:tcPr>
            <w:tcW w:w="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86,720</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34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240" w:type="dxa"/>
            <w:vAlign w:val="bottom"/>
            <w:tcBorders>
              <w:bottom w:val="single" w:sz="8" w:color="auto"/>
            </w:tcBorders>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86,720</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42,084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(68,565)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(19,260)</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(45,741)</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Income tax benefit (expense)</w:t>
            </w:r>
          </w:p>
        </w:tc>
        <w:tc>
          <w:tcPr>
            <w:tcW w:w="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(128)</w:t>
            </w:r>
          </w:p>
        </w:tc>
        <w:tc>
          <w:tcPr>
            <w:tcW w:w="80" w:type="dxa"/>
            <w:vAlign w:val="bottom"/>
            <w:shd w:val="clear" w:color="auto" w:fill="DBDBDB"/>
          </w:tcPr>
          <w:p>
            <w:pPr>
              <w:spacing w:after="0"/>
              <w:rPr>
                <w:sz w:val="12"/>
                <w:szCs w:val="12"/>
                <w:color w:val="auto"/>
              </w:rPr>
            </w:pPr>
          </w:p>
        </w:tc>
        <w:tc>
          <w:tcPr>
            <w:tcW w:w="34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240" w:type="dxa"/>
            <w:vAlign w:val="bottom"/>
            <w:tcBorders>
              <w:bottom w:val="single" w:sz="8" w:color="auto"/>
            </w:tcBorders>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(128)</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42,084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(68,693)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(19,260)</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(45,869)</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Income (loss) from discontinued operations</w:t>
            </w:r>
          </w:p>
        </w:tc>
        <w:tc>
          <w:tcPr>
            <w:tcW w:w="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DBDBDB"/>
          </w:tcPr>
          <w:p>
            <w:pPr>
              <w:spacing w:after="0"/>
              <w:rPr>
                <w:sz w:val="12"/>
                <w:szCs w:val="12"/>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shd w:val="clear" w:color="auto" w:fill="DBDBDB"/>
          </w:tcPr>
          <w:p>
            <w:pPr>
              <w:spacing w:after="0"/>
              <w:rPr>
                <w:sz w:val="12"/>
                <w:szCs w:val="12"/>
                <w:color w:val="auto"/>
              </w:rPr>
            </w:pPr>
          </w:p>
        </w:tc>
        <w:tc>
          <w:tcPr>
            <w:tcW w:w="280" w:type="dxa"/>
            <w:vAlign w:val="bottom"/>
            <w:gridSpan w:val="2"/>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20" w:type="dxa"/>
            <w:vAlign w:val="bottom"/>
          </w:tcPr>
          <w:p>
            <w:pPr>
              <w:ind w:left="80"/>
              <w:spacing w:after="0" w:line="109" w:lineRule="exact"/>
              <w:rPr>
                <w:sz w:val="20"/>
                <w:szCs w:val="20"/>
                <w:color w:val="auto"/>
              </w:rPr>
            </w:pPr>
            <w:r>
              <w:rPr>
                <w:rFonts w:ascii="Arial" w:cs="Arial" w:eastAsia="Arial" w:hAnsi="Arial"/>
                <w:sz w:val="11"/>
                <w:szCs w:val="11"/>
                <w:color w:val="auto"/>
              </w:rPr>
              <w:t>Non-pro rata allocation of income (loss) to noncontrolling</w:t>
            </w: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2,894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(721)</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267</w:t>
            </w: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vMerge w:val="restart"/>
          </w:tcPr>
          <w:p>
            <w:pPr>
              <w:ind w:left="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2,440</w:t>
            </w: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92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interests</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920" w:type="dxa"/>
            <w:vAlign w:val="bottom"/>
            <w:shd w:val="clear" w:color="auto" w:fill="DBDBDB"/>
          </w:tcPr>
          <w:p>
            <w:pPr>
              <w:spacing w:after="0" w:line="90" w:lineRule="exact"/>
              <w:rPr>
                <w:sz w:val="20"/>
                <w:szCs w:val="20"/>
                <w:color w:val="auto"/>
              </w:rPr>
            </w:pPr>
            <w:r>
              <w:rPr>
                <w:rFonts w:ascii="Arial" w:cs="Arial" w:eastAsia="Arial" w:hAnsi="Arial"/>
                <w:sz w:val="10"/>
                <w:szCs w:val="10"/>
                <w:b w:val="1"/>
                <w:bCs w:val="1"/>
                <w:color w:val="auto"/>
              </w:rPr>
              <w:t>Net income (loss) attributable to noncontrolling</w:t>
            </w: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44,978</w:t>
            </w:r>
          </w:p>
        </w:tc>
        <w:tc>
          <w:tcPr>
            <w:tcW w:w="80" w:type="dxa"/>
            <w:vAlign w:val="bottom"/>
            <w:shd w:val="clear" w:color="auto" w:fill="DBDBDB"/>
          </w:tcPr>
          <w:p>
            <w:pPr>
              <w:spacing w:after="0"/>
              <w:rPr>
                <w:sz w:val="7"/>
                <w:szCs w:val="7"/>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(69,414)</w:t>
            </w:r>
          </w:p>
        </w:tc>
        <w:tc>
          <w:tcPr>
            <w:tcW w:w="80" w:type="dxa"/>
            <w:vAlign w:val="bottom"/>
            <w:shd w:val="clear" w:color="auto" w:fill="DBDBDB"/>
          </w:tcPr>
          <w:p>
            <w:pPr>
              <w:spacing w:after="0"/>
              <w:rPr>
                <w:sz w:val="7"/>
                <w:szCs w:val="7"/>
                <w:color w:val="auto"/>
              </w:rPr>
            </w:pPr>
          </w:p>
        </w:tc>
        <w:tc>
          <w:tcPr>
            <w:tcW w:w="340" w:type="dxa"/>
            <w:vAlign w:val="bottom"/>
            <w:vMerge w:val="restart"/>
            <w:shd w:val="clear" w:color="auto" w:fill="DBDBDB"/>
          </w:tcPr>
          <w:p>
            <w:pPr>
              <w:jc w:val="right"/>
              <w:ind w:right="231"/>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(18,993)</w:t>
            </w:r>
          </w:p>
        </w:tc>
        <w:tc>
          <w:tcPr>
            <w:tcW w:w="80" w:type="dxa"/>
            <w:vAlign w:val="bottom"/>
            <w:shd w:val="clear" w:color="auto" w:fill="DBDBDB"/>
          </w:tcPr>
          <w:p>
            <w:pPr>
              <w:spacing w:after="0"/>
              <w:rPr>
                <w:sz w:val="7"/>
                <w:szCs w:val="7"/>
                <w:color w:val="auto"/>
              </w:rPr>
            </w:pPr>
          </w:p>
        </w:tc>
        <w:tc>
          <w:tcPr>
            <w:tcW w:w="900" w:type="dxa"/>
            <w:vAlign w:val="bottom"/>
            <w:vMerge w:val="restart"/>
            <w:shd w:val="clear" w:color="auto" w:fill="DBDBDB"/>
          </w:tcPr>
          <w:p>
            <w:pPr>
              <w:jc w:val="right"/>
              <w:ind w:right="768"/>
              <w:spacing w:after="0"/>
              <w:rPr>
                <w:sz w:val="20"/>
                <w:szCs w:val="20"/>
                <w:color w:val="auto"/>
              </w:rPr>
            </w:pPr>
            <w:r>
              <w:rPr>
                <w:rFonts w:ascii="Arial" w:cs="Arial" w:eastAsia="Arial" w:hAnsi="Arial"/>
                <w:sz w:val="11"/>
                <w:szCs w:val="11"/>
                <w:color w:val="auto"/>
                <w:w w:val="97"/>
              </w:rPr>
              <w:t>$</w:t>
            </w:r>
          </w:p>
        </w:tc>
        <w:tc>
          <w:tcPr>
            <w:tcW w:w="280" w:type="dxa"/>
            <w:vAlign w:val="bottom"/>
            <w:gridSpan w:val="2"/>
            <w:vMerge w:val="restart"/>
            <w:shd w:val="clear" w:color="auto" w:fill="DBDBDB"/>
          </w:tcPr>
          <w:p>
            <w:pPr>
              <w:ind w:left="4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(43,429)</w:t>
            </w: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92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interests</w:t>
            </w:r>
          </w:p>
        </w:tc>
        <w:tc>
          <w:tcPr>
            <w:tcW w:w="80" w:type="dxa"/>
            <w:vAlign w:val="bottom"/>
            <w:vMerge w:val="continue"/>
            <w:shd w:val="clear" w:color="auto" w:fill="DBDBDB"/>
          </w:tcPr>
          <w:p>
            <w:pPr>
              <w:spacing w:after="0"/>
              <w:rPr>
                <w:sz w:val="12"/>
                <w:szCs w:val="12"/>
                <w:color w:val="auto"/>
              </w:rPr>
            </w:pPr>
          </w:p>
        </w:tc>
        <w:tc>
          <w:tcPr>
            <w:tcW w:w="98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vMerge w:val="continue"/>
            <w:shd w:val="clear" w:color="auto" w:fill="DBDBDB"/>
          </w:tcPr>
          <w:p>
            <w:pPr>
              <w:spacing w:after="0"/>
              <w:rPr>
                <w:sz w:val="12"/>
                <w:szCs w:val="12"/>
                <w:color w:val="auto"/>
              </w:rPr>
            </w:pPr>
          </w:p>
        </w:tc>
        <w:tc>
          <w:tcPr>
            <w:tcW w:w="90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40" w:type="dxa"/>
            <w:vAlign w:val="bottom"/>
            <w:vMerge w:val="continue"/>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vMerge w:val="continue"/>
            <w:shd w:val="clear" w:color="auto" w:fill="DBDBDB"/>
          </w:tcPr>
          <w:p>
            <w:pPr>
              <w:spacing w:after="0"/>
              <w:rPr>
                <w:sz w:val="12"/>
                <w:szCs w:val="12"/>
                <w:color w:val="auto"/>
              </w:rPr>
            </w:pPr>
          </w:p>
        </w:tc>
        <w:tc>
          <w:tcPr>
            <w:tcW w:w="280" w:type="dxa"/>
            <w:vAlign w:val="bottom"/>
            <w:gridSpan w:val="2"/>
            <w:vMerge w:val="continue"/>
            <w:shd w:val="clear" w:color="auto" w:fill="DBDBDB"/>
          </w:tcPr>
          <w:p>
            <w:pPr>
              <w:spacing w:after="0"/>
              <w:rPr>
                <w:sz w:val="12"/>
                <w:szCs w:val="12"/>
                <w:color w:val="auto"/>
              </w:rPr>
            </w:pPr>
          </w:p>
        </w:tc>
        <w:tc>
          <w:tcPr>
            <w:tcW w:w="240" w:type="dxa"/>
            <w:vAlign w:val="bottom"/>
            <w:vMerge w:val="continue"/>
            <w:shd w:val="clear" w:color="auto" w:fill="DBDBDB"/>
          </w:tcPr>
          <w:p>
            <w:pPr>
              <w:spacing w:after="0"/>
              <w:rPr>
                <w:sz w:val="12"/>
                <w:szCs w:val="12"/>
                <w:color w:val="auto"/>
              </w:rPr>
            </w:pPr>
          </w:p>
        </w:tc>
        <w:tc>
          <w:tcPr>
            <w:tcW w:w="800" w:type="dxa"/>
            <w:vAlign w:val="bottom"/>
            <w:vMerge w:val="continue"/>
            <w:shd w:val="clear" w:color="auto" w:fill="DBDBDB"/>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8"/>
        </w:trPr>
        <w:tc>
          <w:tcPr>
            <w:tcW w:w="2920" w:type="dxa"/>
            <w:vAlign w:val="bottom"/>
            <w:tcBorders>
              <w:top w:val="single" w:sz="8" w:color="DBDBDB"/>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DBDBDB"/>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DBDBDB"/>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DBDBDB"/>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DBDBDB"/>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3640" w:type="dxa"/>
            <w:vAlign w:val="bottom"/>
            <w:tcBorders>
              <w:top w:val="single" w:sz="8" w:color="auto"/>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92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40" w:type="dxa"/>
            <w:vAlign w:val="bottom"/>
            <w:gridSpan w:val="2"/>
          </w:tcPr>
          <w:p>
            <w:pPr>
              <w:jc w:val="right"/>
              <w:ind w:right="420"/>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6" w:right="299" w:bottom="1440" w:gutter="0" w:footer="0" w:header="0"/>
        </w:sectPr>
      </w:pPr>
    </w:p>
    <w:bookmarkStart w:id="18" w:name="page19"/>
    <w:bookmarkEnd w:id="18"/>
    <w:p>
      <w:pPr>
        <w:ind w:left="8" w:right="900"/>
        <w:spacing w:after="0" w:line="241" w:lineRule="auto"/>
        <w:rPr>
          <w:sz w:val="20"/>
          <w:szCs w:val="20"/>
          <w:color w:val="auto"/>
        </w:rPr>
      </w:pPr>
      <w:r>
        <w:rPr>
          <w:rFonts w:ascii="Arial" w:cs="Arial" w:eastAsia="Arial" w:hAnsi="Arial"/>
          <w:sz w:val="29"/>
          <w:szCs w:val="29"/>
          <w:color w:val="auto"/>
        </w:rPr>
        <w:t>IId. Financial Results - Segment Reconciliation of Net Income to DE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78040"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40" w:type="dxa"/>
            <w:vAlign w:val="bottom"/>
            <w:gridSpan w:val="8"/>
            <w:vMerge w:val="restart"/>
          </w:tcPr>
          <w:p>
            <w:pPr>
              <w:ind w:left="380"/>
              <w:spacing w:after="0"/>
              <w:rPr>
                <w:sz w:val="20"/>
                <w:szCs w:val="20"/>
                <w:color w:val="auto"/>
              </w:rPr>
            </w:pPr>
            <w:r>
              <w:rPr>
                <w:rFonts w:ascii="Arial" w:cs="Arial" w:eastAsia="Arial" w:hAnsi="Arial"/>
                <w:sz w:val="10"/>
                <w:szCs w:val="10"/>
                <w:b w:val="1"/>
                <w:bCs w:val="1"/>
                <w:color w:val="auto"/>
              </w:rPr>
              <w:t>OP pro rata share by segment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gridSpan w:val="8"/>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140"/>
              <w:spacing w:after="0" w:line="79" w:lineRule="exact"/>
              <w:rPr>
                <w:sz w:val="20"/>
                <w:szCs w:val="20"/>
                <w:color w:val="auto"/>
              </w:rPr>
            </w:pPr>
            <w:r>
              <w:rPr>
                <w:rFonts w:ascii="Arial" w:cs="Arial" w:eastAsia="Arial" w:hAnsi="Arial"/>
                <w:sz w:val="9"/>
                <w:szCs w:val="9"/>
                <w:b w:val="1"/>
                <w:bCs w:val="1"/>
                <w:color w:val="auto"/>
              </w:rPr>
              <w:t>attributable to</w:t>
            </w:r>
          </w:p>
        </w:tc>
        <w:tc>
          <w:tcPr>
            <w:tcW w:w="80" w:type="dxa"/>
            <w:vAlign w:val="bottom"/>
          </w:tcPr>
          <w:p>
            <w:pPr>
              <w:spacing w:after="0"/>
              <w:rPr>
                <w:sz w:val="7"/>
                <w:szCs w:val="7"/>
                <w:color w:val="auto"/>
              </w:rPr>
            </w:pPr>
          </w:p>
        </w:tc>
        <w:tc>
          <w:tcPr>
            <w:tcW w:w="700" w:type="dxa"/>
            <w:vAlign w:val="bottom"/>
          </w:tcPr>
          <w:p>
            <w:pPr>
              <w:jc w:val="center"/>
              <w:ind w:right="27"/>
              <w:spacing w:after="0" w:line="79" w:lineRule="exact"/>
              <w:rPr>
                <w:sz w:val="20"/>
                <w:szCs w:val="20"/>
                <w:color w:val="auto"/>
              </w:rPr>
            </w:pPr>
            <w:r>
              <w:rPr>
                <w:rFonts w:ascii="Arial" w:cs="Arial" w:eastAsia="Arial" w:hAnsi="Arial"/>
                <w:sz w:val="9"/>
                <w:szCs w:val="9"/>
                <w:b w:val="1"/>
                <w:bCs w:val="1"/>
                <w:color w:val="auto"/>
              </w:rPr>
              <w:t>DBRG</w:t>
            </w:r>
          </w:p>
        </w:tc>
        <w:tc>
          <w:tcPr>
            <w:tcW w:w="0" w:type="dxa"/>
            <w:vAlign w:val="bottom"/>
          </w:tcPr>
          <w:p>
            <w:pPr>
              <w:spacing w:after="0"/>
              <w:rPr>
                <w:sz w:val="1"/>
                <w:szCs w:val="1"/>
                <w:color w:val="auto"/>
              </w:rPr>
            </w:pPr>
          </w:p>
        </w:tc>
      </w:tr>
      <w:tr>
        <w:trPr>
          <w:trHeight w:val="88"/>
        </w:trPr>
        <w:tc>
          <w:tcPr>
            <w:tcW w:w="3180" w:type="dxa"/>
            <w:vAlign w:val="bottom"/>
          </w:tcPr>
          <w:p>
            <w:pPr>
              <w:spacing w:after="0" w:line="88" w:lineRule="exact"/>
              <w:rPr>
                <w:sz w:val="20"/>
                <w:szCs w:val="20"/>
                <w:color w:val="auto"/>
              </w:rPr>
            </w:pPr>
            <w:r>
              <w:rPr>
                <w:rFonts w:ascii="Arial" w:cs="Arial" w:eastAsia="Arial" w:hAnsi="Arial"/>
                <w:sz w:val="10"/>
                <w:szCs w:val="10"/>
                <w:i w:val="1"/>
                <w:iCs w:val="1"/>
                <w:color w:val="auto"/>
              </w:rPr>
              <w:t>($ in thousands; for the three months ended June 30, 2022; and</w:t>
            </w:r>
          </w:p>
        </w:tc>
        <w:tc>
          <w:tcPr>
            <w:tcW w:w="100" w:type="dxa"/>
            <w:vAlign w:val="bottom"/>
          </w:tcPr>
          <w:p>
            <w:pPr>
              <w:spacing w:after="0"/>
              <w:rPr>
                <w:sz w:val="7"/>
                <w:szCs w:val="7"/>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0"/>
                <w:szCs w:val="10"/>
                <w:b w:val="1"/>
                <w:bCs w:val="1"/>
                <w:color w:val="auto"/>
                <w:w w:val="94"/>
              </w:rPr>
              <w:t>Digital IM</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ind w:left="100"/>
              <w:spacing w:after="0" w:line="88" w:lineRule="exact"/>
              <w:rPr>
                <w:sz w:val="20"/>
                <w:szCs w:val="20"/>
                <w:color w:val="auto"/>
              </w:rPr>
            </w:pPr>
            <w:r>
              <w:rPr>
                <w:rFonts w:ascii="Arial" w:cs="Arial" w:eastAsia="Arial" w:hAnsi="Arial"/>
                <w:sz w:val="10"/>
                <w:szCs w:val="10"/>
                <w:b w:val="1"/>
                <w:bCs w:val="1"/>
                <w:color w:val="auto"/>
              </w:rPr>
              <w:t>Digital</w:t>
            </w:r>
          </w:p>
        </w:tc>
        <w:tc>
          <w:tcPr>
            <w:tcW w:w="80" w:type="dxa"/>
            <w:vAlign w:val="bottom"/>
          </w:tcPr>
          <w:p>
            <w:pPr>
              <w:spacing w:after="0"/>
              <w:rPr>
                <w:sz w:val="7"/>
                <w:szCs w:val="7"/>
                <w:color w:val="auto"/>
              </w:rPr>
            </w:pPr>
          </w:p>
        </w:tc>
        <w:tc>
          <w:tcPr>
            <w:tcW w:w="64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Corporate</w:t>
            </w:r>
          </w:p>
        </w:tc>
        <w:tc>
          <w:tcPr>
            <w:tcW w:w="80" w:type="dxa"/>
            <w:vAlign w:val="bottom"/>
          </w:tcPr>
          <w:p>
            <w:pPr>
              <w:spacing w:after="0"/>
              <w:rPr>
                <w:sz w:val="7"/>
                <w:szCs w:val="7"/>
                <w:color w:val="auto"/>
              </w:rPr>
            </w:pPr>
          </w:p>
        </w:tc>
        <w:tc>
          <w:tcPr>
            <w:tcW w:w="78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Discontinued</w:t>
            </w:r>
          </w:p>
        </w:tc>
        <w:tc>
          <w:tcPr>
            <w:tcW w:w="820" w:type="dxa"/>
            <w:vAlign w:val="bottom"/>
            <w:gridSpan w:val="3"/>
          </w:tcPr>
          <w:p>
            <w:pPr>
              <w:ind w:left="80"/>
              <w:spacing w:after="0" w:line="88" w:lineRule="exact"/>
              <w:rPr>
                <w:sz w:val="20"/>
                <w:szCs w:val="20"/>
                <w:color w:val="auto"/>
              </w:rPr>
            </w:pPr>
            <w:r>
              <w:rPr>
                <w:rFonts w:ascii="Arial" w:cs="Arial" w:eastAsia="Arial" w:hAnsi="Arial"/>
                <w:sz w:val="10"/>
                <w:szCs w:val="10"/>
                <w:b w:val="1"/>
                <w:bCs w:val="1"/>
                <w:color w:val="auto"/>
              </w:rPr>
              <w:t>Total OP pro</w:t>
            </w:r>
          </w:p>
        </w:tc>
        <w:tc>
          <w:tcPr>
            <w:tcW w:w="80" w:type="dxa"/>
            <w:vAlign w:val="bottom"/>
          </w:tcPr>
          <w:p>
            <w:pPr>
              <w:spacing w:after="0"/>
              <w:rPr>
                <w:sz w:val="7"/>
                <w:szCs w:val="7"/>
                <w:color w:val="auto"/>
              </w:rPr>
            </w:pPr>
          </w:p>
        </w:tc>
        <w:tc>
          <w:tcPr>
            <w:tcW w:w="840" w:type="dxa"/>
            <w:vAlign w:val="bottom"/>
            <w:gridSpan w:val="2"/>
          </w:tcPr>
          <w:p>
            <w:pPr>
              <w:jc w:val="center"/>
              <w:ind w:right="140"/>
              <w:spacing w:after="0" w:line="88" w:lineRule="exact"/>
              <w:rPr>
                <w:sz w:val="20"/>
                <w:szCs w:val="20"/>
                <w:color w:val="auto"/>
              </w:rPr>
            </w:pPr>
            <w:r>
              <w:rPr>
                <w:rFonts w:ascii="Arial" w:cs="Arial" w:eastAsia="Arial" w:hAnsi="Arial"/>
                <w:sz w:val="10"/>
                <w:szCs w:val="10"/>
                <w:b w:val="1"/>
                <w:bCs w:val="1"/>
                <w:color w:val="auto"/>
                <w:w w:val="99"/>
              </w:rPr>
              <w:t>noncontrolling</w:t>
            </w:r>
          </w:p>
        </w:tc>
        <w:tc>
          <w:tcPr>
            <w:tcW w:w="80" w:type="dxa"/>
            <w:vAlign w:val="bottom"/>
          </w:tcPr>
          <w:p>
            <w:pPr>
              <w:spacing w:after="0"/>
              <w:rPr>
                <w:sz w:val="7"/>
                <w:szCs w:val="7"/>
                <w:color w:val="auto"/>
              </w:rPr>
            </w:pPr>
          </w:p>
        </w:tc>
        <w:tc>
          <w:tcPr>
            <w:tcW w:w="700" w:type="dxa"/>
            <w:vAlign w:val="bottom"/>
          </w:tcPr>
          <w:p>
            <w:pPr>
              <w:jc w:val="center"/>
              <w:ind w:right="27"/>
              <w:spacing w:after="0" w:line="88" w:lineRule="exact"/>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5"/>
        </w:trPr>
        <w:tc>
          <w:tcPr>
            <w:tcW w:w="3180" w:type="dxa"/>
            <w:vAlign w:val="bottom"/>
            <w:tcBorders>
              <w:bottom w:val="single" w:sz="8" w:color="DBDBDB"/>
            </w:tcBorders>
          </w:tcPr>
          <w:p>
            <w:pPr>
              <w:spacing w:after="0"/>
              <w:rPr>
                <w:sz w:val="20"/>
                <w:szCs w:val="20"/>
                <w:color w:val="auto"/>
              </w:rPr>
            </w:pPr>
            <w:r>
              <w:rPr>
                <w:rFonts w:ascii="Arial" w:cs="Arial" w:eastAsia="Arial" w:hAnsi="Arial"/>
                <w:sz w:val="10"/>
                <w:szCs w:val="10"/>
                <w:i w:val="1"/>
                <w:iCs w:val="1"/>
                <w:color w:val="auto"/>
              </w:rPr>
              <w:t>unaudited)</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DBDBDB"/>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w w:val="97"/>
              </w:rPr>
              <w:t>Operating</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and Other</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Operations</w:t>
            </w:r>
          </w:p>
        </w:tc>
        <w:tc>
          <w:tcPr>
            <w:tcW w:w="80" w:type="dxa"/>
            <w:vAlign w:val="bottom"/>
            <w:tcBorders>
              <w:bottom w:val="single" w:sz="8" w:color="DBDBDB"/>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rata share</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7"/>
              <w:spacing w:after="0"/>
              <w:rPr>
                <w:sz w:val="20"/>
                <w:szCs w:val="20"/>
                <w:color w:val="auto"/>
              </w:rPr>
            </w:pPr>
            <w:r>
              <w:rPr>
                <w:rFonts w:ascii="Arial" w:cs="Arial" w:eastAsia="Arial" w:hAnsi="Arial"/>
                <w:sz w:val="10"/>
                <w:szCs w:val="10"/>
                <w:b w:val="1"/>
                <w:bCs w:val="1"/>
                <w:color w:val="auto"/>
                <w:w w:val="95"/>
              </w:rPr>
              <w:t>interests</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7"/>
              <w:spacing w:after="0"/>
              <w:rPr>
                <w:sz w:val="20"/>
                <w:szCs w:val="20"/>
                <w:color w:val="auto"/>
              </w:rPr>
            </w:pPr>
            <w:r>
              <w:rPr>
                <w:rFonts w:ascii="Arial" w:cs="Arial" w:eastAsia="Arial" w:hAnsi="Arial"/>
                <w:sz w:val="10"/>
                <w:szCs w:val="10"/>
                <w:b w:val="1"/>
                <w:bCs w:val="1"/>
                <w:color w:val="auto"/>
                <w:w w:val="99"/>
              </w:rPr>
              <w:t>as reported</w:t>
            </w:r>
          </w:p>
        </w:tc>
        <w:tc>
          <w:tcPr>
            <w:tcW w:w="0" w:type="dxa"/>
            <w:vAlign w:val="bottom"/>
          </w:tcPr>
          <w:p>
            <w:pPr>
              <w:spacing w:after="0"/>
              <w:rPr>
                <w:sz w:val="1"/>
                <w:szCs w:val="1"/>
                <w:color w:val="auto"/>
              </w:rPr>
            </w:pPr>
          </w:p>
        </w:tc>
      </w:tr>
      <w:tr>
        <w:trPr>
          <w:trHeight w:val="133"/>
        </w:trPr>
        <w:tc>
          <w:tcPr>
            <w:tcW w:w="3180" w:type="dxa"/>
            <w:vAlign w:val="bottom"/>
            <w:shd w:val="clear" w:color="auto" w:fill="DBDBDB"/>
          </w:tcPr>
          <w:p>
            <w:pPr>
              <w:spacing w:after="0"/>
              <w:rPr>
                <w:sz w:val="20"/>
                <w:szCs w:val="20"/>
                <w:color w:val="auto"/>
              </w:rPr>
            </w:pPr>
            <w:r>
              <w:rPr>
                <w:rFonts w:ascii="Arial" w:cs="Arial" w:eastAsia="Arial" w:hAnsi="Arial"/>
                <w:sz w:val="11"/>
                <w:szCs w:val="11"/>
                <w:color w:val="auto"/>
              </w:rPr>
              <w:t>Net income (loss) attributable to common stockholders</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21,269</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(14,807)</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(29,768)</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(14,015)</w:t>
            </w: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(37,321)</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(37,321)</w:t>
            </w:r>
          </w:p>
        </w:tc>
        <w:tc>
          <w:tcPr>
            <w:tcW w:w="0" w:type="dxa"/>
            <w:vAlign w:val="bottom"/>
          </w:tcPr>
          <w:p>
            <w:pPr>
              <w:spacing w:after="0"/>
              <w:rPr>
                <w:sz w:val="1"/>
                <w:szCs w:val="1"/>
                <w:color w:val="auto"/>
              </w:rPr>
            </w:pPr>
          </w:p>
        </w:tc>
      </w:tr>
      <w:tr>
        <w:trPr>
          <w:trHeight w:val="108"/>
        </w:trPr>
        <w:tc>
          <w:tcPr>
            <w:tcW w:w="3180" w:type="dxa"/>
            <w:vAlign w:val="bottom"/>
          </w:tcPr>
          <w:p>
            <w:pPr>
              <w:spacing w:after="0" w:line="109" w:lineRule="exact"/>
              <w:rPr>
                <w:sz w:val="20"/>
                <w:szCs w:val="20"/>
                <w:color w:val="auto"/>
              </w:rPr>
            </w:pPr>
            <w:r>
              <w:rPr>
                <w:rFonts w:ascii="Arial" w:cs="Arial" w:eastAsia="Arial" w:hAnsi="Arial"/>
                <w:sz w:val="11"/>
                <w:szCs w:val="11"/>
                <w:color w:val="auto"/>
                <w:w w:val="99"/>
              </w:rPr>
              <w:t>Net income (loss) attributable to noncontrolling common interests</w:t>
            </w:r>
          </w:p>
        </w:tc>
        <w:tc>
          <w:tcPr>
            <w:tcW w:w="10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1,748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(1,207)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(2,489)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(1,142)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(3,090)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(3,090)</w:t>
            </w:r>
          </w:p>
        </w:tc>
        <w:tc>
          <w:tcPr>
            <w:tcW w:w="0" w:type="dxa"/>
            <w:vAlign w:val="bottom"/>
          </w:tcPr>
          <w:p>
            <w:pPr>
              <w:spacing w:after="0"/>
              <w:rPr>
                <w:sz w:val="1"/>
                <w:szCs w:val="1"/>
                <w:color w:val="auto"/>
              </w:rPr>
            </w:pPr>
          </w:p>
        </w:tc>
      </w:tr>
      <w:tr>
        <w:trPr>
          <w:trHeight w:val="143"/>
        </w:trPr>
        <w:tc>
          <w:tcPr>
            <w:tcW w:w="31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in Operating Company</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3180" w:type="dxa"/>
            <w:vAlign w:val="bottom"/>
            <w:shd w:val="clear" w:color="auto" w:fill="DBDBDB"/>
          </w:tcPr>
          <w:p>
            <w:pPr>
              <w:spacing w:after="0" w:line="90" w:lineRule="exact"/>
              <w:rPr>
                <w:sz w:val="20"/>
                <w:szCs w:val="20"/>
                <w:color w:val="auto"/>
              </w:rPr>
            </w:pPr>
            <w:r>
              <w:rPr>
                <w:rFonts w:ascii="Arial" w:cs="Arial" w:eastAsia="Arial" w:hAnsi="Arial"/>
                <w:sz w:val="10"/>
                <w:szCs w:val="10"/>
                <w:b w:val="1"/>
                <w:bCs w:val="1"/>
                <w:color w:val="auto"/>
              </w:rPr>
              <w:t>Net income (loss) attributable to common interests in</w:t>
            </w:r>
          </w:p>
        </w:tc>
        <w:tc>
          <w:tcPr>
            <w:tcW w:w="100" w:type="dxa"/>
            <w:vAlign w:val="bottom"/>
            <w:shd w:val="clear" w:color="auto" w:fill="DBDBDB"/>
          </w:tcPr>
          <w:p>
            <w:pPr>
              <w:spacing w:after="0"/>
              <w:rPr>
                <w:sz w:val="7"/>
                <w:szCs w:val="7"/>
                <w:color w:val="auto"/>
              </w:rPr>
            </w:pPr>
          </w:p>
        </w:tc>
        <w:tc>
          <w:tcPr>
            <w:tcW w:w="54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23,017</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(16,014)</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(32,257)</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(15,157)</w:t>
            </w:r>
          </w:p>
        </w:tc>
        <w:tc>
          <w:tcPr>
            <w:tcW w:w="8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(40,411)</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8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DBDBDB"/>
          </w:tcPr>
          <w:p>
            <w:pPr>
              <w:spacing w:after="0"/>
              <w:rPr>
                <w:sz w:val="7"/>
                <w:szCs w:val="7"/>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(40,411)</w:t>
            </w:r>
          </w:p>
        </w:tc>
        <w:tc>
          <w:tcPr>
            <w:tcW w:w="0" w:type="dxa"/>
            <w:vAlign w:val="bottom"/>
          </w:tcPr>
          <w:p>
            <w:pPr>
              <w:spacing w:after="0"/>
              <w:rPr>
                <w:sz w:val="1"/>
                <w:szCs w:val="1"/>
                <w:color w:val="auto"/>
              </w:rPr>
            </w:pPr>
          </w:p>
        </w:tc>
      </w:tr>
      <w:tr>
        <w:trPr>
          <w:trHeight w:val="144"/>
        </w:trPr>
        <w:tc>
          <w:tcPr>
            <w:tcW w:w="31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Operating Company and common stockholders</w:t>
            </w:r>
          </w:p>
        </w:tc>
        <w:tc>
          <w:tcPr>
            <w:tcW w:w="100" w:type="dxa"/>
            <w:vAlign w:val="bottom"/>
            <w:shd w:val="clear" w:color="auto" w:fill="DBDBDB"/>
          </w:tcPr>
          <w:p>
            <w:pPr>
              <w:spacing w:after="0"/>
              <w:rPr>
                <w:sz w:val="12"/>
                <w:szCs w:val="12"/>
                <w:color w:val="auto"/>
              </w:rPr>
            </w:pPr>
          </w:p>
        </w:tc>
        <w:tc>
          <w:tcPr>
            <w:tcW w:w="54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gridSpan w:val="2"/>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180" w:type="dxa"/>
            <w:vAlign w:val="bottom"/>
          </w:tcPr>
          <w:p>
            <w:pPr>
              <w:spacing w:after="0"/>
              <w:rPr>
                <w:sz w:val="20"/>
                <w:szCs w:val="20"/>
                <w:color w:val="auto"/>
              </w:rPr>
            </w:pPr>
            <w:r>
              <w:rPr>
                <w:rFonts w:ascii="Arial" w:cs="Arial" w:eastAsia="Arial" w:hAnsi="Arial"/>
                <w:sz w:val="11"/>
                <w:szCs w:val="11"/>
                <w:b w:val="1"/>
                <w:bCs w:val="1"/>
                <w:color w:val="auto"/>
              </w:rPr>
              <w:t>Adjustments for Distributable Earnings (DE):</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180" w:type="dxa"/>
            <w:vAlign w:val="bottom"/>
            <w:shd w:val="clear" w:color="auto" w:fill="DBDBDB"/>
          </w:tcPr>
          <w:p>
            <w:pPr>
              <w:ind w:left="120"/>
              <w:spacing w:after="0" w:line="144" w:lineRule="exact"/>
              <w:rPr>
                <w:sz w:val="20"/>
                <w:szCs w:val="20"/>
                <w:color w:val="auto"/>
              </w:rPr>
            </w:pPr>
            <w:r>
              <w:rPr>
                <w:rFonts w:ascii="Arial" w:cs="Arial" w:eastAsia="Arial" w:hAnsi="Arial"/>
                <w:sz w:val="11"/>
                <w:szCs w:val="11"/>
                <w:color w:val="auto"/>
              </w:rPr>
              <w:t>Transaction-related and restructuring charges</w:t>
            </w:r>
            <w:r>
              <w:rPr>
                <w:rFonts w:ascii="Arial" w:cs="Arial" w:eastAsia="Arial" w:hAnsi="Arial"/>
                <w:sz w:val="14"/>
                <w:szCs w:val="14"/>
                <w:color w:val="auto"/>
                <w:vertAlign w:val="superscript"/>
              </w:rPr>
              <w:t>(1)</w:t>
            </w:r>
          </w:p>
        </w:tc>
        <w:tc>
          <w:tcPr>
            <w:tcW w:w="10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5,050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3,539</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20,358</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28,947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353</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29,300</w:t>
            </w:r>
          </w:p>
        </w:tc>
        <w:tc>
          <w:tcPr>
            <w:tcW w:w="0" w:type="dxa"/>
            <w:vAlign w:val="bottom"/>
          </w:tcPr>
          <w:p>
            <w:pPr>
              <w:spacing w:after="0"/>
              <w:rPr>
                <w:sz w:val="1"/>
                <w:szCs w:val="1"/>
                <w:color w:val="auto"/>
              </w:rPr>
            </w:pPr>
          </w:p>
        </w:tc>
      </w:tr>
      <w:tr>
        <w:trPr>
          <w:trHeight w:val="108"/>
        </w:trPr>
        <w:tc>
          <w:tcPr>
            <w:tcW w:w="3180" w:type="dxa"/>
            <w:vAlign w:val="bottom"/>
          </w:tcPr>
          <w:p>
            <w:pPr>
              <w:ind w:left="120"/>
              <w:spacing w:after="0" w:line="109" w:lineRule="exact"/>
              <w:rPr>
                <w:sz w:val="20"/>
                <w:szCs w:val="20"/>
                <w:color w:val="auto"/>
              </w:rPr>
            </w:pPr>
            <w:r>
              <w:rPr>
                <w:rFonts w:ascii="Arial" w:cs="Arial" w:eastAsia="Arial" w:hAnsi="Arial"/>
                <w:sz w:val="11"/>
                <w:szCs w:val="11"/>
                <w:color w:val="auto"/>
              </w:rPr>
              <w:t>Non-real estate (gains) losses, excluding realized gains or</w:t>
            </w:r>
          </w:p>
        </w:tc>
        <w:tc>
          <w:tcPr>
            <w:tcW w:w="10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9,826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(11,666)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(1,756)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15,189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27"/>
              <w:spacing w:after="0"/>
              <w:rPr>
                <w:sz w:val="20"/>
                <w:szCs w:val="20"/>
                <w:color w:val="auto"/>
              </w:rPr>
            </w:pPr>
            <w:r>
              <w:rPr>
                <w:rFonts w:ascii="Arial" w:cs="Arial" w:eastAsia="Arial" w:hAnsi="Arial"/>
                <w:sz w:val="11"/>
                <w:szCs w:val="11"/>
                <w:color w:val="auto"/>
              </w:rPr>
              <w:t>13,433</w:t>
            </w:r>
          </w:p>
        </w:tc>
        <w:tc>
          <w:tcPr>
            <w:tcW w:w="0" w:type="dxa"/>
            <w:vAlign w:val="bottom"/>
          </w:tcPr>
          <w:p>
            <w:pPr>
              <w:spacing w:after="0"/>
              <w:rPr>
                <w:sz w:val="1"/>
                <w:szCs w:val="1"/>
                <w:color w:val="auto"/>
              </w:rPr>
            </w:pPr>
          </w:p>
        </w:tc>
      </w:tr>
      <w:tr>
        <w:trPr>
          <w:trHeight w:val="143"/>
        </w:trPr>
        <w:tc>
          <w:tcPr>
            <w:tcW w:w="3180" w:type="dxa"/>
            <w:vAlign w:val="bottom"/>
          </w:tcPr>
          <w:p>
            <w:pPr>
              <w:ind w:left="120"/>
              <w:spacing w:after="0"/>
              <w:rPr>
                <w:sz w:val="20"/>
                <w:szCs w:val="20"/>
                <w:color w:val="auto"/>
              </w:rPr>
            </w:pPr>
            <w:r>
              <w:rPr>
                <w:rFonts w:ascii="Arial" w:cs="Arial" w:eastAsia="Arial" w:hAnsi="Arial"/>
                <w:sz w:val="11"/>
                <w:szCs w:val="11"/>
                <w:color w:val="auto"/>
                <w:w w:val="98"/>
              </w:rPr>
              <w:t>losses of digital assets within the Corporate and Other segment</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Net unrealized carried interest</w:t>
            </w:r>
          </w:p>
        </w:tc>
        <w:tc>
          <w:tcPr>
            <w:tcW w:w="10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(17,246)</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6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(17,246)</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(41,529)</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(58,775)</w:t>
            </w:r>
          </w:p>
        </w:tc>
        <w:tc>
          <w:tcPr>
            <w:tcW w:w="0" w:type="dxa"/>
            <w:vAlign w:val="bottom"/>
          </w:tcPr>
          <w:p>
            <w:pPr>
              <w:spacing w:after="0"/>
              <w:rPr>
                <w:sz w:val="1"/>
                <w:szCs w:val="1"/>
                <w:color w:val="auto"/>
              </w:rPr>
            </w:pPr>
          </w:p>
        </w:tc>
      </w:tr>
      <w:tr>
        <w:trPr>
          <w:trHeight w:val="143"/>
        </w:trPr>
        <w:tc>
          <w:tcPr>
            <w:tcW w:w="3180" w:type="dxa"/>
            <w:vAlign w:val="bottom"/>
          </w:tcPr>
          <w:p>
            <w:pPr>
              <w:ind w:left="120"/>
              <w:spacing w:after="0"/>
              <w:rPr>
                <w:sz w:val="20"/>
                <w:szCs w:val="20"/>
                <w:color w:val="auto"/>
              </w:rPr>
            </w:pPr>
            <w:r>
              <w:rPr>
                <w:rFonts w:ascii="Arial" w:cs="Arial" w:eastAsia="Arial" w:hAnsi="Arial"/>
                <w:sz w:val="11"/>
                <w:szCs w:val="11"/>
                <w:color w:val="auto"/>
              </w:rPr>
              <w:t>Equity-based compensation expense</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212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7,971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1,373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9,344</w:t>
            </w:r>
          </w:p>
        </w:tc>
        <w:tc>
          <w:tcPr>
            <w:tcW w:w="0" w:type="dxa"/>
            <w:vAlign w:val="bottom"/>
          </w:tcPr>
          <w:p>
            <w:pPr>
              <w:spacing w:after="0"/>
              <w:rPr>
                <w:sz w:val="1"/>
                <w:szCs w:val="1"/>
                <w:color w:val="auto"/>
              </w:rPr>
            </w:pPr>
          </w:p>
        </w:tc>
      </w:tr>
      <w:tr>
        <w:trPr>
          <w:trHeight w:val="145"/>
        </w:trPr>
        <w:tc>
          <w:tcPr>
            <w:tcW w:w="31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Depreciation and amortization</w:t>
            </w:r>
          </w:p>
        </w:tc>
        <w:tc>
          <w:tcPr>
            <w:tcW w:w="10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25,172</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5,248</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265</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30,845</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125,064</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155,909</w:t>
            </w:r>
          </w:p>
        </w:tc>
        <w:tc>
          <w:tcPr>
            <w:tcW w:w="0" w:type="dxa"/>
            <w:vAlign w:val="bottom"/>
          </w:tcPr>
          <w:p>
            <w:pPr>
              <w:spacing w:after="0"/>
              <w:rPr>
                <w:sz w:val="1"/>
                <w:szCs w:val="1"/>
                <w:color w:val="auto"/>
              </w:rPr>
            </w:pPr>
          </w:p>
        </w:tc>
      </w:tr>
      <w:tr>
        <w:trPr>
          <w:trHeight w:val="143"/>
        </w:trPr>
        <w:tc>
          <w:tcPr>
            <w:tcW w:w="3180" w:type="dxa"/>
            <w:vAlign w:val="bottom"/>
          </w:tcPr>
          <w:p>
            <w:pPr>
              <w:ind w:left="120"/>
              <w:spacing w:after="0"/>
              <w:rPr>
                <w:sz w:val="20"/>
                <w:szCs w:val="20"/>
                <w:color w:val="auto"/>
              </w:rPr>
            </w:pPr>
            <w:r>
              <w:rPr>
                <w:rFonts w:ascii="Arial" w:cs="Arial" w:eastAsia="Arial" w:hAnsi="Arial"/>
                <w:sz w:val="11"/>
                <w:szCs w:val="11"/>
                <w:color w:val="auto"/>
              </w:rPr>
              <w:t>Straight-line rent revenue and expense</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224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(2,956)</w:t>
            </w:r>
          </w:p>
        </w:tc>
        <w:tc>
          <w:tcPr>
            <w:tcW w:w="0" w:type="dxa"/>
            <w:vAlign w:val="bottom"/>
          </w:tcPr>
          <w:p>
            <w:pPr>
              <w:spacing w:after="0"/>
              <w:rPr>
                <w:sz w:val="1"/>
                <w:szCs w:val="1"/>
                <w:color w:val="auto"/>
              </w:rPr>
            </w:pPr>
          </w:p>
        </w:tc>
      </w:tr>
      <w:tr>
        <w:trPr>
          <w:trHeight w:val="109"/>
        </w:trPr>
        <w:tc>
          <w:tcPr>
            <w:tcW w:w="3180" w:type="dxa"/>
            <w:vAlign w:val="bottom"/>
            <w:shd w:val="clear" w:color="auto" w:fill="DBDBDB"/>
          </w:tcPr>
          <w:p>
            <w:pPr>
              <w:ind w:left="120"/>
              <w:spacing w:after="0" w:line="110" w:lineRule="exact"/>
              <w:rPr>
                <w:sz w:val="20"/>
                <w:szCs w:val="20"/>
                <w:color w:val="auto"/>
              </w:rPr>
            </w:pPr>
            <w:r>
              <w:rPr>
                <w:rFonts w:ascii="Arial" w:cs="Arial" w:eastAsia="Arial" w:hAnsi="Arial"/>
                <w:sz w:val="11"/>
                <w:szCs w:val="11"/>
                <w:color w:val="auto"/>
              </w:rPr>
              <w:t>Amortization of acquired above- and below-market lease</w:t>
            </w:r>
          </w:p>
        </w:tc>
        <w:tc>
          <w:tcPr>
            <w:tcW w:w="100" w:type="dxa"/>
            <w:vAlign w:val="bottom"/>
            <w:shd w:val="clear" w:color="auto" w:fill="DBDBDB"/>
          </w:tcPr>
          <w:p>
            <w:pPr>
              <w:spacing w:after="0"/>
              <w:rPr>
                <w:sz w:val="9"/>
                <w:szCs w:val="9"/>
                <w:color w:val="auto"/>
              </w:rPr>
            </w:pPr>
          </w:p>
        </w:tc>
        <w:tc>
          <w:tcPr>
            <w:tcW w:w="6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9"/>
                <w:szCs w:val="9"/>
                <w:color w:val="auto"/>
              </w:rPr>
            </w:pP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(27)</w:t>
            </w:r>
          </w:p>
        </w:tc>
        <w:tc>
          <w:tcPr>
            <w:tcW w:w="8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6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9"/>
                <w:szCs w:val="9"/>
                <w:color w:val="auto"/>
              </w:rPr>
            </w:pPr>
          </w:p>
        </w:tc>
        <w:tc>
          <w:tcPr>
            <w:tcW w:w="7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9"/>
                <w:szCs w:val="9"/>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(27)</w:t>
            </w:r>
          </w:p>
        </w:tc>
        <w:tc>
          <w:tcPr>
            <w:tcW w:w="8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760" w:type="dxa"/>
            <w:vAlign w:val="bottom"/>
            <w:vMerge w:val="restart"/>
            <w:shd w:val="clear" w:color="auto" w:fill="DBDBDB"/>
          </w:tcPr>
          <w:p>
            <w:pPr>
              <w:jc w:val="right"/>
              <w:ind w:right="7"/>
              <w:spacing w:after="0"/>
              <w:rPr>
                <w:sz w:val="20"/>
                <w:szCs w:val="20"/>
                <w:color w:val="auto"/>
              </w:rPr>
            </w:pPr>
            <w:r>
              <w:rPr>
                <w:rFonts w:ascii="Arial" w:cs="Arial" w:eastAsia="Arial" w:hAnsi="Arial"/>
                <w:sz w:val="11"/>
                <w:szCs w:val="11"/>
                <w:color w:val="auto"/>
              </w:rPr>
              <w:t>17</w:t>
            </w:r>
          </w:p>
        </w:tc>
        <w:tc>
          <w:tcPr>
            <w:tcW w:w="8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4"/>
        </w:trPr>
        <w:tc>
          <w:tcPr>
            <w:tcW w:w="31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values, net</w:t>
            </w:r>
          </w:p>
        </w:tc>
        <w:tc>
          <w:tcPr>
            <w:tcW w:w="100" w:type="dxa"/>
            <w:vAlign w:val="bottom"/>
            <w:shd w:val="clear" w:color="auto" w:fill="DBDBDB"/>
          </w:tcPr>
          <w:p>
            <w:pPr>
              <w:spacing w:after="0"/>
              <w:rPr>
                <w:sz w:val="12"/>
                <w:szCs w:val="12"/>
                <w:color w:val="auto"/>
              </w:rPr>
            </w:pPr>
          </w:p>
        </w:tc>
        <w:tc>
          <w:tcPr>
            <w:tcW w:w="620" w:type="dxa"/>
            <w:vAlign w:val="bottom"/>
            <w:gridSpan w:val="2"/>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8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40" w:type="dxa"/>
            <w:vAlign w:val="bottom"/>
            <w:gridSpan w:val="2"/>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gridSpan w:val="2"/>
            <w:vMerge w:val="continue"/>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tcPr>
          <w:p>
            <w:pPr>
              <w:ind w:left="120"/>
              <w:spacing w:after="0"/>
              <w:rPr>
                <w:sz w:val="20"/>
                <w:szCs w:val="20"/>
                <w:color w:val="auto"/>
              </w:rPr>
            </w:pPr>
            <w:r>
              <w:rPr>
                <w:rFonts w:ascii="Arial" w:cs="Arial" w:eastAsia="Arial" w:hAnsi="Arial"/>
                <w:sz w:val="11"/>
                <w:szCs w:val="11"/>
                <w:color w:val="auto"/>
              </w:rPr>
              <w:t>Impairment loss</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12,184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12,184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12,184</w:t>
            </w:r>
          </w:p>
        </w:tc>
        <w:tc>
          <w:tcPr>
            <w:tcW w:w="0" w:type="dxa"/>
            <w:vAlign w:val="bottom"/>
          </w:tcPr>
          <w:p>
            <w:pPr>
              <w:spacing w:after="0"/>
              <w:rPr>
                <w:sz w:val="1"/>
                <w:szCs w:val="1"/>
                <w:color w:val="auto"/>
              </w:rPr>
            </w:pPr>
          </w:p>
        </w:tc>
      </w:tr>
      <w:tr>
        <w:trPr>
          <w:trHeight w:val="145"/>
        </w:trPr>
        <w:tc>
          <w:tcPr>
            <w:tcW w:w="31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Non-revenue enhancing capital expenditures</w:t>
            </w:r>
          </w:p>
        </w:tc>
        <w:tc>
          <w:tcPr>
            <w:tcW w:w="100" w:type="dxa"/>
            <w:vAlign w:val="bottom"/>
            <w:shd w:val="clear" w:color="auto" w:fill="DBDBDB"/>
          </w:tcPr>
          <w:p>
            <w:pPr>
              <w:spacing w:after="0"/>
              <w:rPr>
                <w:sz w:val="12"/>
                <w:szCs w:val="12"/>
                <w:color w:val="auto"/>
              </w:rPr>
            </w:pPr>
          </w:p>
        </w:tc>
        <w:tc>
          <w:tcPr>
            <w:tcW w:w="6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(2,571)</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(2,571)</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(10,806)</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(13,377)</w:t>
            </w:r>
          </w:p>
        </w:tc>
        <w:tc>
          <w:tcPr>
            <w:tcW w:w="0" w:type="dxa"/>
            <w:vAlign w:val="bottom"/>
          </w:tcPr>
          <w:p>
            <w:pPr>
              <w:spacing w:after="0"/>
              <w:rPr>
                <w:sz w:val="1"/>
                <w:szCs w:val="1"/>
                <w:color w:val="auto"/>
              </w:rPr>
            </w:pPr>
          </w:p>
        </w:tc>
      </w:tr>
      <w:tr>
        <w:trPr>
          <w:trHeight w:val="108"/>
        </w:trPr>
        <w:tc>
          <w:tcPr>
            <w:tcW w:w="3180" w:type="dxa"/>
            <w:vAlign w:val="bottom"/>
          </w:tcPr>
          <w:p>
            <w:pPr>
              <w:ind w:left="120"/>
              <w:spacing w:after="0" w:line="109" w:lineRule="exact"/>
              <w:rPr>
                <w:sz w:val="20"/>
                <w:szCs w:val="20"/>
                <w:color w:val="auto"/>
              </w:rPr>
            </w:pPr>
            <w:r>
              <w:rPr>
                <w:rFonts w:ascii="Arial" w:cs="Arial" w:eastAsia="Arial" w:hAnsi="Arial"/>
                <w:sz w:val="11"/>
                <w:szCs w:val="11"/>
                <w:color w:val="auto"/>
              </w:rPr>
              <w:t>Debt prepayment penalties and amortization of deferred</w:t>
            </w:r>
          </w:p>
        </w:tc>
        <w:tc>
          <w:tcPr>
            <w:tcW w:w="10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353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940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448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1,757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3,481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27"/>
              <w:spacing w:after="0"/>
              <w:rPr>
                <w:sz w:val="20"/>
                <w:szCs w:val="20"/>
                <w:color w:val="auto"/>
              </w:rPr>
            </w:pPr>
            <w:r>
              <w:rPr>
                <w:rFonts w:ascii="Arial" w:cs="Arial" w:eastAsia="Arial" w:hAnsi="Arial"/>
                <w:sz w:val="11"/>
                <w:szCs w:val="11"/>
                <w:color w:val="auto"/>
              </w:rPr>
              <w:t>5,238</w:t>
            </w:r>
          </w:p>
        </w:tc>
        <w:tc>
          <w:tcPr>
            <w:tcW w:w="0" w:type="dxa"/>
            <w:vAlign w:val="bottom"/>
          </w:tcPr>
          <w:p>
            <w:pPr>
              <w:spacing w:after="0"/>
              <w:rPr>
                <w:sz w:val="1"/>
                <w:szCs w:val="1"/>
                <w:color w:val="auto"/>
              </w:rPr>
            </w:pPr>
          </w:p>
        </w:tc>
      </w:tr>
      <w:tr>
        <w:trPr>
          <w:trHeight w:val="143"/>
        </w:trPr>
        <w:tc>
          <w:tcPr>
            <w:tcW w:w="3180" w:type="dxa"/>
            <w:vAlign w:val="bottom"/>
          </w:tcPr>
          <w:p>
            <w:pPr>
              <w:ind w:left="120"/>
              <w:spacing w:after="0"/>
              <w:rPr>
                <w:sz w:val="20"/>
                <w:szCs w:val="20"/>
                <w:color w:val="auto"/>
              </w:rPr>
            </w:pPr>
            <w:r>
              <w:rPr>
                <w:rFonts w:ascii="Arial" w:cs="Arial" w:eastAsia="Arial" w:hAnsi="Arial"/>
                <w:sz w:val="11"/>
                <w:szCs w:val="11"/>
                <w:color w:val="auto"/>
              </w:rPr>
              <w:t>financing costs and debt premiums and discounts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Adjustment to reflect BRSP cash dividend declared</w:t>
            </w:r>
          </w:p>
        </w:tc>
        <w:tc>
          <w:tcPr>
            <w:tcW w:w="100" w:type="dxa"/>
            <w:vAlign w:val="bottom"/>
            <w:shd w:val="clear" w:color="auto" w:fill="DBDBDB"/>
          </w:tcPr>
          <w:p>
            <w:pPr>
              <w:spacing w:after="0"/>
              <w:rPr>
                <w:sz w:val="12"/>
                <w:szCs w:val="12"/>
                <w:color w:val="auto"/>
              </w:rPr>
            </w:pPr>
          </w:p>
        </w:tc>
        <w:tc>
          <w:tcPr>
            <w:tcW w:w="6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6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(4,660)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(4,660)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(4,660)</w:t>
            </w:r>
          </w:p>
        </w:tc>
        <w:tc>
          <w:tcPr>
            <w:tcW w:w="0" w:type="dxa"/>
            <w:vAlign w:val="bottom"/>
          </w:tcPr>
          <w:p>
            <w:pPr>
              <w:spacing w:after="0"/>
              <w:rPr>
                <w:sz w:val="1"/>
                <w:szCs w:val="1"/>
                <w:color w:val="auto"/>
              </w:rPr>
            </w:pPr>
          </w:p>
        </w:tc>
      </w:tr>
      <w:tr>
        <w:trPr>
          <w:trHeight w:val="108"/>
        </w:trPr>
        <w:tc>
          <w:tcPr>
            <w:tcW w:w="3180" w:type="dxa"/>
            <w:vAlign w:val="bottom"/>
          </w:tcPr>
          <w:p>
            <w:pPr>
              <w:ind w:left="120"/>
              <w:spacing w:after="0" w:line="109" w:lineRule="exact"/>
              <w:rPr>
                <w:sz w:val="20"/>
                <w:szCs w:val="20"/>
                <w:color w:val="auto"/>
              </w:rPr>
            </w:pPr>
            <w:r>
              <w:rPr>
                <w:rFonts w:ascii="Arial" w:cs="Arial" w:eastAsia="Arial" w:hAnsi="Arial"/>
                <w:sz w:val="11"/>
                <w:szCs w:val="11"/>
                <w:color w:val="auto"/>
              </w:rPr>
              <w:t>Adjustments attributable to noncontrolling interests in</w:t>
            </w: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(91,676)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(91,676)</w:t>
            </w:r>
          </w:p>
        </w:tc>
        <w:tc>
          <w:tcPr>
            <w:tcW w:w="0" w:type="dxa"/>
            <w:vAlign w:val="bottom"/>
          </w:tcPr>
          <w:p>
            <w:pPr>
              <w:spacing w:after="0"/>
              <w:rPr>
                <w:sz w:val="1"/>
                <w:szCs w:val="1"/>
                <w:color w:val="auto"/>
              </w:rPr>
            </w:pPr>
          </w:p>
        </w:tc>
      </w:tr>
      <w:tr>
        <w:trPr>
          <w:trHeight w:val="143"/>
        </w:trPr>
        <w:tc>
          <w:tcPr>
            <w:tcW w:w="3180" w:type="dxa"/>
            <w:vAlign w:val="bottom"/>
          </w:tcPr>
          <w:p>
            <w:pPr>
              <w:ind w:left="120"/>
              <w:spacing w:after="0"/>
              <w:rPr>
                <w:sz w:val="20"/>
                <w:szCs w:val="20"/>
                <w:color w:val="auto"/>
              </w:rPr>
            </w:pPr>
            <w:r>
              <w:rPr>
                <w:rFonts w:ascii="Arial" w:cs="Arial" w:eastAsia="Arial" w:hAnsi="Arial"/>
                <w:sz w:val="11"/>
                <w:szCs w:val="11"/>
                <w:color w:val="auto"/>
              </w:rPr>
              <w:t>investment entities</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 from discontinued operations</w:t>
            </w:r>
          </w:p>
        </w:tc>
        <w:tc>
          <w:tcPr>
            <w:tcW w:w="10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(5,958)</w:t>
            </w:r>
          </w:p>
        </w:tc>
        <w:tc>
          <w:tcPr>
            <w:tcW w:w="80" w:type="dxa"/>
            <w:vAlign w:val="bottom"/>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(5,958)</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76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(5,958)</w:t>
            </w:r>
          </w:p>
        </w:tc>
        <w:tc>
          <w:tcPr>
            <w:tcW w:w="0" w:type="dxa"/>
            <w:vAlign w:val="bottom"/>
          </w:tcPr>
          <w:p>
            <w:pPr>
              <w:spacing w:after="0"/>
              <w:rPr>
                <w:sz w:val="1"/>
                <w:szCs w:val="1"/>
                <w:color w:val="auto"/>
              </w:rPr>
            </w:pPr>
          </w:p>
        </w:tc>
      </w:tr>
      <w:tr>
        <w:trPr>
          <w:trHeight w:val="133"/>
        </w:trPr>
        <w:tc>
          <w:tcPr>
            <w:tcW w:w="3180" w:type="dxa"/>
            <w:vAlign w:val="bottom"/>
          </w:tcPr>
          <w:p>
            <w:pPr>
              <w:spacing w:after="0"/>
              <w:rPr>
                <w:sz w:val="20"/>
                <w:szCs w:val="20"/>
                <w:color w:val="auto"/>
              </w:rPr>
            </w:pPr>
            <w:r>
              <w:rPr>
                <w:rFonts w:ascii="Arial" w:cs="Arial" w:eastAsia="Arial" w:hAnsi="Arial"/>
                <w:sz w:val="11"/>
                <w:szCs w:val="11"/>
                <w:b w:val="1"/>
                <w:bCs w:val="1"/>
                <w:color w:val="auto"/>
              </w:rPr>
              <w:t>After-tax DE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14,291</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8,007</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(14,713)</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7,585</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7,585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5" w:lineRule="exact"/>
        <w:rPr>
          <w:sz w:val="20"/>
          <w:szCs w:val="20"/>
          <w:color w:val="auto"/>
        </w:rPr>
      </w:pPr>
    </w:p>
    <w:p>
      <w:pPr>
        <w:ind w:left="208" w:right="20" w:hanging="208"/>
        <w:spacing w:after="0" w:line="284" w:lineRule="auto"/>
        <w:tabs>
          <w:tab w:leader="none" w:pos="192" w:val="left"/>
        </w:tabs>
        <w:numPr>
          <w:ilvl w:val="0"/>
          <w:numId w:val="11"/>
        </w:numPr>
        <w:rPr>
          <w:rFonts w:ascii="Arial" w:cs="Arial" w:eastAsia="Arial" w:hAnsi="Arial"/>
          <w:sz w:val="8"/>
          <w:szCs w:val="8"/>
          <w:color w:val="424242"/>
        </w:rPr>
      </w:pPr>
      <w:r>
        <w:rPr>
          <w:rFonts w:ascii="Arial" w:cs="Arial" w:eastAsia="Arial" w:hAnsi="Arial"/>
          <w:sz w:val="8"/>
          <w:szCs w:val="8"/>
          <w:color w:val="424242"/>
        </w:rPr>
        <w:t>Restructuring charges primarily represent costs and charges incurred as a result of corporate restructuring and reorganization to implement the digital evolution. These costs and charges include severance, retention, relocation, transition, shareholder settlement and other related restructuring costs, which are not reflective of the Company’s core operating performance.</w:t>
      </w:r>
    </w:p>
    <w:p>
      <w:pPr>
        <w:spacing w:after="0" w:line="25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10</w:t>
            </w:r>
          </w:p>
        </w:tc>
      </w:tr>
    </w:tbl>
    <w:p>
      <w:pPr>
        <w:sectPr>
          <w:pgSz w:w="11900" w:h="16838" w:orient="portrait"/>
          <w:cols w:equalWidth="0" w:num="1">
            <w:col w:w="11308"/>
          </w:cols>
          <w:pgMar w:left="292" w:top="130" w:right="299" w:bottom="1440" w:gutter="0" w:footer="0" w:header="0"/>
        </w:sectPr>
      </w:pPr>
    </w:p>
    <w:bookmarkStart w:id="19" w:name="page20"/>
    <w:bookmarkEnd w:id="19"/>
    <w:p>
      <w:pPr>
        <w:ind w:right="900"/>
        <w:spacing w:after="0" w:line="241" w:lineRule="auto"/>
        <w:rPr>
          <w:sz w:val="20"/>
          <w:szCs w:val="20"/>
          <w:color w:val="auto"/>
        </w:rPr>
      </w:pPr>
      <w:r>
        <w:rPr>
          <w:rFonts w:ascii="Arial" w:cs="Arial" w:eastAsia="Arial" w:hAnsi="Arial"/>
          <w:sz w:val="29"/>
          <w:szCs w:val="29"/>
          <w:color w:val="auto"/>
        </w:rPr>
        <w:t>IId. Financial Results - Segment Reconciliation of Net Income to DE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78040"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8"/>
          </w:tcPr>
          <w:p>
            <w:pPr>
              <w:ind w:left="540"/>
              <w:spacing w:after="0"/>
              <w:rPr>
                <w:sz w:val="20"/>
                <w:szCs w:val="20"/>
                <w:color w:val="auto"/>
              </w:rPr>
            </w:pPr>
            <w:r>
              <w:rPr>
                <w:rFonts w:ascii="Arial" w:cs="Arial" w:eastAsia="Arial" w:hAnsi="Arial"/>
                <w:sz w:val="10"/>
                <w:szCs w:val="10"/>
                <w:b w:val="1"/>
                <w:bCs w:val="1"/>
                <w:color w:val="auto"/>
              </w:rPr>
              <w:t>OP pro rata share by segment</w:t>
            </w: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880" w:type="dxa"/>
            <w:vAlign w:val="bottom"/>
            <w:vMerge w:val="restart"/>
          </w:tcPr>
          <w:p>
            <w:pPr>
              <w:spacing w:after="0"/>
              <w:rPr>
                <w:sz w:val="20"/>
                <w:szCs w:val="20"/>
                <w:color w:val="auto"/>
              </w:rPr>
            </w:pPr>
            <w:r>
              <w:rPr>
                <w:rFonts w:ascii="Arial" w:cs="Arial" w:eastAsia="Arial" w:hAnsi="Arial"/>
                <w:sz w:val="10"/>
                <w:szCs w:val="10"/>
                <w:i w:val="1"/>
                <w:iCs w:val="1"/>
                <w:color w:val="auto"/>
              </w:rPr>
              <w:t>($ in thousands; for the three months ended June 30, 2022; and unaudited)</w:t>
            </w:r>
          </w:p>
        </w:tc>
        <w:tc>
          <w:tcPr>
            <w:tcW w:w="160" w:type="dxa"/>
            <w:vAlign w:val="bottom"/>
          </w:tcPr>
          <w:p>
            <w:pPr>
              <w:spacing w:after="0"/>
              <w:rPr>
                <w:sz w:val="7"/>
                <w:szCs w:val="7"/>
                <w:color w:val="auto"/>
              </w:rPr>
            </w:pPr>
          </w:p>
        </w:tc>
        <w:tc>
          <w:tcPr>
            <w:tcW w:w="760" w:type="dxa"/>
            <w:vAlign w:val="bottom"/>
            <w:vMerge w:val="restart"/>
          </w:tcPr>
          <w:p>
            <w:pPr>
              <w:jc w:val="right"/>
              <w:ind w:right="187"/>
              <w:spacing w:after="0"/>
              <w:rPr>
                <w:sz w:val="20"/>
                <w:szCs w:val="20"/>
                <w:color w:val="auto"/>
              </w:rPr>
            </w:pPr>
            <w:r>
              <w:rPr>
                <w:rFonts w:ascii="Arial" w:cs="Arial" w:eastAsia="Arial" w:hAnsi="Arial"/>
                <w:sz w:val="10"/>
                <w:szCs w:val="10"/>
                <w:b w:val="1"/>
                <w:bCs w:val="1"/>
                <w:color w:val="auto"/>
              </w:rPr>
              <w:t>Digital IM</w:t>
            </w:r>
          </w:p>
        </w:tc>
        <w:tc>
          <w:tcPr>
            <w:tcW w:w="60" w:type="dxa"/>
            <w:vAlign w:val="bottom"/>
            <w:vMerge w:val="restart"/>
          </w:tcPr>
          <w:p>
            <w:pPr>
              <w:spacing w:after="0"/>
              <w:rPr>
                <w:sz w:val="7"/>
                <w:szCs w:val="7"/>
                <w:color w:val="auto"/>
              </w:rPr>
            </w:pPr>
          </w:p>
        </w:tc>
        <w:tc>
          <w:tcPr>
            <w:tcW w:w="920" w:type="dxa"/>
            <w:vAlign w:val="bottom"/>
            <w:gridSpan w:val="2"/>
            <w:vMerge w:val="restart"/>
          </w:tcPr>
          <w:p>
            <w:pPr>
              <w:jc w:val="right"/>
              <w:ind w:right="7"/>
              <w:spacing w:after="0"/>
              <w:rPr>
                <w:sz w:val="20"/>
                <w:szCs w:val="20"/>
                <w:color w:val="auto"/>
              </w:rPr>
            </w:pPr>
            <w:r>
              <w:rPr>
                <w:rFonts w:ascii="Arial" w:cs="Arial" w:eastAsia="Arial" w:hAnsi="Arial"/>
                <w:sz w:val="10"/>
                <w:szCs w:val="10"/>
                <w:b w:val="1"/>
                <w:bCs w:val="1"/>
                <w:color w:val="auto"/>
              </w:rPr>
              <w:t>Digital Operating</w:t>
            </w:r>
          </w:p>
        </w:tc>
        <w:tc>
          <w:tcPr>
            <w:tcW w:w="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tcPr>
          <w:p>
            <w:pPr>
              <w:ind w:left="40"/>
              <w:spacing w:after="0" w:line="88" w:lineRule="exact"/>
              <w:rPr>
                <w:sz w:val="20"/>
                <w:szCs w:val="20"/>
                <w:color w:val="auto"/>
              </w:rPr>
            </w:pPr>
            <w:r>
              <w:rPr>
                <w:rFonts w:ascii="Arial" w:cs="Arial" w:eastAsia="Arial" w:hAnsi="Arial"/>
                <w:sz w:val="10"/>
                <w:szCs w:val="10"/>
                <w:b w:val="1"/>
                <w:bCs w:val="1"/>
                <w:color w:val="auto"/>
              </w:rPr>
              <w:t>Corporate and</w:t>
            </w:r>
          </w:p>
        </w:tc>
        <w:tc>
          <w:tcPr>
            <w:tcW w:w="100" w:type="dxa"/>
            <w:vAlign w:val="bottom"/>
          </w:tcPr>
          <w:p>
            <w:pPr>
              <w:spacing w:after="0"/>
              <w:rPr>
                <w:sz w:val="7"/>
                <w:szCs w:val="7"/>
                <w:color w:val="auto"/>
              </w:rPr>
            </w:pPr>
          </w:p>
        </w:tc>
        <w:tc>
          <w:tcPr>
            <w:tcW w:w="880" w:type="dxa"/>
            <w:vAlign w:val="bottom"/>
            <w:gridSpan w:val="2"/>
          </w:tcPr>
          <w:p>
            <w:pPr>
              <w:ind w:left="40"/>
              <w:spacing w:after="0" w:line="88" w:lineRule="exact"/>
              <w:rPr>
                <w:sz w:val="20"/>
                <w:szCs w:val="20"/>
                <w:color w:val="auto"/>
              </w:rPr>
            </w:pPr>
            <w:r>
              <w:rPr>
                <w:rFonts w:ascii="Arial" w:cs="Arial" w:eastAsia="Arial" w:hAnsi="Arial"/>
                <w:sz w:val="10"/>
                <w:szCs w:val="10"/>
                <w:b w:val="1"/>
                <w:bCs w:val="1"/>
                <w:color w:val="auto"/>
              </w:rPr>
              <w:t>Discontinued</w:t>
            </w:r>
          </w:p>
        </w:tc>
        <w:tc>
          <w:tcPr>
            <w:tcW w:w="100" w:type="dxa"/>
            <w:vAlign w:val="bottom"/>
          </w:tcPr>
          <w:p>
            <w:pPr>
              <w:spacing w:after="0"/>
              <w:rPr>
                <w:sz w:val="7"/>
                <w:szCs w:val="7"/>
                <w:color w:val="auto"/>
              </w:rPr>
            </w:pPr>
          </w:p>
        </w:tc>
        <w:tc>
          <w:tcPr>
            <w:tcW w:w="960" w:type="dxa"/>
            <w:vAlign w:val="bottom"/>
          </w:tcPr>
          <w:p>
            <w:pPr>
              <w:jc w:val="right"/>
              <w:ind w:right="87"/>
              <w:spacing w:after="0" w:line="88" w:lineRule="exact"/>
              <w:rPr>
                <w:sz w:val="20"/>
                <w:szCs w:val="20"/>
                <w:color w:val="auto"/>
              </w:rPr>
            </w:pPr>
            <w:r>
              <w:rPr>
                <w:rFonts w:ascii="Arial" w:cs="Arial" w:eastAsia="Arial" w:hAnsi="Arial"/>
                <w:sz w:val="10"/>
                <w:szCs w:val="10"/>
                <w:b w:val="1"/>
                <w:bCs w:val="1"/>
                <w:color w:val="auto"/>
                <w:w w:val="98"/>
              </w:rPr>
              <w:t>Total OP pro rata</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880" w:type="dxa"/>
            <w:vAlign w:val="bottom"/>
            <w:tcBorders>
              <w:bottom w:val="single" w:sz="8" w:color="DBDBDB"/>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DBDBDB"/>
            </w:tcBorders>
            <w:vMerge w:val="continue"/>
          </w:tcPr>
          <w:p>
            <w:pPr>
              <w:spacing w:after="0"/>
              <w:rPr>
                <w:sz w:val="11"/>
                <w:szCs w:val="11"/>
                <w:color w:val="auto"/>
              </w:rPr>
            </w:pPr>
          </w:p>
        </w:tc>
        <w:tc>
          <w:tcPr>
            <w:tcW w:w="92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DBDBDB"/>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Other</w:t>
            </w:r>
          </w:p>
        </w:tc>
        <w:tc>
          <w:tcPr>
            <w:tcW w:w="60" w:type="dxa"/>
            <w:vAlign w:val="bottom"/>
            <w:tcBorders>
              <w:bottom w:val="single" w:sz="8" w:color="DBDBDB"/>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Operations</w:t>
            </w:r>
          </w:p>
        </w:tc>
        <w:tc>
          <w:tcPr>
            <w:tcW w:w="60" w:type="dxa"/>
            <w:vAlign w:val="bottom"/>
            <w:tcBorders>
              <w:bottom w:val="single" w:sz="8" w:color="DBDBDB"/>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share</w:t>
            </w:r>
          </w:p>
        </w:tc>
        <w:tc>
          <w:tcPr>
            <w:tcW w:w="6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8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After-tax DE</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14,291</w:t>
            </w:r>
          </w:p>
        </w:tc>
        <w:tc>
          <w:tcPr>
            <w:tcW w:w="60" w:type="dxa"/>
            <w:vAlign w:val="bottom"/>
            <w:shd w:val="clear" w:color="auto" w:fill="DBDBDB"/>
          </w:tcPr>
          <w:p>
            <w:pPr>
              <w:spacing w:after="0"/>
              <w:rPr>
                <w:sz w:val="11"/>
                <w:szCs w:val="11"/>
                <w:color w:val="auto"/>
              </w:rPr>
            </w:pPr>
          </w:p>
        </w:tc>
        <w:tc>
          <w:tcPr>
            <w:tcW w:w="300" w:type="dxa"/>
            <w:vAlign w:val="bottom"/>
            <w:shd w:val="clear" w:color="auto" w:fill="DBDBDB"/>
          </w:tcPr>
          <w:p>
            <w:pPr>
              <w:jc w:val="right"/>
              <w:ind w:right="167"/>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8,007</w:t>
            </w:r>
          </w:p>
        </w:tc>
        <w:tc>
          <w:tcPr>
            <w:tcW w:w="60" w:type="dxa"/>
            <w:vAlign w:val="bottom"/>
            <w:shd w:val="clear" w:color="auto" w:fill="DBDBDB"/>
          </w:tcPr>
          <w:p>
            <w:pPr>
              <w:spacing w:after="0"/>
              <w:rPr>
                <w:sz w:val="11"/>
                <w:szCs w:val="1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(14,713)</w:t>
            </w:r>
          </w:p>
        </w:tc>
        <w:tc>
          <w:tcPr>
            <w:tcW w:w="60" w:type="dxa"/>
            <w:vAlign w:val="bottom"/>
            <w:shd w:val="clear" w:color="auto" w:fill="DBDBDB"/>
          </w:tcPr>
          <w:p>
            <w:pPr>
              <w:spacing w:after="0"/>
              <w:rPr>
                <w:sz w:val="11"/>
                <w:szCs w:val="11"/>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DBDBDB"/>
          </w:tcPr>
          <w:p>
            <w:pPr>
              <w:ind w:left="66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7,585</w:t>
            </w:r>
          </w:p>
        </w:tc>
        <w:tc>
          <w:tcPr>
            <w:tcW w:w="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880" w:type="dxa"/>
            <w:vAlign w:val="bottom"/>
          </w:tcPr>
          <w:p>
            <w:pPr>
              <w:ind w:left="120"/>
              <w:spacing w:after="0"/>
              <w:rPr>
                <w:sz w:val="20"/>
                <w:szCs w:val="20"/>
                <w:color w:val="auto"/>
              </w:rPr>
            </w:pPr>
            <w:r>
              <w:rPr>
                <w:rFonts w:ascii="Arial" w:cs="Arial" w:eastAsia="Arial" w:hAnsi="Arial"/>
                <w:sz w:val="11"/>
                <w:szCs w:val="11"/>
                <w:color w:val="auto"/>
              </w:rPr>
              <w:t>Interest expense included in DE</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2,433</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6,327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5,382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14,142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Income tax expense (benefit) included in DE</w:t>
            </w:r>
          </w:p>
        </w:tc>
        <w:tc>
          <w:tcPr>
            <w:tcW w:w="160" w:type="dxa"/>
            <w:vAlign w:val="bottom"/>
            <w:shd w:val="clear" w:color="auto" w:fill="DBDBDB"/>
          </w:tcPr>
          <w:p>
            <w:pPr>
              <w:spacing w:after="0"/>
              <w:rPr>
                <w:sz w:val="12"/>
                <w:szCs w:val="12"/>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1,991</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w:t>
            </w:r>
          </w:p>
        </w:tc>
        <w:tc>
          <w:tcPr>
            <w:tcW w:w="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(4,685)</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gridSpan w:val="2"/>
            <w:shd w:val="clear" w:color="auto" w:fill="DBDBDB"/>
          </w:tcPr>
          <w:p>
            <w:pPr>
              <w:ind w:left="66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(2,662)</w:t>
            </w:r>
          </w:p>
        </w:tc>
        <w:tc>
          <w:tcPr>
            <w:tcW w:w="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880" w:type="dxa"/>
            <w:vAlign w:val="bottom"/>
          </w:tcPr>
          <w:p>
            <w:pPr>
              <w:ind w:left="120"/>
              <w:spacing w:after="0"/>
              <w:rPr>
                <w:sz w:val="20"/>
                <w:szCs w:val="20"/>
                <w:color w:val="auto"/>
              </w:rPr>
            </w:pPr>
            <w:r>
              <w:rPr>
                <w:rFonts w:ascii="Arial" w:cs="Arial" w:eastAsia="Arial" w:hAnsi="Arial"/>
                <w:sz w:val="11"/>
                <w:szCs w:val="11"/>
                <w:color w:val="auto"/>
              </w:rPr>
              <w:t>Preferred dividends</w:t>
            </w:r>
          </w:p>
        </w:tc>
        <w:tc>
          <w:tcPr>
            <w:tcW w:w="1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15,759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15,759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Earnings of equity method investments</w:t>
            </w:r>
          </w:p>
        </w:tc>
        <w:tc>
          <w:tcPr>
            <w:tcW w:w="16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68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(6,982)</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gridSpan w:val="2"/>
            <w:shd w:val="clear" w:color="auto" w:fill="DBDBDB"/>
          </w:tcPr>
          <w:p>
            <w:pPr>
              <w:ind w:left="66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(6,982)</w:t>
            </w:r>
          </w:p>
        </w:tc>
        <w:tc>
          <w:tcPr>
            <w:tcW w:w="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88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Investment costs and non-revenue enhancing capital expenditures in DE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60" w:type="dxa"/>
            <w:vAlign w:val="bottom"/>
            <w:tcBorders>
              <w:bottom w:val="single" w:sz="8" w:color="DBDBDB"/>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3,287</w:t>
            </w:r>
          </w:p>
        </w:tc>
        <w:tc>
          <w:tcPr>
            <w:tcW w:w="6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3,086</w:t>
            </w:r>
          </w:p>
        </w:tc>
        <w:tc>
          <w:tcPr>
            <w:tcW w:w="6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8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Adjusted EBITDA</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18,514</w:t>
            </w:r>
          </w:p>
        </w:tc>
        <w:tc>
          <w:tcPr>
            <w:tcW w:w="60" w:type="dxa"/>
            <w:vAlign w:val="bottom"/>
            <w:shd w:val="clear" w:color="auto" w:fill="DBDBDB"/>
          </w:tcPr>
          <w:p>
            <w:pPr>
              <w:spacing w:after="0"/>
              <w:rPr>
                <w:sz w:val="11"/>
                <w:szCs w:val="11"/>
                <w:color w:val="auto"/>
              </w:rPr>
            </w:pPr>
          </w:p>
        </w:tc>
        <w:tc>
          <w:tcPr>
            <w:tcW w:w="300" w:type="dxa"/>
            <w:vAlign w:val="bottom"/>
            <w:shd w:val="clear" w:color="auto" w:fill="DBDBDB"/>
          </w:tcPr>
          <w:p>
            <w:pPr>
              <w:jc w:val="right"/>
              <w:ind w:right="167"/>
              <w:spacing w:after="0"/>
              <w:rPr>
                <w:sz w:val="20"/>
                <w:szCs w:val="20"/>
                <w:color w:val="auto"/>
              </w:rPr>
            </w:pPr>
            <w:r>
              <w:rPr>
                <w:rFonts w:ascii="Arial" w:cs="Arial" w:eastAsia="Arial" w:hAnsi="Arial"/>
                <w:sz w:val="11"/>
                <w:szCs w:val="11"/>
                <w:b w:val="1"/>
                <w:bCs w:val="1"/>
                <w:color w:val="auto"/>
                <w:w w:val="97"/>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17,653</w:t>
            </w:r>
          </w:p>
        </w:tc>
        <w:tc>
          <w:tcPr>
            <w:tcW w:w="60" w:type="dxa"/>
            <w:vAlign w:val="bottom"/>
            <w:shd w:val="clear" w:color="auto" w:fill="DBDBDB"/>
          </w:tcPr>
          <w:p>
            <w:pPr>
              <w:spacing w:after="0"/>
              <w:rPr>
                <w:sz w:val="11"/>
                <w:szCs w:val="1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(5,239)</w:t>
            </w:r>
          </w:p>
        </w:tc>
        <w:tc>
          <w:tcPr>
            <w:tcW w:w="60" w:type="dxa"/>
            <w:vAlign w:val="bottom"/>
            <w:shd w:val="clear" w:color="auto" w:fill="DBDBDB"/>
          </w:tcPr>
          <w:p>
            <w:pPr>
              <w:spacing w:after="0"/>
              <w:rPr>
                <w:sz w:val="11"/>
                <w:szCs w:val="11"/>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DBDBDB"/>
          </w:tcPr>
          <w:p>
            <w:pPr>
              <w:ind w:left="66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30,928</w:t>
            </w:r>
          </w:p>
        </w:tc>
        <w:tc>
          <w:tcPr>
            <w:tcW w:w="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11</w:t>
            </w:r>
          </w:p>
        </w:tc>
      </w:tr>
    </w:tbl>
    <w:p>
      <w:pPr>
        <w:sectPr>
          <w:pgSz w:w="11900" w:h="16838" w:orient="portrait"/>
          <w:cols w:equalWidth="0" w:num="1">
            <w:col w:w="11300"/>
          </w:cols>
          <w:pgMar w:left="300" w:top="130"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29"/>
          <w:szCs w:val="29"/>
          <w:color w:val="auto"/>
        </w:rPr>
        <w:t>IIIa. Capitalization - Debt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1940" w:type="dxa"/>
            <w:vAlign w:val="bottom"/>
          </w:tcPr>
          <w:p>
            <w:pPr>
              <w:spacing w:after="0"/>
              <w:rPr>
                <w:sz w:val="20"/>
                <w:szCs w:val="20"/>
                <w:color w:val="auto"/>
              </w:rPr>
            </w:pPr>
            <w:r>
              <w:rPr>
                <w:rFonts w:ascii="Arial" w:cs="Arial" w:eastAsia="Arial" w:hAnsi="Arial"/>
                <w:sz w:val="10"/>
                <w:szCs w:val="10"/>
                <w:i w:val="1"/>
                <w:iCs w:val="1"/>
                <w:color w:val="auto"/>
              </w:rPr>
              <w:t>($ in thousands; as of June 30, 2022)</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Arial" w:cs="Arial" w:eastAsia="Arial" w:hAnsi="Arial"/>
                <w:sz w:val="12"/>
                <w:szCs w:val="12"/>
                <w:b w:val="1"/>
                <w:bCs w:val="1"/>
                <w:i w:val="1"/>
                <w:iCs w:val="1"/>
                <w:color w:val="003366"/>
              </w:rPr>
              <w:t>Consolidated debt</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160"/>
              <w:spacing w:after="0"/>
              <w:rPr>
                <w:sz w:val="20"/>
                <w:szCs w:val="20"/>
                <w:color w:val="auto"/>
              </w:rPr>
            </w:pPr>
            <w:r>
              <w:rPr>
                <w:rFonts w:ascii="Arial" w:cs="Arial" w:eastAsia="Arial" w:hAnsi="Arial"/>
                <w:sz w:val="10"/>
                <w:szCs w:val="10"/>
                <w:b w:val="1"/>
                <w:bCs w:val="1"/>
                <w:color w:val="auto"/>
              </w:rPr>
              <w:t>Payments due by period</w:t>
            </w:r>
            <w:r>
              <w:rPr>
                <w:rFonts w:ascii="Arial" w:cs="Arial" w:eastAsia="Arial" w:hAnsi="Arial"/>
                <w:sz w:val="12"/>
                <w:szCs w:val="12"/>
                <w:b w:val="1"/>
                <w:bCs w:val="1"/>
                <w:color w:val="auto"/>
                <w:vertAlign w:val="superscript"/>
              </w:rPr>
              <w:t>(1)</w:t>
            </w: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146"/>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88"/>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07"/>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2026 and after</w:t>
            </w:r>
          </w:p>
        </w:tc>
        <w:tc>
          <w:tcPr>
            <w:tcW w:w="80" w:type="dxa"/>
            <w:vAlign w:val="bottom"/>
          </w:tcPr>
          <w:p>
            <w:pPr>
              <w:spacing w:after="0"/>
              <w:rPr>
                <w:sz w:val="10"/>
                <w:szCs w:val="10"/>
                <w:color w:val="auto"/>
              </w:rPr>
            </w:pPr>
          </w:p>
        </w:tc>
        <w:tc>
          <w:tcPr>
            <w:tcW w:w="760" w:type="dxa"/>
            <w:vAlign w:val="bottom"/>
          </w:tcPr>
          <w:p>
            <w:pPr>
              <w:jc w:val="center"/>
              <w:ind w:right="26"/>
              <w:spacing w:after="0"/>
              <w:rPr>
                <w:sz w:val="20"/>
                <w:szCs w:val="20"/>
                <w:color w:val="auto"/>
              </w:rPr>
            </w:pPr>
            <w:r>
              <w:rPr>
                <w:rFonts w:ascii="Arial" w:cs="Arial" w:eastAsia="Arial" w:hAnsi="Arial"/>
                <w:sz w:val="10"/>
                <w:szCs w:val="10"/>
                <w:b w:val="1"/>
                <w:bCs w:val="1"/>
                <w:color w:val="auto"/>
              </w:rPr>
              <w:t>Total</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940" w:type="dxa"/>
            <w:vAlign w:val="bottom"/>
          </w:tcPr>
          <w:p>
            <w:pPr>
              <w:spacing w:after="0" w:line="124" w:lineRule="exact"/>
              <w:rPr>
                <w:sz w:val="20"/>
                <w:szCs w:val="20"/>
                <w:color w:val="auto"/>
              </w:rPr>
            </w:pPr>
            <w:r>
              <w:rPr>
                <w:rFonts w:ascii="Arial" w:cs="Arial" w:eastAsia="Arial" w:hAnsi="Arial"/>
                <w:sz w:val="11"/>
                <w:szCs w:val="11"/>
                <w:b w:val="1"/>
                <w:bCs w:val="1"/>
                <w:color w:val="auto"/>
              </w:rPr>
              <w:t>Investment-level debt:</w:t>
            </w: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Digital Operating - Fixed</w:t>
            </w: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3,116</w:t>
            </w: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219,792</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DBDBDB"/>
          </w:tcPr>
          <w:p>
            <w:pPr>
              <w:jc w:val="right"/>
              <w:ind w:right="8"/>
              <w:spacing w:after="0"/>
              <w:rPr>
                <w:sz w:val="20"/>
                <w:szCs w:val="20"/>
                <w:color w:val="auto"/>
              </w:rPr>
            </w:pPr>
            <w:r>
              <w:rPr>
                <w:rFonts w:ascii="Arial" w:cs="Arial" w:eastAsia="Arial" w:hAnsi="Arial"/>
                <w:sz w:val="11"/>
                <w:szCs w:val="11"/>
                <w:color w:val="auto"/>
              </w:rPr>
              <w:t>600,753</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700,000</w:t>
            </w:r>
          </w:p>
        </w:tc>
        <w:tc>
          <w:tcPr>
            <w:tcW w:w="100" w:type="dxa"/>
            <w:vAlign w:val="bottom"/>
            <w:shd w:val="clear" w:color="auto" w:fill="DBDBDB"/>
          </w:tcPr>
          <w:p>
            <w:pPr>
              <w:spacing w:after="0"/>
              <w:rPr>
                <w:sz w:val="12"/>
                <w:szCs w:val="12"/>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2,119,690</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3,643,351</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4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Digital Operating - Variable</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9,000</w:t>
            </w:r>
          </w:p>
        </w:tc>
        <w:tc>
          <w:tcPr>
            <w:tcW w:w="8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278,250</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446,517</w:t>
            </w:r>
          </w:p>
        </w:tc>
        <w:tc>
          <w:tcPr>
            <w:tcW w:w="100" w:type="dxa"/>
            <w:vAlign w:val="bottom"/>
            <w:tcBorders>
              <w:bottom w:val="single" w:sz="8" w:color="DBDBDB"/>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100,000</w:t>
            </w:r>
          </w:p>
        </w:tc>
        <w:tc>
          <w:tcPr>
            <w:tcW w:w="10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833,767</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4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Total Digital Operating</w:t>
            </w:r>
          </w:p>
        </w:tc>
        <w:tc>
          <w:tcPr>
            <w:tcW w:w="140" w:type="dxa"/>
            <w:vAlign w:val="bottom"/>
            <w:shd w:val="clear" w:color="auto" w:fill="DBDBDB"/>
          </w:tcPr>
          <w:p>
            <w:pPr>
              <w:spacing w:after="0"/>
              <w:rPr>
                <w:sz w:val="11"/>
                <w:szCs w:val="11"/>
                <w:color w:val="auto"/>
              </w:rPr>
            </w:pP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3,116</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228,792</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540" w:type="dxa"/>
            <w:vAlign w:val="bottom"/>
            <w:shd w:val="clear" w:color="auto" w:fill="DBDBDB"/>
          </w:tcPr>
          <w:p>
            <w:pPr>
              <w:jc w:val="right"/>
              <w:ind w:right="8"/>
              <w:spacing w:after="0"/>
              <w:rPr>
                <w:sz w:val="20"/>
                <w:szCs w:val="20"/>
                <w:color w:val="auto"/>
              </w:rPr>
            </w:pPr>
            <w:r>
              <w:rPr>
                <w:rFonts w:ascii="Arial" w:cs="Arial" w:eastAsia="Arial" w:hAnsi="Arial"/>
                <w:sz w:val="11"/>
                <w:szCs w:val="11"/>
                <w:b w:val="1"/>
                <w:bCs w:val="1"/>
                <w:color w:val="auto"/>
              </w:rPr>
              <w:t>879,003</w:t>
            </w:r>
          </w:p>
        </w:tc>
        <w:tc>
          <w:tcPr>
            <w:tcW w:w="1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1,146,517</w:t>
            </w:r>
          </w:p>
        </w:tc>
        <w:tc>
          <w:tcPr>
            <w:tcW w:w="10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2,219,690</w:t>
            </w: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4,477,118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20"/>
                <w:szCs w:val="20"/>
                <w:color w:val="auto"/>
              </w:rPr>
            </w:pPr>
            <w:r>
              <w:rPr>
                <w:rFonts w:ascii="Arial" w:cs="Arial" w:eastAsia="Arial" w:hAnsi="Arial"/>
                <w:sz w:val="11"/>
                <w:szCs w:val="11"/>
                <w:b w:val="1"/>
                <w:bCs w:val="1"/>
                <w:color w:val="auto"/>
              </w:rPr>
              <w:t>Corporate and Other debt: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DBDBDB"/>
          </w:tcPr>
          <w:p>
            <w:pPr>
              <w:spacing w:after="0"/>
              <w:rPr>
                <w:sz w:val="20"/>
                <w:szCs w:val="20"/>
                <w:color w:val="auto"/>
              </w:rPr>
            </w:pPr>
            <w:r>
              <w:rPr>
                <w:rFonts w:ascii="Arial" w:cs="Arial" w:eastAsia="Arial" w:hAnsi="Arial"/>
                <w:sz w:val="11"/>
                <w:szCs w:val="11"/>
                <w:color w:val="auto"/>
              </w:rPr>
              <w:t>2021-1, A-1 Variable Funding Notes</w:t>
            </w:r>
          </w:p>
        </w:tc>
        <w:tc>
          <w:tcPr>
            <w:tcW w:w="140" w:type="dxa"/>
            <w:vAlign w:val="bottom"/>
            <w:shd w:val="clear" w:color="auto" w:fill="DBDBDB"/>
          </w:tcPr>
          <w:p>
            <w:pPr>
              <w:spacing w:after="0"/>
              <w:rPr>
                <w:sz w:val="12"/>
                <w:szCs w:val="12"/>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6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70,000</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70,000</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40" w:type="dxa"/>
            <w:vAlign w:val="bottom"/>
          </w:tcPr>
          <w:p>
            <w:pPr>
              <w:spacing w:after="0"/>
              <w:rPr>
                <w:sz w:val="20"/>
                <w:szCs w:val="20"/>
                <w:color w:val="auto"/>
              </w:rPr>
            </w:pPr>
            <w:r>
              <w:rPr>
                <w:rFonts w:ascii="Arial" w:cs="Arial" w:eastAsia="Arial" w:hAnsi="Arial"/>
                <w:sz w:val="11"/>
                <w:szCs w:val="11"/>
                <w:color w:val="auto"/>
              </w:rPr>
              <w:t>2021-1, Class A-2 Term Notes</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300,000</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DBDBDB"/>
          </w:tcPr>
          <w:p>
            <w:pPr>
              <w:spacing w:after="0" w:line="145" w:lineRule="exact"/>
              <w:rPr>
                <w:sz w:val="20"/>
                <w:szCs w:val="20"/>
                <w:color w:val="auto"/>
              </w:rPr>
            </w:pPr>
            <w:r>
              <w:rPr>
                <w:rFonts w:ascii="Arial" w:cs="Arial" w:eastAsia="Arial" w:hAnsi="Arial"/>
                <w:sz w:val="11"/>
                <w:szCs w:val="11"/>
                <w:color w:val="auto"/>
              </w:rPr>
              <w:t xml:space="preserve">Other - Variable </w:t>
            </w:r>
            <w:r>
              <w:rPr>
                <w:rFonts w:ascii="Arial" w:cs="Arial" w:eastAsia="Arial" w:hAnsi="Arial"/>
                <w:sz w:val="14"/>
                <w:szCs w:val="14"/>
                <w:color w:val="auto"/>
                <w:vertAlign w:val="superscript"/>
              </w:rPr>
              <w:t>(2)</w:t>
            </w:r>
          </w:p>
        </w:tc>
        <w:tc>
          <w:tcPr>
            <w:tcW w:w="140" w:type="dxa"/>
            <w:vAlign w:val="bottom"/>
            <w:shd w:val="clear" w:color="auto" w:fill="DBDBDB"/>
          </w:tcPr>
          <w:p>
            <w:pPr>
              <w:spacing w:after="0"/>
              <w:rPr>
                <w:sz w:val="12"/>
                <w:szCs w:val="12"/>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136,500</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8"/>
              <w:spacing w:after="0"/>
              <w:rPr>
                <w:sz w:val="20"/>
                <w:szCs w:val="20"/>
                <w:color w:val="auto"/>
              </w:rPr>
            </w:pPr>
            <w:r>
              <w:rPr>
                <w:rFonts w:ascii="Arial" w:cs="Arial" w:eastAsia="Arial" w:hAnsi="Arial"/>
                <w:sz w:val="11"/>
                <w:szCs w:val="11"/>
                <w:color w:val="auto"/>
              </w:rPr>
              <w:t>31,500</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224,681</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392,681</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line="144" w:lineRule="exact"/>
              <w:rPr>
                <w:sz w:val="20"/>
                <w:szCs w:val="20"/>
                <w:color w:val="auto"/>
              </w:rPr>
            </w:pPr>
            <w:r>
              <w:rPr>
                <w:rFonts w:ascii="Arial" w:cs="Arial" w:eastAsia="Arial" w:hAnsi="Arial"/>
                <w:sz w:val="11"/>
                <w:szCs w:val="11"/>
                <w:color w:val="auto"/>
              </w:rPr>
              <w:t xml:space="preserve">Other - Fixed </w:t>
            </w:r>
            <w:r>
              <w:rPr>
                <w:rFonts w:ascii="Arial" w:cs="Arial" w:eastAsia="Arial" w:hAnsi="Arial"/>
                <w:sz w:val="14"/>
                <w:szCs w:val="14"/>
                <w:color w:val="auto"/>
                <w:vertAlign w:val="superscript"/>
              </w:rPr>
              <w:t>(2)</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94,053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94,053</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40" w:type="dxa"/>
            <w:vAlign w:val="bottom"/>
            <w:shd w:val="clear" w:color="auto" w:fill="DBDBDB"/>
          </w:tcPr>
          <w:p>
            <w:pPr>
              <w:spacing w:after="0"/>
              <w:rPr>
                <w:sz w:val="20"/>
                <w:szCs w:val="20"/>
                <w:color w:val="auto"/>
              </w:rPr>
            </w:pPr>
            <w:r>
              <w:rPr>
                <w:rFonts w:ascii="Arial" w:cs="Arial" w:eastAsia="Arial" w:hAnsi="Arial"/>
                <w:sz w:val="11"/>
                <w:szCs w:val="11"/>
                <w:color w:val="auto"/>
              </w:rPr>
              <w:t>Convertible/exchangeable senior notes</w:t>
            </w:r>
          </w:p>
        </w:tc>
        <w:tc>
          <w:tcPr>
            <w:tcW w:w="140" w:type="dxa"/>
            <w:vAlign w:val="bottom"/>
            <w:shd w:val="clear" w:color="auto" w:fill="DBDBDB"/>
          </w:tcPr>
          <w:p>
            <w:pPr>
              <w:spacing w:after="0"/>
              <w:rPr>
                <w:sz w:val="12"/>
                <w:szCs w:val="12"/>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200,000</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78,422</w:t>
            </w:r>
          </w:p>
        </w:tc>
        <w:tc>
          <w:tcPr>
            <w:tcW w:w="10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278,422</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40" w:type="dxa"/>
            <w:vAlign w:val="bottom"/>
          </w:tcPr>
          <w:p>
            <w:pPr>
              <w:spacing w:after="0" w:line="134" w:lineRule="exact"/>
              <w:rPr>
                <w:sz w:val="20"/>
                <w:szCs w:val="20"/>
                <w:color w:val="auto"/>
              </w:rPr>
            </w:pPr>
            <w:r>
              <w:rPr>
                <w:rFonts w:ascii="Arial" w:cs="Arial" w:eastAsia="Arial" w:hAnsi="Arial"/>
                <w:sz w:val="11"/>
                <w:szCs w:val="11"/>
                <w:b w:val="1"/>
                <w:bCs w:val="1"/>
                <w:color w:val="auto"/>
              </w:rPr>
              <w:t xml:space="preserve">Total consolidated debt </w:t>
            </w:r>
            <w:r>
              <w:rPr>
                <w:rFonts w:ascii="Arial" w:cs="Arial" w:eastAsia="Arial" w:hAnsi="Arial"/>
                <w:sz w:val="14"/>
                <w:szCs w:val="14"/>
                <w:b w:val="1"/>
                <w:bCs w:val="1"/>
                <w:color w:val="auto"/>
                <w:vertAlign w:val="superscript"/>
              </w:rPr>
              <w:t>(3)</w:t>
            </w: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3,116</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565,292</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rPr>
              <w:t>910,503</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1,224,939</w:t>
            </w: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2,908,424</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5,612,274</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2"/>
                <w:szCs w:val="12"/>
                <w:b w:val="1"/>
                <w:bCs w:val="1"/>
                <w:i w:val="1"/>
                <w:iCs w:val="1"/>
                <w:color w:val="003366"/>
              </w:rPr>
              <w:t>DBRG OP share of debt</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WA</w:t>
            </w:r>
          </w:p>
        </w:tc>
        <w:tc>
          <w:tcPr>
            <w:tcW w:w="6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WA</w:t>
            </w:r>
          </w:p>
        </w:tc>
        <w:tc>
          <w:tcPr>
            <w:tcW w:w="0" w:type="dxa"/>
            <w:vAlign w:val="bottom"/>
          </w:tcPr>
          <w:p>
            <w:pPr>
              <w:spacing w:after="0" w:line="20" w:lineRule="exact"/>
              <w:rPr>
                <w:sz w:val="1"/>
                <w:szCs w:val="1"/>
                <w:color w:val="auto"/>
              </w:rPr>
            </w:pPr>
          </w:p>
        </w:tc>
      </w:tr>
      <w:tr>
        <w:trPr>
          <w:trHeight w:val="138"/>
        </w:trPr>
        <w:tc>
          <w:tcPr>
            <w:tcW w:w="1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6"/>
                <w:szCs w:val="6"/>
                <w:b w:val="1"/>
                <w:bCs w:val="1"/>
                <w:color w:val="auto"/>
              </w:rPr>
              <w:t>(1)</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940" w:type="dxa"/>
            <w:vAlign w:val="bottom"/>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gridSpan w:val="5"/>
          </w:tcPr>
          <w:p>
            <w:pPr>
              <w:ind w:left="160"/>
              <w:spacing w:after="0" w:line="52" w:lineRule="exact"/>
              <w:rPr>
                <w:sz w:val="20"/>
                <w:szCs w:val="20"/>
                <w:color w:val="auto"/>
              </w:rPr>
            </w:pPr>
            <w:r>
              <w:rPr>
                <w:rFonts w:ascii="Arial" w:cs="Arial" w:eastAsia="Arial" w:hAnsi="Arial"/>
                <w:sz w:val="6"/>
                <w:szCs w:val="6"/>
                <w:b w:val="1"/>
                <w:bCs w:val="1"/>
                <w:color w:val="auto"/>
              </w:rPr>
              <w:t>Payments due by period</w:t>
            </w:r>
          </w:p>
        </w:tc>
        <w:tc>
          <w:tcPr>
            <w:tcW w:w="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jc w:val="center"/>
              <w:spacing w:after="0" w:line="61" w:lineRule="exact"/>
              <w:rPr>
                <w:sz w:val="20"/>
                <w:szCs w:val="20"/>
                <w:color w:val="auto"/>
              </w:rPr>
            </w:pPr>
            <w:r>
              <w:rPr>
                <w:rFonts w:ascii="Arial" w:cs="Arial" w:eastAsia="Arial" w:hAnsi="Arial"/>
                <w:sz w:val="7"/>
                <w:szCs w:val="7"/>
                <w:b w:val="1"/>
                <w:bCs w:val="1"/>
                <w:color w:val="auto"/>
              </w:rPr>
              <w:t>Interest</w:t>
            </w:r>
          </w:p>
        </w:tc>
        <w:tc>
          <w:tcPr>
            <w:tcW w:w="660" w:type="dxa"/>
            <w:vAlign w:val="bottom"/>
          </w:tcPr>
          <w:p>
            <w:pPr>
              <w:jc w:val="center"/>
              <w:spacing w:after="0" w:line="61" w:lineRule="exact"/>
              <w:rPr>
                <w:sz w:val="20"/>
                <w:szCs w:val="20"/>
                <w:color w:val="auto"/>
              </w:rPr>
            </w:pPr>
            <w:r>
              <w:rPr>
                <w:rFonts w:ascii="Arial" w:cs="Arial" w:eastAsia="Arial" w:hAnsi="Arial"/>
                <w:sz w:val="7"/>
                <w:szCs w:val="7"/>
                <w:b w:val="1"/>
                <w:bCs w:val="1"/>
                <w:color w:val="auto"/>
              </w:rPr>
              <w:t>Remaining</w:t>
            </w: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146"/>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88"/>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07"/>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2026 and after</w:t>
            </w:r>
          </w:p>
        </w:tc>
        <w:tc>
          <w:tcPr>
            <w:tcW w:w="80" w:type="dxa"/>
            <w:vAlign w:val="bottom"/>
          </w:tcPr>
          <w:p>
            <w:pPr>
              <w:spacing w:after="0"/>
              <w:rPr>
                <w:sz w:val="10"/>
                <w:szCs w:val="10"/>
                <w:color w:val="auto"/>
              </w:rPr>
            </w:pPr>
          </w:p>
        </w:tc>
        <w:tc>
          <w:tcPr>
            <w:tcW w:w="760" w:type="dxa"/>
            <w:vAlign w:val="bottom"/>
          </w:tcPr>
          <w:p>
            <w:pPr>
              <w:jc w:val="center"/>
              <w:ind w:right="26"/>
              <w:spacing w:after="0"/>
              <w:rPr>
                <w:sz w:val="20"/>
                <w:szCs w:val="20"/>
                <w:color w:val="auto"/>
              </w:rPr>
            </w:pPr>
            <w:r>
              <w:rPr>
                <w:rFonts w:ascii="Arial" w:cs="Arial" w:eastAsia="Arial" w:hAnsi="Arial"/>
                <w:sz w:val="10"/>
                <w:szCs w:val="10"/>
                <w:b w:val="1"/>
                <w:bCs w:val="1"/>
                <w:color w:val="auto"/>
              </w:rPr>
              <w:t>Total</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7"/>
              </w:rPr>
              <w:t>Fixed/Variable</w:t>
            </w: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rPr>
              <w:t>Rate</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7"/>
              </w:rPr>
              <w:t>Term</w:t>
            </w:r>
          </w:p>
        </w:tc>
        <w:tc>
          <w:tcPr>
            <w:tcW w:w="0" w:type="dxa"/>
            <w:vAlign w:val="bottom"/>
          </w:tcPr>
          <w:p>
            <w:pPr>
              <w:spacing w:after="0"/>
              <w:rPr>
                <w:sz w:val="1"/>
                <w:szCs w:val="1"/>
                <w:color w:val="auto"/>
              </w:rPr>
            </w:pPr>
          </w:p>
        </w:tc>
      </w:tr>
      <w:tr>
        <w:trPr>
          <w:trHeight w:val="124"/>
        </w:trPr>
        <w:tc>
          <w:tcPr>
            <w:tcW w:w="1940" w:type="dxa"/>
            <w:vAlign w:val="bottom"/>
          </w:tcPr>
          <w:p>
            <w:pPr>
              <w:spacing w:after="0" w:line="124" w:lineRule="exact"/>
              <w:rPr>
                <w:sz w:val="20"/>
                <w:szCs w:val="20"/>
                <w:color w:val="auto"/>
              </w:rPr>
            </w:pPr>
            <w:r>
              <w:rPr>
                <w:rFonts w:ascii="Arial" w:cs="Arial" w:eastAsia="Arial" w:hAnsi="Arial"/>
                <w:sz w:val="11"/>
                <w:szCs w:val="11"/>
                <w:b w:val="1"/>
                <w:bCs w:val="1"/>
                <w:color w:val="auto"/>
              </w:rPr>
              <w:t>Investment-level debt:</w:t>
            </w: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Digital Operating - Fixed</w:t>
            </w: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409</w:t>
            </w: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28,859</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DBDBDB"/>
          </w:tcPr>
          <w:p>
            <w:pPr>
              <w:jc w:val="right"/>
              <w:ind w:right="8"/>
              <w:spacing w:after="0"/>
              <w:rPr>
                <w:sz w:val="20"/>
                <w:szCs w:val="20"/>
                <w:color w:val="auto"/>
              </w:rPr>
            </w:pPr>
            <w:r>
              <w:rPr>
                <w:rFonts w:ascii="Arial" w:cs="Arial" w:eastAsia="Arial" w:hAnsi="Arial"/>
                <w:sz w:val="11"/>
                <w:szCs w:val="11"/>
                <w:color w:val="auto"/>
              </w:rPr>
              <w:t>78,879</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91,910</w:t>
            </w:r>
          </w:p>
        </w:tc>
        <w:tc>
          <w:tcPr>
            <w:tcW w:w="100" w:type="dxa"/>
            <w:vAlign w:val="bottom"/>
            <w:shd w:val="clear" w:color="auto" w:fill="DBDBDB"/>
          </w:tcPr>
          <w:p>
            <w:pPr>
              <w:spacing w:after="0"/>
              <w:rPr>
                <w:sz w:val="12"/>
                <w:szCs w:val="12"/>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379,462</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579,519</w:t>
            </w:r>
          </w:p>
        </w:tc>
        <w:tc>
          <w:tcPr>
            <w:tcW w:w="7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Fixed</w:t>
            </w:r>
          </w:p>
        </w:tc>
        <w:tc>
          <w:tcPr>
            <w:tcW w:w="5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5"/>
              </w:rPr>
              <w:t>2.4%</w:t>
            </w:r>
          </w:p>
        </w:tc>
        <w:tc>
          <w:tcPr>
            <w:tcW w:w="6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43"/>
        </w:trPr>
        <w:tc>
          <w:tcPr>
            <w:tcW w:w="1940" w:type="dxa"/>
            <w:vAlign w:val="bottom"/>
          </w:tcPr>
          <w:p>
            <w:pPr>
              <w:ind w:left="140"/>
              <w:spacing w:after="0"/>
              <w:rPr>
                <w:sz w:val="20"/>
                <w:szCs w:val="20"/>
                <w:color w:val="auto"/>
              </w:rPr>
            </w:pPr>
            <w:r>
              <w:rPr>
                <w:rFonts w:ascii="Arial" w:cs="Arial" w:eastAsia="Arial" w:hAnsi="Arial"/>
                <w:sz w:val="11"/>
                <w:szCs w:val="11"/>
                <w:color w:val="auto"/>
              </w:rPr>
              <w:t>Digital Operating - Variable</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1,799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8"/>
              <w:spacing w:after="0"/>
              <w:rPr>
                <w:sz w:val="20"/>
                <w:szCs w:val="20"/>
                <w:color w:val="auto"/>
              </w:rPr>
            </w:pPr>
            <w:r>
              <w:rPr>
                <w:rFonts w:ascii="Arial" w:cs="Arial" w:eastAsia="Arial" w:hAnsi="Arial"/>
                <w:sz w:val="11"/>
                <w:szCs w:val="11"/>
                <w:color w:val="auto"/>
              </w:rPr>
              <w:t>59,192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89,259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19,990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170,240</w:t>
            </w:r>
          </w:p>
        </w:tc>
        <w:tc>
          <w:tcPr>
            <w:tcW w:w="700" w:type="dxa"/>
            <w:vAlign w:val="bottom"/>
          </w:tcPr>
          <w:p>
            <w:pPr>
              <w:jc w:val="center"/>
              <w:spacing w:after="0"/>
              <w:rPr>
                <w:sz w:val="20"/>
                <w:szCs w:val="20"/>
                <w:color w:val="auto"/>
              </w:rPr>
            </w:pPr>
            <w:r>
              <w:rPr>
                <w:rFonts w:ascii="Arial" w:cs="Arial" w:eastAsia="Arial" w:hAnsi="Arial"/>
                <w:sz w:val="11"/>
                <w:szCs w:val="11"/>
                <w:color w:val="auto"/>
                <w:w w:val="94"/>
              </w:rPr>
              <w:t>Variable</w:t>
            </w:r>
          </w:p>
        </w:tc>
        <w:tc>
          <w:tcPr>
            <w:tcW w:w="500" w:type="dxa"/>
            <w:vAlign w:val="bottom"/>
          </w:tcPr>
          <w:p>
            <w:pPr>
              <w:jc w:val="center"/>
              <w:spacing w:after="0"/>
              <w:rPr>
                <w:sz w:val="20"/>
                <w:szCs w:val="20"/>
                <w:color w:val="auto"/>
              </w:rPr>
            </w:pPr>
            <w:r>
              <w:rPr>
                <w:rFonts w:ascii="Arial" w:cs="Arial" w:eastAsia="Arial" w:hAnsi="Arial"/>
                <w:sz w:val="11"/>
                <w:szCs w:val="11"/>
                <w:color w:val="auto"/>
                <w:w w:val="95"/>
              </w:rPr>
              <w:t>6.0%</w:t>
            </w:r>
          </w:p>
        </w:tc>
        <w:tc>
          <w:tcPr>
            <w:tcW w:w="660" w:type="dxa"/>
            <w:vAlign w:val="bottom"/>
          </w:tcPr>
          <w:p>
            <w:pPr>
              <w:jc w:val="center"/>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34"/>
        </w:trPr>
        <w:tc>
          <w:tcPr>
            <w:tcW w:w="194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Total Digital Operating</w:t>
            </w:r>
          </w:p>
        </w:tc>
        <w:tc>
          <w:tcPr>
            <w:tcW w:w="140" w:type="dxa"/>
            <w:vAlign w:val="bottom"/>
            <w:tcBorders>
              <w:top w:val="single" w:sz="8" w:color="auto"/>
            </w:tcBorders>
            <w:shd w:val="clear" w:color="auto" w:fill="DBDBDB"/>
          </w:tcPr>
          <w:p>
            <w:pPr>
              <w:spacing w:after="0"/>
              <w:rPr>
                <w:sz w:val="11"/>
                <w:szCs w:val="11"/>
                <w:color w:val="auto"/>
              </w:rPr>
            </w:pPr>
          </w:p>
        </w:tc>
        <w:tc>
          <w:tcPr>
            <w:tcW w:w="48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409</w:t>
            </w:r>
          </w:p>
        </w:tc>
        <w:tc>
          <w:tcPr>
            <w:tcW w:w="10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auto"/>
            </w:tcBorders>
            <w:shd w:val="clear" w:color="auto" w:fill="DBDBDB"/>
          </w:tcPr>
          <w:p>
            <w:pPr>
              <w:spacing w:after="0"/>
              <w:rPr>
                <w:sz w:val="11"/>
                <w:szCs w:val="11"/>
                <w:color w:val="auto"/>
              </w:rPr>
            </w:pPr>
          </w:p>
        </w:tc>
        <w:tc>
          <w:tcPr>
            <w:tcW w:w="54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30,658</w:t>
            </w:r>
          </w:p>
        </w:tc>
        <w:tc>
          <w:tcPr>
            <w:tcW w:w="80" w:type="dxa"/>
            <w:vAlign w:val="bottom"/>
            <w:tcBorders>
              <w:top w:val="single" w:sz="8" w:color="DBDBDB"/>
            </w:tcBorders>
            <w:shd w:val="clear" w:color="auto" w:fill="DBDBDB"/>
          </w:tcPr>
          <w:p>
            <w:pPr>
              <w:spacing w:after="0"/>
              <w:rPr>
                <w:sz w:val="11"/>
                <w:szCs w:val="11"/>
                <w:color w:val="auto"/>
              </w:rPr>
            </w:pPr>
          </w:p>
        </w:tc>
        <w:tc>
          <w:tcPr>
            <w:tcW w:w="160" w:type="dxa"/>
            <w:vAlign w:val="bottom"/>
            <w:tcBorders>
              <w:top w:val="single" w:sz="8" w:color="auto"/>
            </w:tcBorders>
            <w:shd w:val="clear" w:color="auto" w:fill="DBDBDB"/>
          </w:tcPr>
          <w:p>
            <w:pPr>
              <w:spacing w:after="0"/>
              <w:rPr>
                <w:sz w:val="11"/>
                <w:szCs w:val="11"/>
                <w:color w:val="auto"/>
              </w:rPr>
            </w:pPr>
          </w:p>
        </w:tc>
        <w:tc>
          <w:tcPr>
            <w:tcW w:w="54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1"/>
                <w:szCs w:val="11"/>
                <w:b w:val="1"/>
                <w:bCs w:val="1"/>
                <w:color w:val="auto"/>
              </w:rPr>
              <w:t>138,071</w:t>
            </w:r>
          </w:p>
        </w:tc>
        <w:tc>
          <w:tcPr>
            <w:tcW w:w="100" w:type="dxa"/>
            <w:vAlign w:val="bottom"/>
            <w:tcBorders>
              <w:top w:val="single" w:sz="8" w:color="DBDBDB"/>
            </w:tcBorders>
            <w:shd w:val="clear" w:color="auto" w:fill="DBDBDB"/>
          </w:tcPr>
          <w:p>
            <w:pPr>
              <w:spacing w:after="0"/>
              <w:rPr>
                <w:sz w:val="11"/>
                <w:szCs w:val="11"/>
                <w:color w:val="auto"/>
              </w:rPr>
            </w:pPr>
          </w:p>
        </w:tc>
        <w:tc>
          <w:tcPr>
            <w:tcW w:w="120" w:type="dxa"/>
            <w:vAlign w:val="bottom"/>
            <w:tcBorders>
              <w:top w:val="single" w:sz="8" w:color="auto"/>
            </w:tcBorders>
            <w:shd w:val="clear" w:color="auto" w:fill="DBDBDB"/>
          </w:tcPr>
          <w:p>
            <w:pPr>
              <w:spacing w:after="0"/>
              <w:rPr>
                <w:sz w:val="11"/>
                <w:szCs w:val="11"/>
                <w:color w:val="auto"/>
              </w:rPr>
            </w:pPr>
          </w:p>
        </w:tc>
        <w:tc>
          <w:tcPr>
            <w:tcW w:w="600" w:type="dxa"/>
            <w:vAlign w:val="bottom"/>
            <w:tcBorders>
              <w:top w:val="single" w:sz="8" w:color="auto"/>
            </w:tcBorders>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181,169</w:t>
            </w:r>
          </w:p>
        </w:tc>
        <w:tc>
          <w:tcPr>
            <w:tcW w:w="100" w:type="dxa"/>
            <w:vAlign w:val="bottom"/>
            <w:tcBorders>
              <w:top w:val="single" w:sz="8" w:color="DBDBDB"/>
            </w:tcBorders>
            <w:shd w:val="clear" w:color="auto" w:fill="DBDBDB"/>
          </w:tcPr>
          <w:p>
            <w:pPr>
              <w:spacing w:after="0"/>
              <w:rPr>
                <w:sz w:val="11"/>
                <w:szCs w:val="11"/>
                <w:color w:val="auto"/>
              </w:rPr>
            </w:pPr>
          </w:p>
        </w:tc>
        <w:tc>
          <w:tcPr>
            <w:tcW w:w="60" w:type="dxa"/>
            <w:vAlign w:val="bottom"/>
            <w:tcBorders>
              <w:top w:val="single" w:sz="8" w:color="auto"/>
            </w:tcBorders>
            <w:shd w:val="clear" w:color="auto" w:fill="DBDBDB"/>
          </w:tcPr>
          <w:p>
            <w:pPr>
              <w:spacing w:after="0"/>
              <w:rPr>
                <w:sz w:val="11"/>
                <w:szCs w:val="11"/>
                <w:color w:val="auto"/>
              </w:rPr>
            </w:pPr>
          </w:p>
        </w:tc>
        <w:tc>
          <w:tcPr>
            <w:tcW w:w="74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399,452</w:t>
            </w:r>
          </w:p>
        </w:tc>
        <w:tc>
          <w:tcPr>
            <w:tcW w:w="10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auto"/>
            </w:tcBorders>
            <w:shd w:val="clear" w:color="auto" w:fill="DBDBDB"/>
          </w:tcPr>
          <w:p>
            <w:pPr>
              <w:spacing w:after="0"/>
              <w:rPr>
                <w:sz w:val="11"/>
                <w:szCs w:val="11"/>
                <w:color w:val="auto"/>
              </w:rPr>
            </w:pPr>
          </w:p>
        </w:tc>
        <w:tc>
          <w:tcPr>
            <w:tcW w:w="76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749,759</w:t>
            </w:r>
          </w:p>
        </w:tc>
        <w:tc>
          <w:tcPr>
            <w:tcW w:w="700" w:type="dxa"/>
            <w:vAlign w:val="bottom"/>
            <w:tcBorders>
              <w:top w:val="single" w:sz="8" w:color="DBDBDB"/>
            </w:tcBorders>
            <w:shd w:val="clear" w:color="auto" w:fill="DBDBDB"/>
          </w:tcPr>
          <w:p>
            <w:pPr>
              <w:spacing w:after="0"/>
              <w:rPr>
                <w:sz w:val="11"/>
                <w:szCs w:val="11"/>
                <w:color w:val="auto"/>
              </w:rPr>
            </w:pPr>
          </w:p>
        </w:tc>
        <w:tc>
          <w:tcPr>
            <w:tcW w:w="5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1"/>
                <w:szCs w:val="11"/>
                <w:b w:val="1"/>
                <w:bCs w:val="1"/>
                <w:color w:val="auto"/>
                <w:w w:val="95"/>
              </w:rPr>
              <w:t>3.2%</w:t>
            </w:r>
          </w:p>
        </w:tc>
        <w:tc>
          <w:tcPr>
            <w:tcW w:w="6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1"/>
                <w:szCs w:val="11"/>
                <w:b w:val="1"/>
                <w:bCs w:val="1"/>
                <w:color w:val="auto"/>
              </w:rPr>
              <w:t>3.4</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20"/>
                <w:szCs w:val="20"/>
                <w:color w:val="auto"/>
              </w:rPr>
            </w:pPr>
            <w:r>
              <w:rPr>
                <w:rFonts w:ascii="Arial" w:cs="Arial" w:eastAsia="Arial" w:hAnsi="Arial"/>
                <w:sz w:val="11"/>
                <w:szCs w:val="11"/>
                <w:b w:val="1"/>
                <w:bCs w:val="1"/>
                <w:color w:val="auto"/>
              </w:rPr>
              <w:t>Corporate and Other debt: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DBDBDB"/>
          </w:tcPr>
          <w:p>
            <w:pPr>
              <w:spacing w:after="0"/>
              <w:rPr>
                <w:sz w:val="20"/>
                <w:szCs w:val="20"/>
                <w:color w:val="auto"/>
              </w:rPr>
            </w:pPr>
            <w:r>
              <w:rPr>
                <w:rFonts w:ascii="Arial" w:cs="Arial" w:eastAsia="Arial" w:hAnsi="Arial"/>
                <w:sz w:val="11"/>
                <w:szCs w:val="11"/>
                <w:color w:val="auto"/>
              </w:rPr>
              <w:t>2021-1, A-1 Variable Funding Notes</w:t>
            </w:r>
          </w:p>
        </w:tc>
        <w:tc>
          <w:tcPr>
            <w:tcW w:w="140" w:type="dxa"/>
            <w:vAlign w:val="bottom"/>
            <w:shd w:val="clear" w:color="auto" w:fill="DBDBDB"/>
          </w:tcPr>
          <w:p>
            <w:pPr>
              <w:spacing w:after="0"/>
              <w:rPr>
                <w:sz w:val="12"/>
                <w:szCs w:val="12"/>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6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70,000</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70,000</w:t>
            </w:r>
          </w:p>
        </w:tc>
        <w:tc>
          <w:tcPr>
            <w:tcW w:w="7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4"/>
              </w:rPr>
              <w:t>Variable</w:t>
            </w:r>
          </w:p>
        </w:tc>
        <w:tc>
          <w:tcPr>
            <w:tcW w:w="5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5"/>
              </w:rPr>
              <w:t>4.8%</w:t>
            </w:r>
          </w:p>
        </w:tc>
        <w:tc>
          <w:tcPr>
            <w:tcW w:w="6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43"/>
        </w:trPr>
        <w:tc>
          <w:tcPr>
            <w:tcW w:w="1940" w:type="dxa"/>
            <w:vAlign w:val="bottom"/>
          </w:tcPr>
          <w:p>
            <w:pPr>
              <w:spacing w:after="0"/>
              <w:rPr>
                <w:sz w:val="20"/>
                <w:szCs w:val="20"/>
                <w:color w:val="auto"/>
              </w:rPr>
            </w:pPr>
            <w:r>
              <w:rPr>
                <w:rFonts w:ascii="Arial" w:cs="Arial" w:eastAsia="Arial" w:hAnsi="Arial"/>
                <w:sz w:val="11"/>
                <w:szCs w:val="11"/>
                <w:color w:val="auto"/>
              </w:rPr>
              <w:t>2021-1, Class A-2 Term Notes</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300,000</w:t>
            </w:r>
          </w:p>
        </w:tc>
        <w:tc>
          <w:tcPr>
            <w:tcW w:w="700" w:type="dxa"/>
            <w:vAlign w:val="bottom"/>
          </w:tcPr>
          <w:p>
            <w:pPr>
              <w:jc w:val="center"/>
              <w:spacing w:after="0"/>
              <w:rPr>
                <w:sz w:val="20"/>
                <w:szCs w:val="20"/>
                <w:color w:val="auto"/>
              </w:rPr>
            </w:pPr>
            <w:r>
              <w:rPr>
                <w:rFonts w:ascii="Arial" w:cs="Arial" w:eastAsia="Arial" w:hAnsi="Arial"/>
                <w:sz w:val="11"/>
                <w:szCs w:val="11"/>
                <w:color w:val="auto"/>
                <w:w w:val="96"/>
              </w:rPr>
              <w:t>Fixed</w:t>
            </w:r>
          </w:p>
        </w:tc>
        <w:tc>
          <w:tcPr>
            <w:tcW w:w="500" w:type="dxa"/>
            <w:vAlign w:val="bottom"/>
          </w:tcPr>
          <w:p>
            <w:pPr>
              <w:jc w:val="center"/>
              <w:spacing w:after="0"/>
              <w:rPr>
                <w:sz w:val="20"/>
                <w:szCs w:val="20"/>
                <w:color w:val="auto"/>
              </w:rPr>
            </w:pPr>
            <w:r>
              <w:rPr>
                <w:rFonts w:ascii="Arial" w:cs="Arial" w:eastAsia="Arial" w:hAnsi="Arial"/>
                <w:sz w:val="11"/>
                <w:szCs w:val="11"/>
                <w:color w:val="auto"/>
                <w:w w:val="95"/>
              </w:rPr>
              <w:t>3.9%</w:t>
            </w:r>
          </w:p>
        </w:tc>
        <w:tc>
          <w:tcPr>
            <w:tcW w:w="660" w:type="dxa"/>
            <w:vAlign w:val="bottom"/>
          </w:tcPr>
          <w:p>
            <w:pPr>
              <w:jc w:val="center"/>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45"/>
        </w:trPr>
        <w:tc>
          <w:tcPr>
            <w:tcW w:w="1940" w:type="dxa"/>
            <w:vAlign w:val="bottom"/>
            <w:shd w:val="clear" w:color="auto" w:fill="DBDBDB"/>
          </w:tcPr>
          <w:p>
            <w:pPr>
              <w:spacing w:after="0" w:line="145" w:lineRule="exact"/>
              <w:rPr>
                <w:sz w:val="20"/>
                <w:szCs w:val="20"/>
                <w:color w:val="auto"/>
              </w:rPr>
            </w:pPr>
            <w:r>
              <w:rPr>
                <w:rFonts w:ascii="Arial" w:cs="Arial" w:eastAsia="Arial" w:hAnsi="Arial"/>
                <w:sz w:val="11"/>
                <w:szCs w:val="11"/>
                <w:color w:val="auto"/>
              </w:rPr>
              <w:t xml:space="preserve">Other - Variable </w:t>
            </w:r>
            <w:r>
              <w:rPr>
                <w:rFonts w:ascii="Arial" w:cs="Arial" w:eastAsia="Arial" w:hAnsi="Arial"/>
                <w:sz w:val="14"/>
                <w:szCs w:val="14"/>
                <w:color w:val="auto"/>
                <w:vertAlign w:val="superscript"/>
              </w:rPr>
              <w:t>(2)</w:t>
            </w:r>
          </w:p>
        </w:tc>
        <w:tc>
          <w:tcPr>
            <w:tcW w:w="140" w:type="dxa"/>
            <w:vAlign w:val="bottom"/>
            <w:shd w:val="clear" w:color="auto" w:fill="DBDBDB"/>
          </w:tcPr>
          <w:p>
            <w:pPr>
              <w:spacing w:after="0"/>
              <w:rPr>
                <w:sz w:val="12"/>
                <w:szCs w:val="12"/>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136,500</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8"/>
              <w:spacing w:after="0"/>
              <w:rPr>
                <w:sz w:val="20"/>
                <w:szCs w:val="20"/>
                <w:color w:val="auto"/>
              </w:rPr>
            </w:pPr>
            <w:r>
              <w:rPr>
                <w:rFonts w:ascii="Arial" w:cs="Arial" w:eastAsia="Arial" w:hAnsi="Arial"/>
                <w:sz w:val="11"/>
                <w:szCs w:val="11"/>
                <w:color w:val="auto"/>
              </w:rPr>
              <w:t>31,500</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127,015</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295,015</w:t>
            </w:r>
          </w:p>
        </w:tc>
        <w:tc>
          <w:tcPr>
            <w:tcW w:w="7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4"/>
              </w:rPr>
              <w:t>Variable</w:t>
            </w:r>
          </w:p>
        </w:tc>
        <w:tc>
          <w:tcPr>
            <w:tcW w:w="5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5"/>
              </w:rPr>
              <w:t>3.1%</w:t>
            </w:r>
          </w:p>
        </w:tc>
        <w:tc>
          <w:tcPr>
            <w:tcW w:w="6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44"/>
        </w:trPr>
        <w:tc>
          <w:tcPr>
            <w:tcW w:w="1940" w:type="dxa"/>
            <w:vAlign w:val="bottom"/>
          </w:tcPr>
          <w:p>
            <w:pPr>
              <w:spacing w:after="0" w:line="144" w:lineRule="exact"/>
              <w:rPr>
                <w:sz w:val="20"/>
                <w:szCs w:val="20"/>
                <w:color w:val="auto"/>
              </w:rPr>
            </w:pPr>
            <w:r>
              <w:rPr>
                <w:rFonts w:ascii="Arial" w:cs="Arial" w:eastAsia="Arial" w:hAnsi="Arial"/>
                <w:sz w:val="11"/>
                <w:szCs w:val="11"/>
                <w:color w:val="auto"/>
              </w:rPr>
              <w:t xml:space="preserve">Other - Fixed </w:t>
            </w:r>
            <w:r>
              <w:rPr>
                <w:rFonts w:ascii="Arial" w:cs="Arial" w:eastAsia="Arial" w:hAnsi="Arial"/>
                <w:sz w:val="14"/>
                <w:szCs w:val="14"/>
                <w:color w:val="auto"/>
                <w:vertAlign w:val="superscript"/>
              </w:rPr>
              <w:t>(2)</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53,169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53,169</w:t>
            </w:r>
          </w:p>
        </w:tc>
        <w:tc>
          <w:tcPr>
            <w:tcW w:w="700" w:type="dxa"/>
            <w:vAlign w:val="bottom"/>
          </w:tcPr>
          <w:p>
            <w:pPr>
              <w:jc w:val="center"/>
              <w:spacing w:after="0"/>
              <w:rPr>
                <w:sz w:val="20"/>
                <w:szCs w:val="20"/>
                <w:color w:val="auto"/>
              </w:rPr>
            </w:pPr>
            <w:r>
              <w:rPr>
                <w:rFonts w:ascii="Arial" w:cs="Arial" w:eastAsia="Arial" w:hAnsi="Arial"/>
                <w:sz w:val="11"/>
                <w:szCs w:val="11"/>
                <w:color w:val="auto"/>
                <w:w w:val="96"/>
              </w:rPr>
              <w:t>Fixed</w:t>
            </w:r>
          </w:p>
        </w:tc>
        <w:tc>
          <w:tcPr>
            <w:tcW w:w="500" w:type="dxa"/>
            <w:vAlign w:val="bottom"/>
          </w:tcPr>
          <w:p>
            <w:pPr>
              <w:jc w:val="center"/>
              <w:spacing w:after="0"/>
              <w:rPr>
                <w:sz w:val="20"/>
                <w:szCs w:val="20"/>
                <w:color w:val="auto"/>
              </w:rPr>
            </w:pPr>
            <w:r>
              <w:rPr>
                <w:rFonts w:ascii="Arial" w:cs="Arial" w:eastAsia="Arial" w:hAnsi="Arial"/>
                <w:sz w:val="11"/>
                <w:szCs w:val="11"/>
                <w:color w:val="auto"/>
                <w:w w:val="95"/>
              </w:rPr>
              <w:t>6.5%</w:t>
            </w:r>
          </w:p>
        </w:tc>
        <w:tc>
          <w:tcPr>
            <w:tcW w:w="660" w:type="dxa"/>
            <w:vAlign w:val="bottom"/>
          </w:tcPr>
          <w:p>
            <w:pPr>
              <w:jc w:val="center"/>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43"/>
        </w:trPr>
        <w:tc>
          <w:tcPr>
            <w:tcW w:w="1940" w:type="dxa"/>
            <w:vAlign w:val="bottom"/>
            <w:shd w:val="clear" w:color="auto" w:fill="DBDBDB"/>
          </w:tcPr>
          <w:p>
            <w:pPr>
              <w:spacing w:after="0"/>
              <w:rPr>
                <w:sz w:val="20"/>
                <w:szCs w:val="20"/>
                <w:color w:val="auto"/>
              </w:rPr>
            </w:pPr>
            <w:r>
              <w:rPr>
                <w:rFonts w:ascii="Arial" w:cs="Arial" w:eastAsia="Arial" w:hAnsi="Arial"/>
                <w:sz w:val="11"/>
                <w:szCs w:val="11"/>
                <w:color w:val="auto"/>
              </w:rPr>
              <w:t>Convertible/exchangeable senior notes</w:t>
            </w:r>
          </w:p>
        </w:tc>
        <w:tc>
          <w:tcPr>
            <w:tcW w:w="140" w:type="dxa"/>
            <w:vAlign w:val="bottom"/>
            <w:shd w:val="clear" w:color="auto" w:fill="DBDBDB"/>
          </w:tcPr>
          <w:p>
            <w:pPr>
              <w:spacing w:after="0"/>
              <w:rPr>
                <w:sz w:val="12"/>
                <w:szCs w:val="12"/>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200,000</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78,422</w:t>
            </w:r>
          </w:p>
        </w:tc>
        <w:tc>
          <w:tcPr>
            <w:tcW w:w="10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278,422</w:t>
            </w:r>
          </w:p>
        </w:tc>
        <w:tc>
          <w:tcPr>
            <w:tcW w:w="7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Fixed</w:t>
            </w:r>
          </w:p>
        </w:tc>
        <w:tc>
          <w:tcPr>
            <w:tcW w:w="5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5"/>
              </w:rPr>
              <w:t>5.2%</w:t>
            </w:r>
          </w:p>
        </w:tc>
        <w:tc>
          <w:tcPr>
            <w:tcW w:w="6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4"/>
        </w:trPr>
        <w:tc>
          <w:tcPr>
            <w:tcW w:w="1940" w:type="dxa"/>
            <w:vAlign w:val="bottom"/>
          </w:tcPr>
          <w:p>
            <w:pPr>
              <w:spacing w:after="0" w:line="134" w:lineRule="exact"/>
              <w:rPr>
                <w:sz w:val="20"/>
                <w:szCs w:val="20"/>
                <w:color w:val="auto"/>
              </w:rPr>
            </w:pPr>
            <w:r>
              <w:rPr>
                <w:rFonts w:ascii="Arial" w:cs="Arial" w:eastAsia="Arial" w:hAnsi="Arial"/>
                <w:sz w:val="11"/>
                <w:szCs w:val="11"/>
                <w:b w:val="1"/>
                <w:bCs w:val="1"/>
                <w:color w:val="auto"/>
              </w:rPr>
              <w:t xml:space="preserve">Total DBRG share of debt </w:t>
            </w:r>
            <w:r>
              <w:rPr>
                <w:rFonts w:ascii="Arial" w:cs="Arial" w:eastAsia="Arial" w:hAnsi="Arial"/>
                <w:sz w:val="14"/>
                <w:szCs w:val="14"/>
                <w:b w:val="1"/>
                <w:bCs w:val="1"/>
                <w:color w:val="auto"/>
                <w:vertAlign w:val="superscript"/>
              </w:rPr>
              <w:t>(3)</w:t>
            </w: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409</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367,158</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rPr>
              <w:t>169,571</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259,591</w:t>
            </w: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949,636</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1,746,365</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DBRG OP</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7"/>
              </w:rPr>
              <w:t>Consolidated</w:t>
            </w:r>
          </w:p>
        </w:tc>
        <w:tc>
          <w:tcPr>
            <w:tcW w:w="80" w:type="dxa"/>
            <w:vAlign w:val="bottom"/>
          </w:tcPr>
          <w:p>
            <w:pPr>
              <w:spacing w:after="0"/>
              <w:rPr>
                <w:sz w:val="9"/>
                <w:szCs w:val="9"/>
                <w:color w:val="auto"/>
              </w:rPr>
            </w:pPr>
          </w:p>
        </w:tc>
        <w:tc>
          <w:tcPr>
            <w:tcW w:w="760" w:type="dxa"/>
            <w:vAlign w:val="bottom"/>
          </w:tcPr>
          <w:p>
            <w:pPr>
              <w:jc w:val="center"/>
              <w:ind w:right="6"/>
              <w:spacing w:after="0" w:line="108" w:lineRule="exact"/>
              <w:rPr>
                <w:sz w:val="20"/>
                <w:szCs w:val="20"/>
                <w:color w:val="auto"/>
              </w:rPr>
            </w:pPr>
            <w:r>
              <w:rPr>
                <w:rFonts w:ascii="Arial" w:cs="Arial" w:eastAsia="Arial" w:hAnsi="Arial"/>
                <w:sz w:val="11"/>
                <w:szCs w:val="11"/>
                <w:b w:val="1"/>
                <w:bCs w:val="1"/>
                <w:color w:val="auto"/>
                <w:w w:val="98"/>
              </w:rPr>
              <w:t>share of</w:t>
            </w: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40" w:type="dxa"/>
            <w:vAlign w:val="bottom"/>
            <w:vMerge w:val="restart"/>
          </w:tcPr>
          <w:p>
            <w:pPr>
              <w:spacing w:after="0"/>
              <w:rPr>
                <w:sz w:val="20"/>
                <w:szCs w:val="20"/>
                <w:color w:val="auto"/>
              </w:rPr>
            </w:pPr>
            <w:r>
              <w:rPr>
                <w:rFonts w:ascii="Arial" w:cs="Arial" w:eastAsia="Arial" w:hAnsi="Arial"/>
                <w:sz w:val="12"/>
                <w:szCs w:val="12"/>
                <w:b w:val="1"/>
                <w:bCs w:val="1"/>
                <w:i w:val="1"/>
                <w:iCs w:val="1"/>
                <w:color w:val="003366"/>
              </w:rPr>
              <w:t>Digital and Corporate Net Assets</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ind w:right="6"/>
              <w:spacing w:after="0" w:line="108" w:lineRule="exact"/>
              <w:rPr>
                <w:sz w:val="20"/>
                <w:szCs w:val="20"/>
                <w:color w:val="auto"/>
              </w:rPr>
            </w:pPr>
            <w:r>
              <w:rPr>
                <w:rFonts w:ascii="Arial" w:cs="Arial" w:eastAsia="Arial" w:hAnsi="Arial"/>
                <w:sz w:val="11"/>
                <w:szCs w:val="11"/>
                <w:b w:val="1"/>
                <w:bCs w:val="1"/>
                <w:color w:val="auto"/>
                <w:w w:val="97"/>
              </w:rPr>
              <w:t>consolidated</w:t>
            </w: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760" w:type="dxa"/>
            <w:vAlign w:val="bottom"/>
          </w:tcPr>
          <w:p>
            <w:pPr>
              <w:jc w:val="center"/>
              <w:ind w:right="26"/>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20" w:type="dxa"/>
            <w:vAlign w:val="bottom"/>
            <w:tcBorders>
              <w:top w:val="single" w:sz="8" w:color="DBDBDB"/>
            </w:tcBorders>
            <w:gridSpan w:val="7"/>
            <w:shd w:val="clear" w:color="auto" w:fill="DBDBDB"/>
          </w:tcPr>
          <w:p>
            <w:pPr>
              <w:spacing w:after="0"/>
              <w:rPr>
                <w:sz w:val="20"/>
                <w:szCs w:val="20"/>
                <w:color w:val="auto"/>
              </w:rPr>
            </w:pPr>
            <w:r>
              <w:rPr>
                <w:rFonts w:ascii="Arial" w:cs="Arial" w:eastAsia="Arial" w:hAnsi="Arial"/>
                <w:sz w:val="11"/>
                <w:szCs w:val="11"/>
                <w:color w:val="auto"/>
              </w:rPr>
              <w:t>Cash and cash equivalents, restricted cash and other assets</w:t>
            </w:r>
          </w:p>
        </w:tc>
        <w:tc>
          <w:tcPr>
            <w:tcW w:w="160" w:type="dxa"/>
            <w:vAlign w:val="bottom"/>
            <w:tcBorders>
              <w:top w:val="single" w:sz="8" w:color="DBDBDB"/>
            </w:tcBorders>
            <w:shd w:val="clear" w:color="auto" w:fill="DBDBDB"/>
          </w:tcPr>
          <w:p>
            <w:pPr>
              <w:spacing w:after="0"/>
              <w:rPr>
                <w:sz w:val="11"/>
                <w:szCs w:val="11"/>
                <w:color w:val="auto"/>
              </w:rPr>
            </w:pPr>
          </w:p>
        </w:tc>
        <w:tc>
          <w:tcPr>
            <w:tcW w:w="54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120" w:type="dxa"/>
            <w:vAlign w:val="bottom"/>
            <w:tcBorders>
              <w:top w:val="single" w:sz="8" w:color="DBDBDB"/>
            </w:tcBorders>
            <w:shd w:val="clear" w:color="auto" w:fill="DBDBDB"/>
          </w:tcPr>
          <w:p>
            <w:pPr>
              <w:spacing w:after="0"/>
              <w:rPr>
                <w:sz w:val="11"/>
                <w:szCs w:val="11"/>
                <w:color w:val="auto"/>
              </w:rPr>
            </w:pPr>
          </w:p>
        </w:tc>
        <w:tc>
          <w:tcPr>
            <w:tcW w:w="60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1,091,322</w:t>
            </w:r>
          </w:p>
        </w:tc>
        <w:tc>
          <w:tcPr>
            <w:tcW w:w="10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375,661</w:t>
            </w:r>
          </w:p>
        </w:tc>
        <w:tc>
          <w:tcPr>
            <w:tcW w:w="700" w:type="dxa"/>
            <w:vAlign w:val="bottom"/>
            <w:tcBorders>
              <w:top w:val="single" w:sz="8" w:color="DBDBDB"/>
            </w:tcBorders>
            <w:shd w:val="clear" w:color="auto" w:fill="DBDBDB"/>
          </w:tcPr>
          <w:p>
            <w:pPr>
              <w:spacing w:after="0"/>
              <w:rPr>
                <w:sz w:val="11"/>
                <w:szCs w:val="11"/>
                <w:color w:val="auto"/>
              </w:rPr>
            </w:pPr>
          </w:p>
        </w:tc>
        <w:tc>
          <w:tcPr>
            <w:tcW w:w="500" w:type="dxa"/>
            <w:vAlign w:val="bottom"/>
            <w:tcBorders>
              <w:top w:val="single" w:sz="8" w:color="DBDBDB"/>
            </w:tcBorders>
            <w:shd w:val="clear" w:color="auto" w:fill="DBDBDB"/>
          </w:tcPr>
          <w:p>
            <w:pPr>
              <w:spacing w:after="0"/>
              <w:rPr>
                <w:sz w:val="11"/>
                <w:szCs w:val="11"/>
                <w:color w:val="auto"/>
              </w:rPr>
            </w:pPr>
          </w:p>
        </w:tc>
        <w:tc>
          <w:tcPr>
            <w:tcW w:w="660" w:type="dxa"/>
            <w:vAlign w:val="bottom"/>
            <w:tcBorders>
              <w:top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60" w:type="dxa"/>
            <w:vAlign w:val="bottom"/>
            <w:tcBorders>
              <w:bottom w:val="single" w:sz="8" w:color="DBDBDB"/>
            </w:tcBorders>
            <w:gridSpan w:val="4"/>
          </w:tcPr>
          <w:p>
            <w:pPr>
              <w:ind w:left="220"/>
              <w:spacing w:after="0"/>
              <w:rPr>
                <w:sz w:val="20"/>
                <w:szCs w:val="20"/>
                <w:color w:val="auto"/>
              </w:rPr>
            </w:pPr>
            <w:r>
              <w:rPr>
                <w:rFonts w:ascii="Arial" w:cs="Arial" w:eastAsia="Arial" w:hAnsi="Arial"/>
                <w:sz w:val="11"/>
                <w:szCs w:val="11"/>
                <w:color w:val="auto"/>
                <w:w w:val="97"/>
              </w:rPr>
              <w:t>Accrued and other liabilities and dividends payable</w:t>
            </w:r>
          </w:p>
        </w:tc>
        <w:tc>
          <w:tcPr>
            <w:tcW w:w="140" w:type="dxa"/>
            <w:vAlign w:val="bottom"/>
            <w:tcBorders>
              <w:bottom w:val="single" w:sz="8" w:color="DBDBDB"/>
            </w:tcBorders>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60" w:type="dxa"/>
            <w:vAlign w:val="bottom"/>
            <w:tcBorders>
              <w:bottom w:val="single" w:sz="8" w:color="DBDBDB"/>
            </w:tcBorders>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DBDBDB"/>
            </w:tcBorders>
          </w:tcPr>
          <w:p>
            <w:pPr>
              <w:spacing w:after="0"/>
              <w:rPr>
                <w:sz w:val="12"/>
                <w:szCs w:val="12"/>
                <w:color w:val="auto"/>
              </w:rPr>
            </w:pPr>
          </w:p>
        </w:tc>
        <w:tc>
          <w:tcPr>
            <w:tcW w:w="600" w:type="dxa"/>
            <w:vAlign w:val="bottom"/>
            <w:tcBorders>
              <w:bottom w:val="single" w:sz="8" w:color="DBDBD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896,543</w:t>
            </w:r>
          </w:p>
        </w:tc>
        <w:tc>
          <w:tcPr>
            <w:tcW w:w="10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320,033</w:t>
            </w:r>
          </w:p>
        </w:tc>
        <w:tc>
          <w:tcPr>
            <w:tcW w:w="700" w:type="dxa"/>
            <w:vAlign w:val="bottom"/>
            <w:tcBorders>
              <w:bottom w:val="single" w:sz="8" w:color="DBDBDB"/>
            </w:tcBorders>
          </w:tcPr>
          <w:p>
            <w:pPr>
              <w:spacing w:after="0"/>
              <w:rPr>
                <w:sz w:val="12"/>
                <w:szCs w:val="12"/>
                <w:color w:val="auto"/>
              </w:rPr>
            </w:pPr>
          </w:p>
        </w:tc>
        <w:tc>
          <w:tcPr>
            <w:tcW w:w="500" w:type="dxa"/>
            <w:vAlign w:val="bottom"/>
            <w:tcBorders>
              <w:bottom w:val="single" w:sz="8" w:color="DBDBDB"/>
            </w:tcBorders>
          </w:tcPr>
          <w:p>
            <w:pPr>
              <w:spacing w:after="0"/>
              <w:rPr>
                <w:sz w:val="12"/>
                <w:szCs w:val="12"/>
                <w:color w:val="auto"/>
              </w:rPr>
            </w:pPr>
          </w:p>
        </w:tc>
        <w:tc>
          <w:tcPr>
            <w:tcW w:w="66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40" w:type="dxa"/>
            <w:vAlign w:val="bottom"/>
            <w:shd w:val="clear" w:color="auto" w:fill="DBDBDB"/>
          </w:tcPr>
          <w:p>
            <w:pPr>
              <w:spacing w:after="0"/>
              <w:rPr>
                <w:sz w:val="20"/>
                <w:szCs w:val="20"/>
                <w:color w:val="auto"/>
              </w:rPr>
            </w:pPr>
            <w:r>
              <w:rPr>
                <w:rFonts w:ascii="Arial" w:cs="Arial" w:eastAsia="Arial" w:hAnsi="Arial"/>
                <w:sz w:val="11"/>
                <w:szCs w:val="11"/>
                <w:color w:val="auto"/>
              </w:rPr>
              <w:t>Net assets</w:t>
            </w:r>
          </w:p>
        </w:tc>
        <w:tc>
          <w:tcPr>
            <w:tcW w:w="140" w:type="dxa"/>
            <w:vAlign w:val="bottom"/>
            <w:shd w:val="clear" w:color="auto" w:fill="DBDBDB"/>
          </w:tcPr>
          <w:p>
            <w:pPr>
              <w:spacing w:after="0"/>
              <w:rPr>
                <w:sz w:val="11"/>
                <w:szCs w:val="11"/>
                <w:color w:val="auto"/>
              </w:rPr>
            </w:pPr>
          </w:p>
        </w:tc>
        <w:tc>
          <w:tcPr>
            <w:tcW w:w="4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6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194,779</w:t>
            </w: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55,628</w:t>
            </w:r>
          </w:p>
        </w:tc>
        <w:tc>
          <w:tcPr>
            <w:tcW w:w="70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6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5" w:lineRule="exact"/>
        <w:rPr>
          <w:sz w:val="20"/>
          <w:szCs w:val="20"/>
          <w:color w:val="auto"/>
        </w:rPr>
      </w:pPr>
    </w:p>
    <w:p>
      <w:pPr>
        <w:ind w:left="188" w:hanging="188"/>
        <w:spacing w:after="0"/>
        <w:tabs>
          <w:tab w:leader="none" w:pos="188" w:val="left"/>
        </w:tabs>
        <w:numPr>
          <w:ilvl w:val="0"/>
          <w:numId w:val="12"/>
        </w:numPr>
        <w:rPr>
          <w:rFonts w:ascii="Arial" w:cs="Arial" w:eastAsia="Arial" w:hAnsi="Arial"/>
          <w:sz w:val="8"/>
          <w:szCs w:val="8"/>
          <w:color w:val="424242"/>
        </w:rPr>
      </w:pPr>
      <w:r>
        <w:rPr>
          <w:rFonts w:ascii="Arial" w:cs="Arial" w:eastAsia="Arial" w:hAnsi="Arial"/>
          <w:sz w:val="8"/>
          <w:szCs w:val="8"/>
          <w:color w:val="424242"/>
        </w:rPr>
        <w:t>Maturity dates are based on initial maturity dates or extended maturity dates, where applicable, the extension option is at the Company’s discretion and if the criteria to extend have been met as of the reporting date.</w:t>
      </w:r>
    </w:p>
    <w:p>
      <w:pPr>
        <w:spacing w:after="0" w:line="7" w:lineRule="exact"/>
        <w:rPr>
          <w:rFonts w:ascii="Arial" w:cs="Arial" w:eastAsia="Arial" w:hAnsi="Arial"/>
          <w:sz w:val="8"/>
          <w:szCs w:val="8"/>
          <w:color w:val="424242"/>
        </w:rPr>
      </w:pPr>
    </w:p>
    <w:p>
      <w:pPr>
        <w:ind w:left="208" w:right="120" w:hanging="208"/>
        <w:spacing w:after="0" w:line="234" w:lineRule="auto"/>
        <w:tabs>
          <w:tab w:leader="none" w:pos="188" w:val="left"/>
        </w:tabs>
        <w:numPr>
          <w:ilvl w:val="0"/>
          <w:numId w:val="12"/>
        </w:numPr>
        <w:rPr>
          <w:rFonts w:ascii="Arial" w:cs="Arial" w:eastAsia="Arial" w:hAnsi="Arial"/>
          <w:sz w:val="8"/>
          <w:szCs w:val="8"/>
          <w:color w:val="424242"/>
        </w:rPr>
      </w:pPr>
      <w:r>
        <w:rPr>
          <w:rFonts w:ascii="Arial" w:cs="Arial" w:eastAsia="Arial" w:hAnsi="Arial"/>
          <w:sz w:val="8"/>
          <w:szCs w:val="8"/>
          <w:color w:val="424242"/>
        </w:rPr>
        <w:t>In the third quarter of 2021, the Company entered into a credit facility to fund the acquisition of loans that are warehoused for a future securitization vehicle. In June 2022, DigitalBridge acquired the mobile telecommunications tower business of Telenet Group Holding NV, funded with debt financing and equity, including an equity commitment from the DigitalBridge balance sheet. The Company consolidates this investment within its financial statements. DigitalBridge intends to subsequently transfer its ownership to a fund affiliated with its investment management platform.</w:t>
      </w:r>
    </w:p>
    <w:p>
      <w:pPr>
        <w:ind w:left="188" w:hanging="188"/>
        <w:spacing w:after="0"/>
        <w:tabs>
          <w:tab w:leader="none" w:pos="188" w:val="left"/>
        </w:tabs>
        <w:numPr>
          <w:ilvl w:val="0"/>
          <w:numId w:val="12"/>
        </w:numPr>
        <w:rPr>
          <w:rFonts w:ascii="Arial" w:cs="Arial" w:eastAsia="Arial" w:hAnsi="Arial"/>
          <w:sz w:val="8"/>
          <w:szCs w:val="8"/>
          <w:color w:val="424242"/>
        </w:rPr>
      </w:pPr>
      <w:r>
        <w:rPr>
          <w:rFonts w:ascii="Arial" w:cs="Arial" w:eastAsia="Arial" w:hAnsi="Arial"/>
          <w:sz w:val="8"/>
          <w:szCs w:val="8"/>
          <w:color w:val="424242"/>
        </w:rPr>
        <w:t>Excluded from above presentation is debt of assets which are presented under discontinued operations.</w:t>
      </w:r>
    </w:p>
    <w:p>
      <w:pPr>
        <w:spacing w:after="0" w:line="3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12</w:t>
            </w:r>
          </w:p>
        </w:tc>
      </w:tr>
    </w:tbl>
    <w:p>
      <w:pPr>
        <w:sectPr>
          <w:pgSz w:w="11900" w:h="16838" w:orient="portrait"/>
          <w:cols w:equalWidth="0" w:num="1">
            <w:col w:w="11308"/>
          </w:cols>
          <w:pgMar w:left="292" w:top="130" w:right="299" w:bottom="1440" w:gutter="0" w:footer="0" w:header="0"/>
        </w:sectPr>
      </w:pPr>
    </w:p>
    <w:bookmarkStart w:id="21" w:name="page22"/>
    <w:bookmarkEnd w:id="21"/>
    <w:p>
      <w:pPr>
        <w:ind w:left="8"/>
        <w:spacing w:after="0"/>
        <w:rPr>
          <w:sz w:val="20"/>
          <w:szCs w:val="20"/>
          <w:color w:val="auto"/>
        </w:rPr>
      </w:pPr>
      <w:r>
        <w:rPr>
          <w:rFonts w:ascii="Arial" w:cs="Arial" w:eastAsia="Arial" w:hAnsi="Arial"/>
          <w:sz w:val="29"/>
          <w:szCs w:val="29"/>
          <w:color w:val="auto"/>
        </w:rPr>
        <w:t>IIIb. Capitalization - DBRG Series 2021-1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 in thousands, as of June 30, 2022)</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003366"/>
        </w:rPr>
        <w:t>Class A-2 Term Notes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60"/>
        </w:trPr>
        <w:tc>
          <w:tcPr>
            <w:tcW w:w="4080" w:type="dxa"/>
            <w:vAlign w:val="bottom"/>
            <w:shd w:val="clear" w:color="auto" w:fill="DBDBDB"/>
          </w:tcPr>
          <w:p>
            <w:pPr>
              <w:spacing w:after="0"/>
              <w:rPr>
                <w:sz w:val="20"/>
                <w:szCs w:val="20"/>
                <w:color w:val="auto"/>
              </w:rPr>
            </w:pPr>
            <w:r>
              <w:rPr>
                <w:rFonts w:ascii="Arial" w:cs="Arial" w:eastAsia="Arial" w:hAnsi="Arial"/>
                <w:sz w:val="11"/>
                <w:szCs w:val="11"/>
                <w:color w:val="auto"/>
              </w:rPr>
              <w:t>Amount outstanding</w:t>
            </w:r>
          </w:p>
        </w:tc>
        <w:tc>
          <w:tcPr>
            <w:tcW w:w="274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148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rPr>
              <w:t>300,000</w:t>
            </w:r>
          </w:p>
        </w:tc>
      </w:tr>
      <w:tr>
        <w:trPr>
          <w:trHeight w:val="179"/>
        </w:trPr>
        <w:tc>
          <w:tcPr>
            <w:tcW w:w="4080" w:type="dxa"/>
            <w:vAlign w:val="bottom"/>
          </w:tcPr>
          <w:p>
            <w:pPr>
              <w:spacing w:after="0"/>
              <w:rPr>
                <w:sz w:val="20"/>
                <w:szCs w:val="20"/>
                <w:color w:val="auto"/>
              </w:rPr>
            </w:pPr>
            <w:r>
              <w:rPr>
                <w:rFonts w:ascii="Arial" w:cs="Arial" w:eastAsia="Arial" w:hAnsi="Arial"/>
                <w:sz w:val="11"/>
                <w:szCs w:val="11"/>
                <w:color w:val="auto"/>
              </w:rPr>
              <w:t>Interest rate</w:t>
            </w:r>
          </w:p>
        </w:tc>
        <w:tc>
          <w:tcPr>
            <w:tcW w:w="2740" w:type="dxa"/>
            <w:vAlign w:val="bottom"/>
          </w:tcPr>
          <w:p>
            <w:pPr>
              <w:spacing w:after="0"/>
              <w:rPr>
                <w:sz w:val="15"/>
                <w:szCs w:val="15"/>
                <w:color w:val="auto"/>
              </w:rPr>
            </w:pPr>
          </w:p>
        </w:tc>
        <w:tc>
          <w:tcPr>
            <w:tcW w:w="1480" w:type="dxa"/>
            <w:vAlign w:val="bottom"/>
          </w:tcPr>
          <w:p>
            <w:pPr>
              <w:jc w:val="right"/>
              <w:ind w:right="126"/>
              <w:spacing w:after="0"/>
              <w:rPr>
                <w:sz w:val="20"/>
                <w:szCs w:val="20"/>
                <w:color w:val="auto"/>
              </w:rPr>
            </w:pPr>
            <w:r>
              <w:rPr>
                <w:rFonts w:ascii="Arial" w:cs="Arial" w:eastAsia="Arial" w:hAnsi="Arial"/>
                <w:sz w:val="11"/>
                <w:szCs w:val="11"/>
                <w:color w:val="auto"/>
              </w:rPr>
              <w:t>3.933 %</w:t>
            </w:r>
          </w:p>
        </w:tc>
      </w:tr>
      <w:tr>
        <w:trPr>
          <w:trHeight w:val="181"/>
        </w:trPr>
        <w:tc>
          <w:tcPr>
            <w:tcW w:w="4080" w:type="dxa"/>
            <w:vAlign w:val="bottom"/>
            <w:shd w:val="clear" w:color="auto" w:fill="DBDBDB"/>
          </w:tcPr>
          <w:p>
            <w:pPr>
              <w:spacing w:after="0"/>
              <w:rPr>
                <w:sz w:val="20"/>
                <w:szCs w:val="20"/>
                <w:color w:val="auto"/>
              </w:rPr>
            </w:pPr>
            <w:r>
              <w:rPr>
                <w:rFonts w:ascii="Arial" w:cs="Arial" w:eastAsia="Arial" w:hAnsi="Arial"/>
                <w:sz w:val="11"/>
                <w:szCs w:val="11"/>
                <w:color w:val="auto"/>
              </w:rPr>
              <w:t>Anticipated Repayment Date (ARD)</w:t>
            </w:r>
          </w:p>
        </w:tc>
        <w:tc>
          <w:tcPr>
            <w:tcW w:w="274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September 25, 2026</w:t>
            </w:r>
          </w:p>
        </w:tc>
      </w:tr>
      <w:tr>
        <w:trPr>
          <w:trHeight w:val="178"/>
        </w:trPr>
        <w:tc>
          <w:tcPr>
            <w:tcW w:w="4080" w:type="dxa"/>
            <w:vAlign w:val="bottom"/>
          </w:tcPr>
          <w:p>
            <w:pPr>
              <w:spacing w:after="0"/>
              <w:rPr>
                <w:sz w:val="20"/>
                <w:szCs w:val="20"/>
                <w:color w:val="auto"/>
              </w:rPr>
            </w:pPr>
            <w:r>
              <w:rPr>
                <w:rFonts w:ascii="Arial" w:cs="Arial" w:eastAsia="Arial" w:hAnsi="Arial"/>
                <w:sz w:val="11"/>
                <w:szCs w:val="11"/>
                <w:color w:val="auto"/>
              </w:rPr>
              <w:t>Kroll Rating</w:t>
            </w:r>
          </w:p>
        </w:tc>
        <w:tc>
          <w:tcPr>
            <w:tcW w:w="2740" w:type="dxa"/>
            <w:vAlign w:val="bottom"/>
          </w:tcPr>
          <w:p>
            <w:pPr>
              <w:spacing w:after="0"/>
              <w:rPr>
                <w:sz w:val="15"/>
                <w:szCs w:val="15"/>
                <w:color w:val="auto"/>
              </w:rPr>
            </w:pPr>
          </w:p>
        </w:tc>
        <w:tc>
          <w:tcPr>
            <w:tcW w:w="1480" w:type="dxa"/>
            <w:vAlign w:val="bottom"/>
          </w:tcPr>
          <w:p>
            <w:pPr>
              <w:jc w:val="right"/>
              <w:ind w:right="126"/>
              <w:spacing w:after="0"/>
              <w:rPr>
                <w:sz w:val="20"/>
                <w:szCs w:val="20"/>
                <w:color w:val="auto"/>
              </w:rPr>
            </w:pPr>
            <w:r>
              <w:rPr>
                <w:rFonts w:ascii="Arial" w:cs="Arial" w:eastAsia="Arial" w:hAnsi="Arial"/>
                <w:sz w:val="11"/>
                <w:szCs w:val="11"/>
                <w:color w:val="auto"/>
              </w:rPr>
              <w:t>BBB</w:t>
            </w:r>
          </w:p>
        </w:tc>
      </w:tr>
    </w:tbl>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003366"/>
        </w:rPr>
        <w:t>Class A-1 Variable Funding Notes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60"/>
        </w:trPr>
        <w:tc>
          <w:tcPr>
            <w:tcW w:w="6440" w:type="dxa"/>
            <w:vAlign w:val="bottom"/>
            <w:shd w:val="clear" w:color="auto" w:fill="DBDBDB"/>
          </w:tcPr>
          <w:p>
            <w:pPr>
              <w:spacing w:after="0"/>
              <w:rPr>
                <w:sz w:val="20"/>
                <w:szCs w:val="20"/>
                <w:color w:val="auto"/>
              </w:rPr>
            </w:pPr>
            <w:r>
              <w:rPr>
                <w:rFonts w:ascii="Arial" w:cs="Arial" w:eastAsia="Arial" w:hAnsi="Arial"/>
                <w:sz w:val="11"/>
                <w:szCs w:val="11"/>
                <w:color w:val="auto"/>
              </w:rPr>
              <w:t>Maximum Available</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300,000</w:t>
            </w:r>
          </w:p>
        </w:tc>
        <w:tc>
          <w:tcPr>
            <w:tcW w:w="180" w:type="dxa"/>
            <w:vAlign w:val="bottom"/>
            <w:shd w:val="clear" w:color="auto" w:fill="DBDBDB"/>
          </w:tcPr>
          <w:p>
            <w:pPr>
              <w:jc w:val="right"/>
              <w:spacing w:after="0"/>
              <w:rPr>
                <w:sz w:val="20"/>
                <w:szCs w:val="20"/>
                <w:color w:val="auto"/>
              </w:rPr>
            </w:pPr>
            <w:r>
              <w:rPr>
                <w:rFonts w:ascii="Arial" w:cs="Arial" w:eastAsia="Arial" w:hAnsi="Arial"/>
                <w:sz w:val="6"/>
                <w:szCs w:val="6"/>
                <w:color w:val="auto"/>
              </w:rPr>
              <w:t>(1)</w:t>
            </w:r>
          </w:p>
        </w:tc>
      </w:tr>
      <w:tr>
        <w:trPr>
          <w:trHeight w:val="179"/>
        </w:trPr>
        <w:tc>
          <w:tcPr>
            <w:tcW w:w="6440" w:type="dxa"/>
            <w:vAlign w:val="bottom"/>
          </w:tcPr>
          <w:p>
            <w:pPr>
              <w:spacing w:after="0"/>
              <w:rPr>
                <w:sz w:val="20"/>
                <w:szCs w:val="20"/>
                <w:color w:val="auto"/>
              </w:rPr>
            </w:pPr>
            <w:r>
              <w:rPr>
                <w:rFonts w:ascii="Arial" w:cs="Arial" w:eastAsia="Arial" w:hAnsi="Arial"/>
                <w:sz w:val="11"/>
                <w:szCs w:val="11"/>
                <w:color w:val="auto"/>
              </w:rPr>
              <w:t>Amount outstanding</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70,000</w:t>
            </w:r>
          </w:p>
        </w:tc>
        <w:tc>
          <w:tcPr>
            <w:tcW w:w="180" w:type="dxa"/>
            <w:vAlign w:val="bottom"/>
          </w:tcPr>
          <w:p>
            <w:pPr>
              <w:spacing w:after="0"/>
              <w:rPr>
                <w:sz w:val="15"/>
                <w:szCs w:val="15"/>
                <w:color w:val="auto"/>
              </w:rPr>
            </w:pPr>
          </w:p>
        </w:tc>
      </w:tr>
      <w:tr>
        <w:trPr>
          <w:trHeight w:val="181"/>
        </w:trPr>
        <w:tc>
          <w:tcPr>
            <w:tcW w:w="6440" w:type="dxa"/>
            <w:vAlign w:val="bottom"/>
            <w:shd w:val="clear" w:color="auto" w:fill="DBDBDB"/>
          </w:tcPr>
          <w:p>
            <w:pPr>
              <w:spacing w:after="0"/>
              <w:rPr>
                <w:sz w:val="20"/>
                <w:szCs w:val="20"/>
                <w:color w:val="auto"/>
              </w:rPr>
            </w:pPr>
            <w:r>
              <w:rPr>
                <w:rFonts w:ascii="Arial" w:cs="Arial" w:eastAsia="Arial" w:hAnsi="Arial"/>
                <w:sz w:val="11"/>
                <w:szCs w:val="11"/>
                <w:color w:val="auto"/>
              </w:rPr>
              <w:t>Interest Rate</w:t>
            </w:r>
          </w:p>
        </w:tc>
        <w:tc>
          <w:tcPr>
            <w:tcW w:w="2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1M Term SOFR + 3.00%</w:t>
            </w:r>
          </w:p>
        </w:tc>
        <w:tc>
          <w:tcPr>
            <w:tcW w:w="180" w:type="dxa"/>
            <w:vAlign w:val="bottom"/>
            <w:shd w:val="clear" w:color="auto" w:fill="DBDBDB"/>
          </w:tcPr>
          <w:p>
            <w:pPr>
              <w:jc w:val="right"/>
              <w:spacing w:after="0"/>
              <w:rPr>
                <w:sz w:val="20"/>
                <w:szCs w:val="20"/>
                <w:color w:val="auto"/>
              </w:rPr>
            </w:pPr>
            <w:r>
              <w:rPr>
                <w:rFonts w:ascii="Arial" w:cs="Arial" w:eastAsia="Arial" w:hAnsi="Arial"/>
                <w:sz w:val="6"/>
                <w:szCs w:val="6"/>
                <w:color w:val="auto"/>
              </w:rPr>
              <w:t>(1)</w:t>
            </w:r>
          </w:p>
        </w:tc>
      </w:tr>
      <w:tr>
        <w:trPr>
          <w:trHeight w:val="225"/>
        </w:trPr>
        <w:tc>
          <w:tcPr>
            <w:tcW w:w="6440" w:type="dxa"/>
            <w:vAlign w:val="bottom"/>
          </w:tcPr>
          <w:p>
            <w:pPr>
              <w:spacing w:after="0"/>
              <w:rPr>
                <w:sz w:val="20"/>
                <w:szCs w:val="20"/>
                <w:color w:val="auto"/>
              </w:rPr>
            </w:pPr>
            <w:r>
              <w:rPr>
                <w:rFonts w:ascii="Arial" w:cs="Arial" w:eastAsia="Arial" w:hAnsi="Arial"/>
                <w:sz w:val="11"/>
                <w:szCs w:val="11"/>
                <w:color w:val="auto"/>
              </w:rPr>
              <w:t>Fully extended Anticipated Repayment Date (ARD)</w:t>
            </w:r>
            <w:r>
              <w:rPr>
                <w:rFonts w:ascii="Arial" w:cs="Arial" w:eastAsia="Arial" w:hAnsi="Arial"/>
                <w:sz w:val="14"/>
                <w:szCs w:val="14"/>
                <w:color w:val="auto"/>
                <w:vertAlign w:val="superscript"/>
              </w:rPr>
              <w:t>(2)</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September 25, 2026</w:t>
            </w:r>
          </w:p>
        </w:tc>
        <w:tc>
          <w:tcPr>
            <w:tcW w:w="180" w:type="dxa"/>
            <w:vAlign w:val="bottom"/>
          </w:tcPr>
          <w:p>
            <w:pPr>
              <w:spacing w:after="0"/>
              <w:rPr>
                <w:sz w:val="19"/>
                <w:szCs w:val="19"/>
                <w:color w:val="auto"/>
              </w:rPr>
            </w:pPr>
          </w:p>
        </w:tc>
      </w:tr>
      <w:tr>
        <w:trPr>
          <w:trHeight w:val="315"/>
        </w:trPr>
        <w:tc>
          <w:tcPr>
            <w:tcW w:w="644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Financial covenants:</w:t>
            </w: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w w:val="97"/>
              </w:rPr>
              <w:t>Covenant level</w:t>
            </w:r>
          </w:p>
        </w:tc>
        <w:tc>
          <w:tcPr>
            <w:tcW w:w="180" w:type="dxa"/>
            <w:vAlign w:val="bottom"/>
            <w:tcBorders>
              <w:bottom w:val="single" w:sz="8" w:color="DBDBDB"/>
            </w:tcBorders>
          </w:tcPr>
          <w:p>
            <w:pPr>
              <w:spacing w:after="0"/>
              <w:rPr>
                <w:sz w:val="24"/>
                <w:szCs w:val="24"/>
                <w:color w:val="auto"/>
              </w:rPr>
            </w:pPr>
          </w:p>
        </w:tc>
      </w:tr>
      <w:tr>
        <w:trPr>
          <w:trHeight w:val="160"/>
        </w:trPr>
        <w:tc>
          <w:tcPr>
            <w:tcW w:w="64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Debt Service Coverage Ratio</w:t>
            </w:r>
            <w:r>
              <w:rPr>
                <w:rFonts w:ascii="Arial" w:cs="Arial" w:eastAsia="Arial" w:hAnsi="Arial"/>
                <w:sz w:val="14"/>
                <w:szCs w:val="14"/>
                <w:color w:val="auto"/>
                <w:vertAlign w:val="superscript"/>
              </w:rPr>
              <w:t>(3)</w:t>
            </w:r>
          </w:p>
        </w:tc>
        <w:tc>
          <w:tcPr>
            <w:tcW w:w="260" w:type="dxa"/>
            <w:vAlign w:val="bottom"/>
            <w:shd w:val="clear" w:color="auto" w:fill="DBDBDB"/>
          </w:tcPr>
          <w:p>
            <w:pPr>
              <w:spacing w:after="0"/>
              <w:rPr>
                <w:sz w:val="13"/>
                <w:szCs w:val="13"/>
                <w:color w:val="auto"/>
              </w:rPr>
            </w:pPr>
          </w:p>
        </w:tc>
        <w:tc>
          <w:tcPr>
            <w:tcW w:w="1420" w:type="dxa"/>
            <w:vAlign w:val="bottom"/>
            <w:shd w:val="clear" w:color="auto" w:fill="DBDBDB"/>
          </w:tcPr>
          <w:p>
            <w:pPr>
              <w:jc w:val="center"/>
              <w:ind w:right="186"/>
              <w:spacing w:after="0"/>
              <w:rPr>
                <w:sz w:val="20"/>
                <w:szCs w:val="20"/>
                <w:color w:val="auto"/>
              </w:rPr>
            </w:pPr>
            <w:r>
              <w:rPr>
                <w:rFonts w:ascii="Arial" w:cs="Arial" w:eastAsia="Arial" w:hAnsi="Arial"/>
                <w:sz w:val="11"/>
                <w:szCs w:val="11"/>
                <w:color w:val="auto"/>
                <w:w w:val="99"/>
              </w:rPr>
              <w:t>Minimum 1.75x</w:t>
            </w:r>
          </w:p>
        </w:tc>
        <w:tc>
          <w:tcPr>
            <w:tcW w:w="180" w:type="dxa"/>
            <w:vAlign w:val="bottom"/>
            <w:shd w:val="clear" w:color="auto" w:fill="DBDBDB"/>
          </w:tcPr>
          <w:p>
            <w:pPr>
              <w:spacing w:after="0"/>
              <w:rPr>
                <w:sz w:val="13"/>
                <w:szCs w:val="13"/>
                <w:color w:val="auto"/>
              </w:rPr>
            </w:pPr>
          </w:p>
        </w:tc>
      </w:tr>
      <w:tr>
        <w:trPr>
          <w:trHeight w:val="180"/>
        </w:trPr>
        <w:tc>
          <w:tcPr>
            <w:tcW w:w="6440" w:type="dxa"/>
            <w:vAlign w:val="bottom"/>
          </w:tcPr>
          <w:p>
            <w:pPr>
              <w:ind w:left="120"/>
              <w:spacing w:after="0"/>
              <w:rPr>
                <w:sz w:val="20"/>
                <w:szCs w:val="20"/>
                <w:color w:val="auto"/>
              </w:rPr>
            </w:pPr>
            <w:r>
              <w:rPr>
                <w:rFonts w:ascii="Arial" w:cs="Arial" w:eastAsia="Arial" w:hAnsi="Arial"/>
                <w:sz w:val="11"/>
                <w:szCs w:val="11"/>
                <w:color w:val="auto"/>
              </w:rPr>
              <w:t>Loan to Value Ratio</w:t>
            </w:r>
            <w:r>
              <w:rPr>
                <w:rFonts w:ascii="Arial" w:cs="Arial" w:eastAsia="Arial" w:hAnsi="Arial"/>
                <w:sz w:val="14"/>
                <w:szCs w:val="14"/>
                <w:color w:val="auto"/>
                <w:vertAlign w:val="superscript"/>
              </w:rPr>
              <w:t>(4)</w:t>
            </w:r>
          </w:p>
        </w:tc>
        <w:tc>
          <w:tcPr>
            <w:tcW w:w="260" w:type="dxa"/>
            <w:vAlign w:val="bottom"/>
          </w:tcPr>
          <w:p>
            <w:pPr>
              <w:spacing w:after="0"/>
              <w:rPr>
                <w:sz w:val="15"/>
                <w:szCs w:val="15"/>
                <w:color w:val="auto"/>
              </w:rPr>
            </w:pPr>
          </w:p>
        </w:tc>
        <w:tc>
          <w:tcPr>
            <w:tcW w:w="1420" w:type="dxa"/>
            <w:vAlign w:val="bottom"/>
          </w:tcPr>
          <w:p>
            <w:pPr>
              <w:jc w:val="center"/>
              <w:ind w:right="206"/>
              <w:spacing w:after="0"/>
              <w:rPr>
                <w:sz w:val="20"/>
                <w:szCs w:val="20"/>
                <w:color w:val="auto"/>
              </w:rPr>
            </w:pPr>
            <w:r>
              <w:rPr>
                <w:rFonts w:ascii="Arial" w:cs="Arial" w:eastAsia="Arial" w:hAnsi="Arial"/>
                <w:sz w:val="11"/>
                <w:szCs w:val="11"/>
                <w:color w:val="auto"/>
                <w:w w:val="97"/>
              </w:rPr>
              <w:t>Less than 35.0%</w:t>
            </w:r>
          </w:p>
        </w:tc>
        <w:tc>
          <w:tcPr>
            <w:tcW w:w="180" w:type="dxa"/>
            <w:vAlign w:val="bottom"/>
          </w:tcPr>
          <w:p>
            <w:pPr>
              <w:spacing w:after="0"/>
              <w:rPr>
                <w:sz w:val="15"/>
                <w:szCs w:val="15"/>
                <w:color w:val="auto"/>
              </w:rPr>
            </w:pPr>
          </w:p>
        </w:tc>
      </w:tr>
      <w:tr>
        <w:trPr>
          <w:trHeight w:val="180"/>
        </w:trPr>
        <w:tc>
          <w:tcPr>
            <w:tcW w:w="6440" w:type="dxa"/>
            <w:vAlign w:val="bottom"/>
            <w:shd w:val="clear" w:color="auto" w:fill="DBDBDB"/>
          </w:tcPr>
          <w:p>
            <w:pPr>
              <w:spacing w:after="0"/>
              <w:rPr>
                <w:sz w:val="20"/>
                <w:szCs w:val="20"/>
                <w:color w:val="auto"/>
              </w:rPr>
            </w:pPr>
            <w:r>
              <w:rPr>
                <w:rFonts w:ascii="Arial" w:cs="Arial" w:eastAsia="Arial" w:hAnsi="Arial"/>
                <w:sz w:val="11"/>
                <w:szCs w:val="11"/>
                <w:color w:val="auto"/>
              </w:rPr>
              <w:t>Investment Management Expense Ratio</w:t>
            </w:r>
            <w:r>
              <w:rPr>
                <w:rFonts w:ascii="Arial" w:cs="Arial" w:eastAsia="Arial" w:hAnsi="Arial"/>
                <w:sz w:val="14"/>
                <w:szCs w:val="14"/>
                <w:color w:val="auto"/>
                <w:vertAlign w:val="superscript"/>
              </w:rPr>
              <w:t>(5)</w:t>
            </w:r>
          </w:p>
        </w:tc>
        <w:tc>
          <w:tcPr>
            <w:tcW w:w="260" w:type="dxa"/>
            <w:vAlign w:val="bottom"/>
            <w:shd w:val="clear" w:color="auto" w:fill="DBDBDB"/>
          </w:tcPr>
          <w:p>
            <w:pPr>
              <w:spacing w:after="0"/>
              <w:rPr>
                <w:sz w:val="15"/>
                <w:szCs w:val="15"/>
                <w:color w:val="auto"/>
              </w:rPr>
            </w:pPr>
          </w:p>
        </w:tc>
        <w:tc>
          <w:tcPr>
            <w:tcW w:w="1420" w:type="dxa"/>
            <w:vAlign w:val="bottom"/>
            <w:shd w:val="clear" w:color="auto" w:fill="DBDBDB"/>
          </w:tcPr>
          <w:p>
            <w:pPr>
              <w:jc w:val="center"/>
              <w:ind w:right="206"/>
              <w:spacing w:after="0"/>
              <w:rPr>
                <w:sz w:val="20"/>
                <w:szCs w:val="20"/>
                <w:color w:val="auto"/>
              </w:rPr>
            </w:pPr>
            <w:r>
              <w:rPr>
                <w:rFonts w:ascii="Arial" w:cs="Arial" w:eastAsia="Arial" w:hAnsi="Arial"/>
                <w:sz w:val="11"/>
                <w:szCs w:val="11"/>
                <w:color w:val="auto"/>
                <w:w w:val="97"/>
              </w:rPr>
              <w:t>Less than 60.0%</w:t>
            </w:r>
          </w:p>
        </w:tc>
        <w:tc>
          <w:tcPr>
            <w:tcW w:w="180" w:type="dxa"/>
            <w:vAlign w:val="bottom"/>
            <w:shd w:val="clear" w:color="auto" w:fill="DBDBDB"/>
          </w:tcPr>
          <w:p>
            <w:pPr>
              <w:spacing w:after="0"/>
              <w:rPr>
                <w:sz w:val="15"/>
                <w:szCs w:val="15"/>
                <w:color w:val="auto"/>
              </w:rPr>
            </w:pPr>
          </w:p>
        </w:tc>
      </w:tr>
      <w:tr>
        <w:trPr>
          <w:trHeight w:val="178"/>
        </w:trPr>
        <w:tc>
          <w:tcPr>
            <w:tcW w:w="6440" w:type="dxa"/>
            <w:vAlign w:val="bottom"/>
          </w:tcPr>
          <w:p>
            <w:pPr>
              <w:spacing w:after="0"/>
              <w:rPr>
                <w:sz w:val="20"/>
                <w:szCs w:val="20"/>
                <w:color w:val="auto"/>
              </w:rPr>
            </w:pPr>
            <w:r>
              <w:rPr>
                <w:rFonts w:ascii="Arial" w:cs="Arial" w:eastAsia="Arial" w:hAnsi="Arial"/>
                <w:sz w:val="11"/>
                <w:szCs w:val="11"/>
                <w:color w:val="auto"/>
              </w:rPr>
              <w:t>Company status: As of August 3, 2022, DBRG is meeting all required covenant threshold levels.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8" w:lineRule="exact"/>
        <w:rPr>
          <w:sz w:val="20"/>
          <w:szCs w:val="20"/>
          <w:color w:val="auto"/>
        </w:rPr>
      </w:pPr>
    </w:p>
    <w:p>
      <w:pPr>
        <w:ind w:left="208" w:right="80" w:hanging="208"/>
        <w:spacing w:after="0" w:line="266" w:lineRule="auto"/>
        <w:tabs>
          <w:tab w:leader="none" w:pos="188" w:val="left"/>
        </w:tabs>
        <w:numPr>
          <w:ilvl w:val="0"/>
          <w:numId w:val="13"/>
        </w:numPr>
        <w:rPr>
          <w:rFonts w:ascii="Arial" w:cs="Arial" w:eastAsia="Arial" w:hAnsi="Arial"/>
          <w:sz w:val="8"/>
          <w:szCs w:val="8"/>
          <w:color w:val="424242"/>
        </w:rPr>
      </w:pPr>
      <w:r>
        <w:rPr>
          <w:rFonts w:ascii="Arial" w:cs="Arial" w:eastAsia="Arial" w:hAnsi="Arial"/>
          <w:sz w:val="8"/>
          <w:szCs w:val="8"/>
          <w:color w:val="424242"/>
        </w:rPr>
        <w:t>Effective April 1, 2022, the maximum principal amount of the Series 2021-1 Class A-1 Variable Funding Notes increased to $300 million and Term SOFR replaced LIBOR as the benchmark for accruing interest on the Series 2021-1 Class A-1 Variable Funding Notes. 1 month term SOFR is adjusted to include 0.11448% as defined in the Amendment No.1 to Class A-1 Note Purchase Agreement.</w:t>
      </w:r>
    </w:p>
    <w:p>
      <w:pPr>
        <w:ind w:left="208" w:right="20" w:hanging="208"/>
        <w:spacing w:after="0" w:line="262" w:lineRule="auto"/>
        <w:tabs>
          <w:tab w:leader="none" w:pos="183" w:val="left"/>
        </w:tabs>
        <w:numPr>
          <w:ilvl w:val="0"/>
          <w:numId w:val="13"/>
        </w:numPr>
        <w:rPr>
          <w:rFonts w:ascii="Arial" w:cs="Arial" w:eastAsia="Arial" w:hAnsi="Arial"/>
          <w:sz w:val="8"/>
          <w:szCs w:val="8"/>
          <w:color w:val="424242"/>
        </w:rPr>
      </w:pPr>
      <w:r>
        <w:rPr>
          <w:rFonts w:ascii="Arial" w:cs="Arial" w:eastAsia="Arial" w:hAnsi="Arial"/>
          <w:sz w:val="8"/>
          <w:szCs w:val="8"/>
          <w:color w:val="424242"/>
        </w:rPr>
        <w:t>Anticipated Repayment Date is September 25, 2026 including two 1-year extension options subject to 1) either rating agency confirmation and consent of VFN noteholders are obtained or DSCR exceeding 1.75x, 2) term notes rating not less than BBB- 3) the payment of a 0.05% extension fee and 4) other customary conditions.</w:t>
      </w:r>
    </w:p>
    <w:p>
      <w:pPr>
        <w:ind w:left="188" w:hanging="188"/>
        <w:spacing w:after="0"/>
        <w:tabs>
          <w:tab w:leader="none" w:pos="188" w:val="left"/>
        </w:tabs>
        <w:numPr>
          <w:ilvl w:val="0"/>
          <w:numId w:val="13"/>
        </w:numPr>
        <w:rPr>
          <w:rFonts w:ascii="Arial" w:cs="Arial" w:eastAsia="Arial" w:hAnsi="Arial"/>
          <w:sz w:val="8"/>
          <w:szCs w:val="8"/>
          <w:color w:val="424242"/>
        </w:rPr>
      </w:pPr>
      <w:r>
        <w:rPr>
          <w:rFonts w:ascii="Arial" w:cs="Arial" w:eastAsia="Arial" w:hAnsi="Arial"/>
          <w:sz w:val="8"/>
          <w:szCs w:val="8"/>
          <w:color w:val="424242"/>
        </w:rPr>
        <w:t>Debt service coverage ratio covenant thresholds: minimum of 1.75x for ability to borrow from the VFN; below 1.75x to 1.50x = 50% cash trap; below 1.50x to 1.20x = 100% cash trap; and below 1.20x = cash sweep.</w:t>
      </w:r>
    </w:p>
    <w:p>
      <w:pPr>
        <w:spacing w:after="0" w:line="16" w:lineRule="exact"/>
        <w:rPr>
          <w:rFonts w:ascii="Arial" w:cs="Arial" w:eastAsia="Arial" w:hAnsi="Arial"/>
          <w:sz w:val="8"/>
          <w:szCs w:val="8"/>
          <w:color w:val="424242"/>
        </w:rPr>
      </w:pPr>
    </w:p>
    <w:p>
      <w:pPr>
        <w:ind w:left="188" w:hanging="188"/>
        <w:spacing w:after="0"/>
        <w:tabs>
          <w:tab w:leader="none" w:pos="188" w:val="left"/>
        </w:tabs>
        <w:numPr>
          <w:ilvl w:val="0"/>
          <w:numId w:val="13"/>
        </w:numPr>
        <w:rPr>
          <w:rFonts w:ascii="Arial" w:cs="Arial" w:eastAsia="Arial" w:hAnsi="Arial"/>
          <w:sz w:val="8"/>
          <w:szCs w:val="8"/>
          <w:color w:val="424242"/>
        </w:rPr>
      </w:pPr>
      <w:r>
        <w:rPr>
          <w:rFonts w:ascii="Arial" w:cs="Arial" w:eastAsia="Arial" w:hAnsi="Arial"/>
          <w:sz w:val="8"/>
          <w:szCs w:val="8"/>
          <w:color w:val="424242"/>
        </w:rPr>
        <w:t>100% cash sweep until LTV is less than 35%.</w:t>
      </w:r>
    </w:p>
    <w:p>
      <w:pPr>
        <w:spacing w:after="0" w:line="23" w:lineRule="exact"/>
        <w:rPr>
          <w:rFonts w:ascii="Arial" w:cs="Arial" w:eastAsia="Arial" w:hAnsi="Arial"/>
          <w:sz w:val="8"/>
          <w:szCs w:val="8"/>
          <w:color w:val="424242"/>
        </w:rPr>
      </w:pPr>
    </w:p>
    <w:p>
      <w:pPr>
        <w:ind w:left="188" w:hanging="188"/>
        <w:spacing w:after="0"/>
        <w:tabs>
          <w:tab w:leader="none" w:pos="188" w:val="left"/>
        </w:tabs>
        <w:numPr>
          <w:ilvl w:val="0"/>
          <w:numId w:val="13"/>
        </w:numPr>
        <w:rPr>
          <w:rFonts w:ascii="Arial" w:cs="Arial" w:eastAsia="Arial" w:hAnsi="Arial"/>
          <w:sz w:val="8"/>
          <w:szCs w:val="8"/>
          <w:color w:val="424242"/>
        </w:rPr>
      </w:pPr>
      <w:r>
        <w:rPr>
          <w:rFonts w:ascii="Arial" w:cs="Arial" w:eastAsia="Arial" w:hAnsi="Arial"/>
          <w:sz w:val="8"/>
          <w:szCs w:val="8"/>
          <w:color w:val="424242"/>
        </w:rPr>
        <w:t>50% cash sweep until ratio is less than 60%.</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13</w:t>
            </w:r>
          </w:p>
        </w:tc>
      </w:tr>
    </w:tbl>
    <w:p>
      <w:pPr>
        <w:sectPr>
          <w:pgSz w:w="11900" w:h="16838" w:orient="portrait"/>
          <w:cols w:equalWidth="0" w:num="1">
            <w:col w:w="11308"/>
          </w:cols>
          <w:pgMar w:left="292" w:top="130" w:right="299" w:bottom="1440" w:gutter="0" w:footer="0" w:header="0"/>
        </w:sectPr>
      </w:pPr>
    </w:p>
    <w:bookmarkStart w:id="22" w:name="page23"/>
    <w:bookmarkEnd w:id="22"/>
    <w:p>
      <w:pPr>
        <w:ind w:left="8"/>
        <w:spacing w:after="0"/>
        <w:rPr>
          <w:sz w:val="20"/>
          <w:szCs w:val="20"/>
          <w:color w:val="auto"/>
        </w:rPr>
      </w:pPr>
      <w:r>
        <w:rPr>
          <w:rFonts w:ascii="Arial" w:cs="Arial" w:eastAsia="Arial" w:hAnsi="Arial"/>
          <w:sz w:val="29"/>
          <w:szCs w:val="29"/>
          <w:color w:val="auto"/>
        </w:rPr>
        <w:t>IIIc. Capitalization - Convertible/Exchangeable Notes &amp; Perpetual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 in thousands; except per share data; as of June 30, 2022)</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003366"/>
        </w:rPr>
        <w:t>Convertible/exchangeable debt</w:t>
      </w:r>
    </w:p>
    <w:tbl>
      <w:tblPr>
        <w:tblLayout w:type="fixed"/>
        <w:tblInd w:w="8" w:type="dxa"/>
        <w:tblCellMar>
          <w:top w:w="0" w:type="dxa"/>
          <w:left w:w="0" w:type="dxa"/>
          <w:bottom w:w="0" w:type="dxa"/>
          <w:right w:w="0" w:type="dxa"/>
        </w:tblCellMar>
      </w:tblPr>
      <w:tr>
        <w:trPr>
          <w:trHeight w:val="125"/>
        </w:trPr>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98"/>
              </w:rPr>
              <w:t>Conversion price (per</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Conversion</w:t>
            </w:r>
          </w:p>
        </w:tc>
        <w:tc>
          <w:tcPr>
            <w:tcW w:w="0" w:type="dxa"/>
            <w:vAlign w:val="bottom"/>
          </w:tcPr>
          <w:p>
            <w:pPr>
              <w:spacing w:after="0"/>
              <w:rPr>
                <w:sz w:val="1"/>
                <w:szCs w:val="1"/>
                <w:color w:val="auto"/>
              </w:rPr>
            </w:pPr>
          </w:p>
        </w:tc>
      </w:tr>
      <w:tr>
        <w:trPr>
          <w:trHeight w:val="108"/>
        </w:trPr>
        <w:tc>
          <w:tcPr>
            <w:tcW w:w="3740" w:type="dxa"/>
            <w:vAlign w:val="bottom"/>
            <w:vMerge w:val="restart"/>
          </w:tcPr>
          <w:p>
            <w:pPr>
              <w:ind w:left="1580"/>
              <w:spacing w:after="0"/>
              <w:rPr>
                <w:sz w:val="20"/>
                <w:szCs w:val="20"/>
                <w:color w:val="auto"/>
              </w:rPr>
            </w:pPr>
            <w:r>
              <w:rPr>
                <w:rFonts w:ascii="Arial" w:cs="Arial" w:eastAsia="Arial" w:hAnsi="Arial"/>
                <w:sz w:val="11"/>
                <w:szCs w:val="11"/>
                <w:b w:val="1"/>
                <w:bCs w:val="1"/>
                <w:color w:val="auto"/>
              </w:rPr>
              <w:t>Description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Outstanding principal</w:t>
            </w:r>
          </w:p>
        </w:tc>
        <w:tc>
          <w:tcPr>
            <w:tcW w:w="8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Final due date</w:t>
            </w:r>
            <w:r>
              <w:rPr>
                <w:rFonts w:ascii="Arial" w:cs="Arial" w:eastAsia="Arial" w:hAnsi="Arial"/>
                <w:sz w:val="14"/>
                <w:szCs w:val="14"/>
                <w:b w:val="1"/>
                <w:bCs w:val="1"/>
                <w:color w:val="auto"/>
                <w:w w:val="95"/>
                <w:vertAlign w:val="superscript"/>
              </w:rPr>
              <w:t>(1)</w:t>
            </w:r>
          </w:p>
        </w:tc>
        <w:tc>
          <w:tcPr>
            <w:tcW w:w="8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Interest rate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8"/>
              </w:rPr>
              <w:t>share of common</w:t>
            </w:r>
          </w:p>
        </w:tc>
        <w:tc>
          <w:tcPr>
            <w:tcW w:w="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Conversion ratio</w:t>
            </w:r>
          </w:p>
        </w:tc>
        <w:tc>
          <w:tcPr>
            <w:tcW w:w="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7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8"/>
              </w:rPr>
              <w:t>stock)</w:t>
            </w:r>
          </w:p>
        </w:tc>
        <w:tc>
          <w:tcPr>
            <w:tcW w:w="8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0" w:type="dxa"/>
            <w:vAlign w:val="bottom"/>
          </w:tcPr>
          <w:p>
            <w:pPr>
              <w:spacing w:after="0"/>
              <w:rPr>
                <w:sz w:val="1"/>
                <w:szCs w:val="1"/>
                <w:color w:val="auto"/>
              </w:rPr>
            </w:pPr>
          </w:p>
        </w:tc>
      </w:tr>
      <w:tr>
        <w:trPr>
          <w:trHeight w:val="133"/>
        </w:trPr>
        <w:tc>
          <w:tcPr>
            <w:tcW w:w="3740" w:type="dxa"/>
            <w:vAlign w:val="bottom"/>
            <w:shd w:val="clear" w:color="auto" w:fill="DBDBDB"/>
          </w:tcPr>
          <w:p>
            <w:pPr>
              <w:spacing w:after="0"/>
              <w:rPr>
                <w:sz w:val="20"/>
                <w:szCs w:val="20"/>
                <w:color w:val="auto"/>
              </w:rPr>
            </w:pPr>
            <w:r>
              <w:rPr>
                <w:rFonts w:ascii="Arial" w:cs="Arial" w:eastAsia="Arial" w:hAnsi="Arial"/>
                <w:sz w:val="11"/>
                <w:szCs w:val="11"/>
                <w:color w:val="auto"/>
              </w:rPr>
              <w:t>5.75% Exchangeable senior notes</w:t>
            </w:r>
          </w:p>
        </w:tc>
        <w:tc>
          <w:tcPr>
            <w:tcW w:w="80" w:type="dxa"/>
            <w:vAlign w:val="bottom"/>
          </w:tcPr>
          <w:p>
            <w:pPr>
              <w:spacing w:after="0"/>
              <w:rPr>
                <w:sz w:val="11"/>
                <w:szCs w:val="11"/>
                <w:color w:val="auto"/>
              </w:rPr>
            </w:pPr>
          </w:p>
        </w:tc>
        <w:tc>
          <w:tcPr>
            <w:tcW w:w="12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78,422</w:t>
            </w:r>
          </w:p>
        </w:tc>
        <w:tc>
          <w:tcPr>
            <w:tcW w:w="80" w:type="dxa"/>
            <w:vAlign w:val="bottom"/>
          </w:tcPr>
          <w:p>
            <w:pPr>
              <w:spacing w:after="0"/>
              <w:rPr>
                <w:sz w:val="11"/>
                <w:szCs w:val="11"/>
                <w:color w:val="auto"/>
              </w:rPr>
            </w:pPr>
          </w:p>
        </w:tc>
        <w:tc>
          <w:tcPr>
            <w:tcW w:w="150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July 15, 2025</w:t>
            </w:r>
          </w:p>
        </w:tc>
        <w:tc>
          <w:tcPr>
            <w:tcW w:w="80" w:type="dxa"/>
            <w:vAlign w:val="bottom"/>
          </w:tcPr>
          <w:p>
            <w:pPr>
              <w:spacing w:after="0"/>
              <w:rPr>
                <w:sz w:val="11"/>
                <w:szCs w:val="11"/>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5.75% fixed</w:t>
            </w:r>
          </w:p>
        </w:tc>
        <w:tc>
          <w:tcPr>
            <w:tcW w:w="80" w:type="dxa"/>
            <w:vAlign w:val="bottom"/>
          </w:tcPr>
          <w:p>
            <w:pPr>
              <w:spacing w:after="0"/>
              <w:rPr>
                <w:sz w:val="11"/>
                <w:szCs w:val="11"/>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2.30</w:t>
            </w:r>
          </w:p>
        </w:tc>
        <w:tc>
          <w:tcPr>
            <w:tcW w:w="80" w:type="dxa"/>
            <w:vAlign w:val="bottom"/>
          </w:tcPr>
          <w:p>
            <w:pPr>
              <w:spacing w:after="0"/>
              <w:rPr>
                <w:sz w:val="11"/>
                <w:szCs w:val="1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434.7826</w:t>
            </w:r>
          </w:p>
        </w:tc>
        <w:tc>
          <w:tcPr>
            <w:tcW w:w="80" w:type="dxa"/>
            <w:vAlign w:val="bottom"/>
          </w:tcPr>
          <w:p>
            <w:pPr>
              <w:spacing w:after="0"/>
              <w:rPr>
                <w:sz w:val="11"/>
                <w:szCs w:val="11"/>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34,097</w:t>
            </w:r>
          </w:p>
        </w:tc>
        <w:tc>
          <w:tcPr>
            <w:tcW w:w="0" w:type="dxa"/>
            <w:vAlign w:val="bottom"/>
          </w:tcPr>
          <w:p>
            <w:pPr>
              <w:spacing w:after="0"/>
              <w:rPr>
                <w:sz w:val="1"/>
                <w:szCs w:val="1"/>
                <w:color w:val="auto"/>
              </w:rPr>
            </w:pPr>
          </w:p>
        </w:tc>
      </w:tr>
      <w:tr>
        <w:trPr>
          <w:trHeight w:val="143"/>
        </w:trPr>
        <w:tc>
          <w:tcPr>
            <w:tcW w:w="3740" w:type="dxa"/>
            <w:vAlign w:val="bottom"/>
          </w:tcPr>
          <w:p>
            <w:pPr>
              <w:spacing w:after="0"/>
              <w:rPr>
                <w:sz w:val="20"/>
                <w:szCs w:val="20"/>
                <w:color w:val="auto"/>
              </w:rPr>
            </w:pPr>
            <w:r>
              <w:rPr>
                <w:rFonts w:ascii="Arial" w:cs="Arial" w:eastAsia="Arial" w:hAnsi="Arial"/>
                <w:sz w:val="11"/>
                <w:szCs w:val="11"/>
                <w:color w:val="auto"/>
              </w:rPr>
              <w:t>5.0% Convertible senior notes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200,000</w:t>
            </w:r>
          </w:p>
        </w:tc>
        <w:tc>
          <w:tcPr>
            <w:tcW w:w="8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1"/>
                <w:szCs w:val="11"/>
                <w:color w:val="auto"/>
                <w:w w:val="97"/>
              </w:rPr>
              <w:t>April 15, 2023</w:t>
            </w:r>
          </w:p>
        </w:tc>
        <w:tc>
          <w:tcPr>
            <w:tcW w:w="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97"/>
              </w:rPr>
              <w:t>5.00% fixed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15.76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63.4700</w:t>
            </w:r>
          </w:p>
        </w:tc>
        <w:tc>
          <w:tcPr>
            <w:tcW w:w="1040" w:type="dxa"/>
            <w:vAlign w:val="bottom"/>
            <w:gridSpan w:val="2"/>
          </w:tcPr>
          <w:p>
            <w:pPr>
              <w:jc w:val="right"/>
              <w:ind w:right="6"/>
              <w:spacing w:after="0"/>
              <w:rPr>
                <w:sz w:val="20"/>
                <w:szCs w:val="20"/>
                <w:color w:val="auto"/>
              </w:rPr>
            </w:pPr>
            <w:r>
              <w:rPr>
                <w:rFonts w:ascii="Arial" w:cs="Arial" w:eastAsia="Arial" w:hAnsi="Arial"/>
                <w:sz w:val="11"/>
                <w:szCs w:val="11"/>
                <w:color w:val="auto"/>
              </w:rPr>
              <w:t>12,694</w:t>
            </w:r>
          </w:p>
        </w:tc>
        <w:tc>
          <w:tcPr>
            <w:tcW w:w="0" w:type="dxa"/>
            <w:vAlign w:val="bottom"/>
          </w:tcPr>
          <w:p>
            <w:pPr>
              <w:spacing w:after="0"/>
              <w:rPr>
                <w:sz w:val="1"/>
                <w:szCs w:val="1"/>
                <w:color w:val="auto"/>
              </w:rPr>
            </w:pPr>
          </w:p>
        </w:tc>
      </w:tr>
      <w:tr>
        <w:trPr>
          <w:trHeight w:val="150"/>
        </w:trPr>
        <w:tc>
          <w:tcPr>
            <w:tcW w:w="374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1"/>
                <w:szCs w:val="11"/>
                <w:b w:val="1"/>
                <w:bCs w:val="1"/>
                <w:color w:val="auto"/>
              </w:rPr>
              <w:t>Total convertible debt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shd w:val="clear" w:color="auto" w:fill="DBDBDB"/>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278,422</w:t>
            </w:r>
          </w:p>
        </w:tc>
        <w:tc>
          <w:tcPr>
            <w:tcW w:w="80" w:type="dxa"/>
            <w:vAlign w:val="bottom"/>
          </w:tcPr>
          <w:p>
            <w:pPr>
              <w:spacing w:after="0"/>
              <w:rPr>
                <w:sz w:val="13"/>
                <w:szCs w:val="13"/>
                <w:color w:val="auto"/>
              </w:rPr>
            </w:pPr>
          </w:p>
        </w:tc>
        <w:tc>
          <w:tcPr>
            <w:tcW w:w="150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108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DBDBDB"/>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003366"/>
        </w:rPr>
        <w:t>Perpetual preferred stock</w:t>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320" w:type="dxa"/>
            <w:vAlign w:val="bottom"/>
            <w:vMerge w:val="restart"/>
          </w:tcPr>
          <w:p>
            <w:pPr>
              <w:spacing w:after="0"/>
              <w:rPr>
                <w:sz w:val="20"/>
                <w:szCs w:val="20"/>
                <w:color w:val="auto"/>
              </w:rPr>
            </w:pPr>
            <w:r>
              <w:rPr>
                <w:rFonts w:ascii="Arial" w:cs="Arial" w:eastAsia="Arial" w:hAnsi="Arial"/>
                <w:sz w:val="11"/>
                <w:szCs w:val="11"/>
                <w:b w:val="1"/>
                <w:bCs w:val="1"/>
                <w:color w:val="auto"/>
              </w:rPr>
              <w:t>Description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166"/>
              <w:spacing w:after="0"/>
              <w:rPr>
                <w:sz w:val="20"/>
                <w:szCs w:val="20"/>
                <w:color w:val="auto"/>
              </w:rPr>
            </w:pPr>
            <w:r>
              <w:rPr>
                <w:rFonts w:ascii="Arial" w:cs="Arial" w:eastAsia="Arial" w:hAnsi="Arial"/>
                <w:sz w:val="11"/>
                <w:szCs w:val="11"/>
                <w:b w:val="1"/>
                <w:bCs w:val="1"/>
                <w:color w:val="auto"/>
              </w:rPr>
              <w:t>Liquidation</w:t>
            </w:r>
          </w:p>
        </w:tc>
        <w:tc>
          <w:tcPr>
            <w:tcW w:w="10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w w:val="97"/>
              </w:rPr>
              <w:t>Shares outstanding (In</w:t>
            </w:r>
          </w:p>
        </w:tc>
        <w:tc>
          <w:tcPr>
            <w:tcW w:w="100" w:type="dxa"/>
            <w:vAlign w:val="bottom"/>
          </w:tcPr>
          <w:p>
            <w:pPr>
              <w:spacing w:after="0"/>
              <w:rPr>
                <w:sz w:val="10"/>
                <w:szCs w:val="10"/>
                <w:color w:val="auto"/>
              </w:rPr>
            </w:pPr>
          </w:p>
        </w:tc>
        <w:tc>
          <w:tcPr>
            <w:tcW w:w="170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Callable period</w:t>
            </w:r>
          </w:p>
        </w:tc>
        <w:tc>
          <w:tcPr>
            <w:tcW w:w="0" w:type="dxa"/>
            <w:vAlign w:val="bottom"/>
          </w:tcPr>
          <w:p>
            <w:pPr>
              <w:spacing w:after="0"/>
              <w:rPr>
                <w:sz w:val="1"/>
                <w:szCs w:val="1"/>
                <w:color w:val="auto"/>
              </w:rPr>
            </w:pPr>
          </w:p>
        </w:tc>
      </w:tr>
      <w:tr>
        <w:trPr>
          <w:trHeight w:val="144"/>
        </w:trPr>
        <w:tc>
          <w:tcPr>
            <w:tcW w:w="43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preference</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thousands)</w:t>
            </w:r>
          </w:p>
        </w:tc>
        <w:tc>
          <w:tcPr>
            <w:tcW w:w="100" w:type="dxa"/>
            <w:vAlign w:val="bottom"/>
          </w:tcPr>
          <w:p>
            <w:pPr>
              <w:spacing w:after="0"/>
              <w:rPr>
                <w:sz w:val="12"/>
                <w:szCs w:val="12"/>
                <w:color w:val="auto"/>
              </w:rPr>
            </w:pPr>
          </w:p>
        </w:tc>
        <w:tc>
          <w:tcPr>
            <w:tcW w:w="1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DBDBDB"/>
          </w:tcPr>
          <w:p>
            <w:pPr>
              <w:spacing w:after="0"/>
              <w:rPr>
                <w:sz w:val="20"/>
                <w:szCs w:val="20"/>
                <w:color w:val="auto"/>
              </w:rPr>
            </w:pPr>
            <w:r>
              <w:rPr>
                <w:rFonts w:ascii="Arial" w:cs="Arial" w:eastAsia="Arial" w:hAnsi="Arial"/>
                <w:sz w:val="11"/>
                <w:szCs w:val="11"/>
                <w:color w:val="auto"/>
              </w:rPr>
              <w:t>Series H 7.125% cumulative redeemable perpetual preferred stock</w:t>
            </w:r>
          </w:p>
        </w:tc>
        <w:tc>
          <w:tcPr>
            <w:tcW w:w="100" w:type="dxa"/>
            <w:vAlign w:val="bottom"/>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223,500</w:t>
            </w:r>
          </w:p>
        </w:tc>
        <w:tc>
          <w:tcPr>
            <w:tcW w:w="100" w:type="dxa"/>
            <w:vAlign w:val="bottom"/>
          </w:tcPr>
          <w:p>
            <w:pPr>
              <w:spacing w:after="0"/>
              <w:rPr>
                <w:sz w:val="11"/>
                <w:szCs w:val="11"/>
                <w:color w:val="auto"/>
              </w:rPr>
            </w:pPr>
          </w:p>
        </w:tc>
        <w:tc>
          <w:tcPr>
            <w:tcW w:w="12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8,940</w:t>
            </w:r>
          </w:p>
        </w:tc>
        <w:tc>
          <w:tcPr>
            <w:tcW w:w="100" w:type="dxa"/>
            <w:vAlign w:val="bottom"/>
          </w:tcPr>
          <w:p>
            <w:pPr>
              <w:spacing w:after="0"/>
              <w:rPr>
                <w:sz w:val="11"/>
                <w:szCs w:val="11"/>
                <w:color w:val="auto"/>
              </w:rPr>
            </w:pPr>
          </w:p>
        </w:tc>
        <w:tc>
          <w:tcPr>
            <w:tcW w:w="1700" w:type="dxa"/>
            <w:vAlign w:val="bottom"/>
            <w:shd w:val="clear" w:color="auto" w:fill="DBDBDB"/>
          </w:tcPr>
          <w:p>
            <w:pPr>
              <w:spacing w:after="0"/>
              <w:rPr>
                <w:sz w:val="20"/>
                <w:szCs w:val="20"/>
                <w:color w:val="auto"/>
              </w:rPr>
            </w:pPr>
            <w:r>
              <w:rPr>
                <w:rFonts w:ascii="Arial" w:cs="Arial" w:eastAsia="Arial" w:hAnsi="Arial"/>
                <w:sz w:val="11"/>
                <w:szCs w:val="11"/>
                <w:color w:val="auto"/>
              </w:rPr>
              <w:t>Callable</w:t>
            </w:r>
          </w:p>
        </w:tc>
        <w:tc>
          <w:tcPr>
            <w:tcW w:w="0" w:type="dxa"/>
            <w:vAlign w:val="bottom"/>
          </w:tcPr>
          <w:p>
            <w:pPr>
              <w:spacing w:after="0"/>
              <w:rPr>
                <w:sz w:val="1"/>
                <w:szCs w:val="1"/>
                <w:color w:val="auto"/>
              </w:rPr>
            </w:pPr>
          </w:p>
        </w:tc>
      </w:tr>
      <w:tr>
        <w:trPr>
          <w:trHeight w:val="143"/>
        </w:trPr>
        <w:tc>
          <w:tcPr>
            <w:tcW w:w="4320" w:type="dxa"/>
            <w:vAlign w:val="bottom"/>
          </w:tcPr>
          <w:p>
            <w:pPr>
              <w:spacing w:after="0"/>
              <w:rPr>
                <w:sz w:val="20"/>
                <w:szCs w:val="20"/>
                <w:color w:val="auto"/>
              </w:rPr>
            </w:pPr>
            <w:r>
              <w:rPr>
                <w:rFonts w:ascii="Arial" w:cs="Arial" w:eastAsia="Arial" w:hAnsi="Arial"/>
                <w:sz w:val="11"/>
                <w:szCs w:val="11"/>
                <w:color w:val="auto"/>
              </w:rPr>
              <w:t>Series I 7.15% cumulative redeemable perpetual preferred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345,000</w:t>
            </w:r>
          </w:p>
        </w:tc>
        <w:tc>
          <w:tcPr>
            <w:tcW w:w="1300" w:type="dxa"/>
            <w:vAlign w:val="bottom"/>
            <w:gridSpan w:val="2"/>
          </w:tcPr>
          <w:p>
            <w:pPr>
              <w:jc w:val="right"/>
              <w:ind w:right="6"/>
              <w:spacing w:after="0"/>
              <w:rPr>
                <w:sz w:val="20"/>
                <w:szCs w:val="20"/>
                <w:color w:val="auto"/>
              </w:rPr>
            </w:pPr>
            <w:r>
              <w:rPr>
                <w:rFonts w:ascii="Arial" w:cs="Arial" w:eastAsia="Arial" w:hAnsi="Arial"/>
                <w:sz w:val="11"/>
                <w:szCs w:val="11"/>
                <w:color w:val="auto"/>
              </w:rPr>
              <w:t>13,800</w:t>
            </w:r>
          </w:p>
        </w:tc>
        <w:tc>
          <w:tcPr>
            <w:tcW w:w="100" w:type="dxa"/>
            <w:vAlign w:val="bottom"/>
          </w:tcPr>
          <w:p>
            <w:pPr>
              <w:spacing w:after="0"/>
              <w:rPr>
                <w:sz w:val="12"/>
                <w:szCs w:val="12"/>
                <w:color w:val="auto"/>
              </w:rPr>
            </w:pPr>
          </w:p>
        </w:tc>
        <w:tc>
          <w:tcPr>
            <w:tcW w:w="1700" w:type="dxa"/>
            <w:vAlign w:val="bottom"/>
          </w:tcPr>
          <w:p>
            <w:pPr>
              <w:spacing w:after="0"/>
              <w:rPr>
                <w:sz w:val="20"/>
                <w:szCs w:val="20"/>
                <w:color w:val="auto"/>
              </w:rPr>
            </w:pPr>
            <w:r>
              <w:rPr>
                <w:rFonts w:ascii="Arial" w:cs="Arial" w:eastAsia="Arial" w:hAnsi="Arial"/>
                <w:sz w:val="11"/>
                <w:szCs w:val="11"/>
                <w:color w:val="auto"/>
              </w:rPr>
              <w:t>Callable</w:t>
            </w:r>
          </w:p>
        </w:tc>
        <w:tc>
          <w:tcPr>
            <w:tcW w:w="0" w:type="dxa"/>
            <w:vAlign w:val="bottom"/>
          </w:tcPr>
          <w:p>
            <w:pPr>
              <w:spacing w:after="0"/>
              <w:rPr>
                <w:sz w:val="1"/>
                <w:szCs w:val="1"/>
                <w:color w:val="auto"/>
              </w:rPr>
            </w:pPr>
          </w:p>
        </w:tc>
      </w:tr>
      <w:tr>
        <w:trPr>
          <w:trHeight w:val="144"/>
        </w:trPr>
        <w:tc>
          <w:tcPr>
            <w:tcW w:w="4320" w:type="dxa"/>
            <w:vAlign w:val="bottom"/>
            <w:shd w:val="clear" w:color="auto" w:fill="DBDBDB"/>
          </w:tcPr>
          <w:p>
            <w:pPr>
              <w:spacing w:after="0"/>
              <w:rPr>
                <w:sz w:val="20"/>
                <w:szCs w:val="20"/>
                <w:color w:val="auto"/>
              </w:rPr>
            </w:pPr>
            <w:r>
              <w:rPr>
                <w:rFonts w:ascii="Arial" w:cs="Arial" w:eastAsia="Arial" w:hAnsi="Arial"/>
                <w:sz w:val="11"/>
                <w:szCs w:val="11"/>
                <w:color w:val="auto"/>
              </w:rPr>
              <w:t>Series J 7.125% cumulative redeemable perpetual preferred stock</w:t>
            </w:r>
          </w:p>
        </w:tc>
        <w:tc>
          <w:tcPr>
            <w:tcW w:w="100" w:type="dxa"/>
            <w:vAlign w:val="bottom"/>
          </w:tcPr>
          <w:p>
            <w:pPr>
              <w:spacing w:after="0"/>
              <w:rPr>
                <w:sz w:val="12"/>
                <w:szCs w:val="12"/>
                <w:color w:val="auto"/>
              </w:rPr>
            </w:pPr>
          </w:p>
        </w:tc>
        <w:tc>
          <w:tcPr>
            <w:tcW w:w="12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315,000</w:t>
            </w:r>
          </w:p>
        </w:tc>
        <w:tc>
          <w:tcPr>
            <w:tcW w:w="100" w:type="dxa"/>
            <w:vAlign w:val="bottom"/>
          </w:tcPr>
          <w:p>
            <w:pPr>
              <w:spacing w:after="0"/>
              <w:rPr>
                <w:sz w:val="12"/>
                <w:szCs w:val="12"/>
                <w:color w:val="auto"/>
              </w:rPr>
            </w:pPr>
          </w:p>
        </w:tc>
        <w:tc>
          <w:tcPr>
            <w:tcW w:w="12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12,600</w:t>
            </w:r>
          </w:p>
        </w:tc>
        <w:tc>
          <w:tcPr>
            <w:tcW w:w="100" w:type="dxa"/>
            <w:vAlign w:val="bottom"/>
          </w:tcPr>
          <w:p>
            <w:pPr>
              <w:spacing w:after="0"/>
              <w:rPr>
                <w:sz w:val="12"/>
                <w:szCs w:val="12"/>
                <w:color w:val="auto"/>
              </w:rPr>
            </w:pPr>
          </w:p>
        </w:tc>
        <w:tc>
          <w:tcPr>
            <w:tcW w:w="1700" w:type="dxa"/>
            <w:vAlign w:val="bottom"/>
            <w:shd w:val="clear" w:color="auto" w:fill="DBDBDB"/>
          </w:tcPr>
          <w:p>
            <w:pPr>
              <w:spacing w:after="0"/>
              <w:rPr>
                <w:sz w:val="20"/>
                <w:szCs w:val="20"/>
                <w:color w:val="auto"/>
              </w:rPr>
            </w:pPr>
            <w:r>
              <w:rPr>
                <w:rFonts w:ascii="Arial" w:cs="Arial" w:eastAsia="Arial" w:hAnsi="Arial"/>
                <w:sz w:val="11"/>
                <w:szCs w:val="11"/>
                <w:color w:val="auto"/>
              </w:rPr>
              <w:t>On or after September 22, 2022</w:t>
            </w:r>
          </w:p>
        </w:tc>
        <w:tc>
          <w:tcPr>
            <w:tcW w:w="0" w:type="dxa"/>
            <w:vAlign w:val="bottom"/>
          </w:tcPr>
          <w:p>
            <w:pPr>
              <w:spacing w:after="0"/>
              <w:rPr>
                <w:sz w:val="1"/>
                <w:szCs w:val="1"/>
                <w:color w:val="auto"/>
              </w:rPr>
            </w:pPr>
          </w:p>
        </w:tc>
      </w:tr>
      <w:tr>
        <w:trPr>
          <w:trHeight w:val="134"/>
        </w:trPr>
        <w:tc>
          <w:tcPr>
            <w:tcW w:w="4320" w:type="dxa"/>
            <w:vAlign w:val="bottom"/>
          </w:tcPr>
          <w:p>
            <w:pPr>
              <w:ind w:left="140"/>
              <w:spacing w:after="0"/>
              <w:rPr>
                <w:sz w:val="20"/>
                <w:szCs w:val="20"/>
                <w:color w:val="auto"/>
              </w:rPr>
            </w:pPr>
            <w:r>
              <w:rPr>
                <w:rFonts w:ascii="Arial" w:cs="Arial" w:eastAsia="Arial" w:hAnsi="Arial"/>
                <w:sz w:val="11"/>
                <w:szCs w:val="11"/>
                <w:b w:val="1"/>
                <w:bCs w:val="1"/>
                <w:color w:val="auto"/>
              </w:rPr>
              <w:t>Total preferred stock</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b w:val="1"/>
                <w:bCs w:val="1"/>
                <w:color w:val="auto"/>
              </w:rPr>
              <w:t>883,500</w:t>
            </w:r>
          </w:p>
        </w:tc>
        <w:tc>
          <w:tcPr>
            <w:tcW w:w="13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35,340</w:t>
            </w: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25" w:lineRule="exact"/>
        <w:rPr>
          <w:sz w:val="20"/>
          <w:szCs w:val="20"/>
          <w:color w:val="auto"/>
        </w:rPr>
      </w:pPr>
    </w:p>
    <w:p>
      <w:pPr>
        <w:ind w:left="188" w:hanging="188"/>
        <w:spacing w:after="0"/>
        <w:tabs>
          <w:tab w:leader="none" w:pos="188" w:val="left"/>
        </w:tabs>
        <w:numPr>
          <w:ilvl w:val="0"/>
          <w:numId w:val="14"/>
        </w:numPr>
        <w:rPr>
          <w:rFonts w:ascii="Arial" w:cs="Arial" w:eastAsia="Arial" w:hAnsi="Arial"/>
          <w:sz w:val="8"/>
          <w:szCs w:val="8"/>
          <w:color w:val="424242"/>
        </w:rPr>
      </w:pPr>
      <w:r>
        <w:rPr>
          <w:rFonts w:ascii="Arial" w:cs="Arial" w:eastAsia="Arial" w:hAnsi="Arial"/>
          <w:sz w:val="8"/>
          <w:szCs w:val="8"/>
          <w:color w:val="424242"/>
        </w:rPr>
        <w:t>Callable at principal amount only if DBRG common stock has traded at least 130% of the conversion price for 20 of 30 consecutive trading days: on or after July 21, 2023, for the 5.75% exchangeable senior notes and on or after April 22, 2020, for the 5.0% convertible senior notes.</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14</w:t>
            </w:r>
          </w:p>
        </w:tc>
      </w:tr>
    </w:tbl>
    <w:p>
      <w:pPr>
        <w:sectPr>
          <w:pgSz w:w="11900" w:h="16838" w:orient="portrait"/>
          <w:cols w:equalWidth="0" w:num="1">
            <w:col w:w="11308"/>
          </w:cols>
          <w:pgMar w:left="292" w:top="130" w:right="299" w:bottom="1440" w:gutter="0" w:footer="0" w:header="0"/>
        </w:sectPr>
      </w:pPr>
    </w:p>
    <w:bookmarkStart w:id="23" w:name="page24"/>
    <w:bookmarkEnd w:id="23"/>
    <w:p>
      <w:pPr>
        <w:spacing w:after="0"/>
        <w:rPr>
          <w:sz w:val="20"/>
          <w:szCs w:val="20"/>
          <w:color w:val="auto"/>
        </w:rPr>
      </w:pPr>
      <w:r>
        <w:rPr>
          <w:rFonts w:ascii="Arial" w:cs="Arial" w:eastAsia="Arial" w:hAnsi="Arial"/>
          <w:sz w:val="29"/>
          <w:szCs w:val="29"/>
          <w:color w:val="auto"/>
        </w:rPr>
        <w:t>IIId. Capitalization - Organization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788670</wp:posOffset>
            </wp:positionV>
            <wp:extent cx="5434965" cy="266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34965" cy="266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15</w:t>
            </w:r>
          </w:p>
        </w:tc>
      </w:tr>
    </w:tbl>
    <w:p>
      <w:pPr>
        <w:sectPr>
          <w:pgSz w:w="11900" w:h="16838" w:orient="portrait"/>
          <w:cols w:equalWidth="0" w:num="1">
            <w:col w:w="11300"/>
          </w:cols>
          <w:pgMar w:left="300" w:top="130" w:right="299" w:bottom="1440" w:gutter="0" w:footer="0" w:header="0"/>
        </w:sectPr>
      </w:pPr>
    </w:p>
    <w:bookmarkStart w:id="24" w:name="page25"/>
    <w:bookmarkEnd w:id="24"/>
    <w:p>
      <w:pPr>
        <w:ind w:left="8"/>
        <w:spacing w:after="0"/>
        <w:rPr>
          <w:sz w:val="20"/>
          <w:szCs w:val="20"/>
          <w:color w:val="auto"/>
        </w:rPr>
      </w:pPr>
      <w:r>
        <w:rPr>
          <w:rFonts w:ascii="Arial" w:cs="Arial" w:eastAsia="Arial" w:hAnsi="Arial"/>
          <w:sz w:val="29"/>
          <w:szCs w:val="29"/>
          <w:color w:val="auto"/>
        </w:rPr>
        <w:t>IV. Assets Under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308" w:type="dxa"/>
        <w:tblCellMar>
          <w:top w:w="0" w:type="dxa"/>
          <w:left w:w="0" w:type="dxa"/>
          <w:bottom w:w="0" w:type="dxa"/>
          <w:right w:w="0" w:type="dxa"/>
        </w:tblCellMar>
      </w:tblPr>
      <w:tr>
        <w:trPr>
          <w:trHeight w:val="136"/>
        </w:trPr>
        <w:tc>
          <w:tcPr>
            <w:tcW w:w="2100" w:type="dxa"/>
            <w:vAlign w:val="bottom"/>
          </w:tcPr>
          <w:p>
            <w:pPr>
              <w:spacing w:after="0"/>
              <w:rPr>
                <w:sz w:val="20"/>
                <w:szCs w:val="20"/>
                <w:color w:val="auto"/>
              </w:rPr>
            </w:pPr>
            <w:r>
              <w:rPr>
                <w:rFonts w:ascii="Arial" w:cs="Arial" w:eastAsia="Arial" w:hAnsi="Arial"/>
                <w:sz w:val="10"/>
                <w:szCs w:val="10"/>
                <w:i w:val="1"/>
                <w:iCs w:val="1"/>
                <w:color w:val="auto"/>
              </w:rPr>
              <w:t>($ in millions)</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0"/>
                <w:szCs w:val="10"/>
                <w:b w:val="1"/>
                <w:bCs w:val="1"/>
                <w:color w:val="auto"/>
              </w:rPr>
              <w:t>DBRG OP Share</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168"/>
        </w:trPr>
        <w:tc>
          <w:tcPr>
            <w:tcW w:w="2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Segment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rPr>
              <w:t>6/30/22</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rPr>
              <w:t>3/31/22</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rPr>
              <w:t>12/31/21</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rPr>
              <w:t>9/30/21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rPr>
              <w:t>6/30/21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0"/>
                <w:szCs w:val="10"/>
                <w:b w:val="1"/>
                <w:bCs w:val="1"/>
                <w:color w:val="auto"/>
              </w:rPr>
              <w:t>3/31/21</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0"/>
                <w:szCs w:val="10"/>
                <w:b w:val="1"/>
                <w:bCs w:val="1"/>
                <w:color w:val="auto"/>
              </w:rPr>
              <w:t>12/31/20</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rPr>
                <w:sz w:val="20"/>
                <w:szCs w:val="20"/>
                <w:color w:val="auto"/>
              </w:rPr>
            </w:pPr>
            <w:r>
              <w:rPr>
                <w:rFonts w:ascii="Arial" w:cs="Arial" w:eastAsia="Arial" w:hAnsi="Arial"/>
                <w:sz w:val="10"/>
                <w:szCs w:val="10"/>
                <w:b w:val="1"/>
                <w:bCs w:val="1"/>
                <w:color w:val="auto"/>
              </w:rPr>
              <w:t>9/30/20</w:t>
            </w:r>
          </w:p>
        </w:tc>
      </w:tr>
      <w:tr>
        <w:trPr>
          <w:trHeight w:val="168"/>
        </w:trPr>
        <w:tc>
          <w:tcPr>
            <w:tcW w:w="21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Digital Investment Management</w:t>
            </w:r>
          </w:p>
        </w:tc>
        <w:tc>
          <w:tcPr>
            <w:tcW w:w="80" w:type="dxa"/>
            <w:vAlign w:val="bottom"/>
          </w:tcPr>
          <w:p>
            <w:pPr>
              <w:spacing w:after="0"/>
              <w:rPr>
                <w:sz w:val="14"/>
                <w:szCs w:val="14"/>
                <w:color w:val="auto"/>
              </w:rPr>
            </w:pP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45,296</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44,517</w:t>
            </w:r>
          </w:p>
        </w:tc>
        <w:tc>
          <w:tcPr>
            <w:tcW w:w="1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43,619</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36,337</w:t>
            </w:r>
          </w:p>
        </w:tc>
        <w:tc>
          <w:tcPr>
            <w:tcW w:w="18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33,551</w:t>
            </w:r>
          </w:p>
        </w:tc>
        <w:tc>
          <w:tcPr>
            <w:tcW w:w="180" w:type="dxa"/>
            <w:vAlign w:val="bottom"/>
            <w:tcBorders>
              <w:bottom w:val="single" w:sz="8" w:color="DBDBDB"/>
            </w:tcBorders>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30,711</w:t>
            </w:r>
          </w:p>
        </w:tc>
        <w:tc>
          <w:tcPr>
            <w:tcW w:w="16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28,577</w:t>
            </w:r>
          </w:p>
        </w:tc>
        <w:tc>
          <w:tcPr>
            <w:tcW w:w="18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DBDBDB"/>
            </w:tcBorders>
            <w:shd w:val="clear" w:color="auto" w:fill="DBDBDB"/>
          </w:tcPr>
          <w:p>
            <w:pPr>
              <w:jc w:val="right"/>
              <w:ind w:right="7"/>
              <w:spacing w:after="0"/>
              <w:rPr>
                <w:sz w:val="20"/>
                <w:szCs w:val="20"/>
                <w:color w:val="auto"/>
              </w:rPr>
            </w:pPr>
            <w:r>
              <w:rPr>
                <w:rFonts w:ascii="Arial" w:cs="Arial" w:eastAsia="Arial" w:hAnsi="Arial"/>
                <w:sz w:val="11"/>
                <w:szCs w:val="11"/>
                <w:color w:val="auto"/>
              </w:rPr>
              <w:t>22,237</w:t>
            </w:r>
          </w:p>
        </w:tc>
      </w:tr>
      <w:tr>
        <w:trPr>
          <w:trHeight w:val="160"/>
        </w:trPr>
        <w:tc>
          <w:tcPr>
            <w:tcW w:w="2100" w:type="dxa"/>
            <w:vAlign w:val="bottom"/>
          </w:tcPr>
          <w:p>
            <w:pPr>
              <w:spacing w:after="0"/>
              <w:rPr>
                <w:sz w:val="20"/>
                <w:szCs w:val="20"/>
                <w:color w:val="auto"/>
              </w:rPr>
            </w:pPr>
            <w:r>
              <w:rPr>
                <w:rFonts w:ascii="Arial" w:cs="Arial" w:eastAsia="Arial" w:hAnsi="Arial"/>
                <w:sz w:val="11"/>
                <w:szCs w:val="11"/>
                <w:color w:val="auto"/>
              </w:rPr>
              <w:t>Digital Operating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1,466</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1,460</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1,233</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1,157</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1,093</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1,073</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1,087</w:t>
            </w:r>
          </w:p>
        </w:tc>
        <w:tc>
          <w:tcPr>
            <w:tcW w:w="1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724</w:t>
            </w:r>
          </w:p>
        </w:tc>
      </w:tr>
      <w:tr>
        <w:trPr>
          <w:trHeight w:val="20"/>
        </w:trPr>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0"/>
        </w:trPr>
        <w:tc>
          <w:tcPr>
            <w:tcW w:w="2100" w:type="dxa"/>
            <w:vAlign w:val="bottom"/>
            <w:shd w:val="clear" w:color="auto" w:fill="DBDBDB"/>
          </w:tcPr>
          <w:p>
            <w:pPr>
              <w:spacing w:after="0"/>
              <w:rPr>
                <w:sz w:val="20"/>
                <w:szCs w:val="20"/>
                <w:color w:val="auto"/>
              </w:rPr>
            </w:pPr>
            <w:r>
              <w:rPr>
                <w:rFonts w:ascii="Arial" w:cs="Arial" w:eastAsia="Arial" w:hAnsi="Arial"/>
                <w:sz w:val="11"/>
                <w:szCs w:val="11"/>
                <w:color w:val="auto"/>
              </w:rPr>
              <w:t xml:space="preserve">Other </w:t>
            </w:r>
            <w:r>
              <w:rPr>
                <w:rFonts w:ascii="Arial" w:cs="Arial" w:eastAsia="Arial" w:hAnsi="Arial"/>
                <w:sz w:val="14"/>
                <w:szCs w:val="14"/>
                <w:color w:val="auto"/>
                <w:vertAlign w:val="superscript"/>
              </w:rPr>
              <w:t>(1)</w:t>
            </w:r>
          </w:p>
        </w:tc>
        <w:tc>
          <w:tcPr>
            <w:tcW w:w="80" w:type="dxa"/>
            <w:vAlign w:val="bottom"/>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2,348</w:t>
            </w:r>
          </w:p>
        </w:tc>
        <w:tc>
          <w:tcPr>
            <w:tcW w:w="1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1,848</w:t>
            </w:r>
          </w:p>
        </w:tc>
        <w:tc>
          <w:tcPr>
            <w:tcW w:w="16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6,427</w:t>
            </w:r>
          </w:p>
        </w:tc>
        <w:tc>
          <w:tcPr>
            <w:tcW w:w="1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11,880</w:t>
            </w:r>
          </w:p>
        </w:tc>
        <w:tc>
          <w:tcPr>
            <w:tcW w:w="1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13,790</w:t>
            </w:r>
          </w:p>
        </w:tc>
        <w:tc>
          <w:tcPr>
            <w:tcW w:w="1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14,397</w:t>
            </w:r>
          </w:p>
        </w:tc>
        <w:tc>
          <w:tcPr>
            <w:tcW w:w="1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22,300</w:t>
            </w:r>
          </w:p>
        </w:tc>
        <w:tc>
          <w:tcPr>
            <w:tcW w:w="18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23,853</w:t>
            </w:r>
          </w:p>
        </w:tc>
      </w:tr>
      <w:tr>
        <w:trPr>
          <w:trHeight w:val="108"/>
        </w:trPr>
        <w:tc>
          <w:tcPr>
            <w:tcW w:w="2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139"/>
        </w:trPr>
        <w:tc>
          <w:tcPr>
            <w:tcW w:w="2100" w:type="dxa"/>
            <w:vAlign w:val="bottom"/>
          </w:tcPr>
          <w:p>
            <w:pPr>
              <w:spacing w:after="0"/>
              <w:rPr>
                <w:sz w:val="20"/>
                <w:szCs w:val="20"/>
                <w:color w:val="auto"/>
              </w:rPr>
            </w:pPr>
            <w:r>
              <w:rPr>
                <w:rFonts w:ascii="Arial" w:cs="Arial" w:eastAsia="Arial" w:hAnsi="Arial"/>
                <w:sz w:val="11"/>
                <w:szCs w:val="11"/>
                <w:b w:val="1"/>
                <w:bCs w:val="1"/>
                <w:color w:val="auto"/>
              </w:rPr>
              <w:t>Total AUM</w:t>
            </w:r>
          </w:p>
        </w:tc>
        <w:tc>
          <w:tcPr>
            <w:tcW w:w="24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49,110</w:t>
            </w: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47,825</w:t>
            </w:r>
          </w:p>
        </w:tc>
        <w:tc>
          <w:tcPr>
            <w:tcW w:w="16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51,279</w:t>
            </w: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49,374</w:t>
            </w:r>
          </w:p>
        </w:tc>
        <w:tc>
          <w:tcPr>
            <w:tcW w:w="18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48,434</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46,181</w:t>
            </w: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51,964</w:t>
            </w:r>
          </w:p>
        </w:tc>
        <w:tc>
          <w:tcPr>
            <w:tcW w:w="18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7"/>
              <w:spacing w:after="0"/>
              <w:rPr>
                <w:sz w:val="20"/>
                <w:szCs w:val="20"/>
                <w:color w:val="auto"/>
              </w:rPr>
            </w:pPr>
            <w:r>
              <w:rPr>
                <w:rFonts w:ascii="Arial" w:cs="Arial" w:eastAsia="Arial" w:hAnsi="Arial"/>
                <w:sz w:val="11"/>
                <w:szCs w:val="11"/>
                <w:b w:val="1"/>
                <w:bCs w:val="1"/>
                <w:color w:val="auto"/>
              </w:rPr>
              <w:t>46,814</w:t>
            </w:r>
          </w:p>
        </w:tc>
      </w:tr>
      <w:tr>
        <w:trPr>
          <w:trHeight w:val="20"/>
        </w:trPr>
        <w:tc>
          <w:tcPr>
            <w:tcW w:w="2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8" w:lineRule="exact"/>
        <w:rPr>
          <w:sz w:val="20"/>
          <w:szCs w:val="20"/>
          <w:color w:val="auto"/>
        </w:rPr>
      </w:pPr>
    </w:p>
    <w:p>
      <w:pPr>
        <w:ind w:left="188" w:hanging="188"/>
        <w:spacing w:after="0"/>
        <w:tabs>
          <w:tab w:leader="none" w:pos="188" w:val="left"/>
        </w:tabs>
        <w:numPr>
          <w:ilvl w:val="0"/>
          <w:numId w:val="15"/>
        </w:numPr>
        <w:rPr>
          <w:rFonts w:ascii="Arial" w:cs="Arial" w:eastAsia="Arial" w:hAnsi="Arial"/>
          <w:sz w:val="8"/>
          <w:szCs w:val="8"/>
          <w:color w:val="424242"/>
        </w:rPr>
      </w:pPr>
      <w:r>
        <w:rPr>
          <w:rFonts w:ascii="Arial" w:cs="Arial" w:eastAsia="Arial" w:hAnsi="Arial"/>
          <w:sz w:val="8"/>
          <w:szCs w:val="8"/>
          <w:color w:val="424242"/>
        </w:rPr>
        <w:t>June 30, 2022 includes $1.2 billion of non-digital assets.</w:t>
      </w:r>
    </w:p>
    <w:p>
      <w:pPr>
        <w:spacing w:after="0" w:line="33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16</w:t>
            </w:r>
          </w:p>
        </w:tc>
      </w:tr>
    </w:tbl>
    <w:p>
      <w:pPr>
        <w:sectPr>
          <w:pgSz w:w="11900" w:h="16838" w:orient="portrait"/>
          <w:cols w:equalWidth="0" w:num="1">
            <w:col w:w="11308"/>
          </w:cols>
          <w:pgMar w:left="292" w:top="130" w:right="299" w:bottom="1440" w:gutter="0" w:footer="0" w:header="0"/>
        </w:sectPr>
      </w:pPr>
    </w:p>
    <w:bookmarkStart w:id="25" w:name="page26"/>
    <w:bookmarkEnd w:id="25"/>
    <w:p>
      <w:pPr>
        <w:ind w:left="8"/>
        <w:spacing w:after="0"/>
        <w:rPr>
          <w:sz w:val="20"/>
          <w:szCs w:val="20"/>
          <w:color w:val="auto"/>
        </w:rPr>
      </w:pPr>
      <w:r>
        <w:rPr>
          <w:rFonts w:ascii="Arial" w:cs="Arial" w:eastAsia="Arial" w:hAnsi="Arial"/>
          <w:sz w:val="29"/>
          <w:szCs w:val="29"/>
          <w:color w:val="auto"/>
        </w:rPr>
        <w:t>V. Digital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1308" w:type="dxa"/>
        <w:tblCellMar>
          <w:top w:w="0" w:type="dxa"/>
          <w:left w:w="0" w:type="dxa"/>
          <w:bottom w:w="0" w:type="dxa"/>
          <w:right w:w="0" w:type="dxa"/>
        </w:tblCellMar>
      </w:tblPr>
      <w:tr>
        <w:trPr>
          <w:trHeight w:val="130"/>
        </w:trPr>
        <w:tc>
          <w:tcPr>
            <w:tcW w:w="2300" w:type="dxa"/>
            <w:vAlign w:val="bottom"/>
          </w:tcPr>
          <w:p>
            <w:pPr>
              <w:spacing w:after="0"/>
              <w:rPr>
                <w:sz w:val="20"/>
                <w:szCs w:val="20"/>
                <w:color w:val="auto"/>
              </w:rPr>
            </w:pPr>
            <w:r>
              <w:rPr>
                <w:rFonts w:ascii="Arial" w:cs="Arial" w:eastAsia="Arial" w:hAnsi="Arial"/>
                <w:sz w:val="10"/>
                <w:szCs w:val="10"/>
                <w:i w:val="1"/>
                <w:iCs w:val="1"/>
                <w:color w:val="auto"/>
              </w:rPr>
              <w:t>($ in millions)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300" w:type="dxa"/>
            <w:vAlign w:val="bottom"/>
            <w:tcBorders>
              <w:bottom w:val="single" w:sz="8" w:color="DBDBDB"/>
            </w:tcBorders>
          </w:tcPr>
          <w:p>
            <w:pPr>
              <w:spacing w:after="0"/>
              <w:rPr>
                <w:sz w:val="20"/>
                <w:szCs w:val="20"/>
                <w:color w:val="auto"/>
              </w:rPr>
            </w:pPr>
            <w:r>
              <w:rPr>
                <w:rFonts w:ascii="Arial" w:cs="Arial" w:eastAsia="Arial" w:hAnsi="Arial"/>
                <w:sz w:val="12"/>
                <w:szCs w:val="12"/>
                <w:b w:val="1"/>
                <w:bCs w:val="1"/>
                <w:color w:val="003366"/>
              </w:rPr>
              <w:t>AUM DBRG OP Share</w:t>
            </w:r>
          </w:p>
        </w:tc>
        <w:tc>
          <w:tcPr>
            <w:tcW w:w="80" w:type="dxa"/>
            <w:vAlign w:val="bottom"/>
          </w:tcPr>
          <w:p>
            <w:pPr>
              <w:spacing w:after="0"/>
              <w:rPr>
                <w:sz w:val="19"/>
                <w:szCs w:val="19"/>
                <w:color w:val="auto"/>
              </w:rPr>
            </w:pPr>
          </w:p>
        </w:tc>
        <w:tc>
          <w:tcPr>
            <w:tcW w:w="5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87"/>
              <w:spacing w:after="0"/>
              <w:rPr>
                <w:sz w:val="20"/>
                <w:szCs w:val="20"/>
                <w:color w:val="auto"/>
              </w:rPr>
            </w:pPr>
            <w:r>
              <w:rPr>
                <w:rFonts w:ascii="Arial" w:cs="Arial" w:eastAsia="Arial" w:hAnsi="Arial"/>
                <w:sz w:val="10"/>
                <w:szCs w:val="10"/>
                <w:b w:val="1"/>
                <w:bCs w:val="1"/>
                <w:color w:val="auto"/>
                <w:w w:val="95"/>
              </w:rPr>
              <w:t>6/30/22</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rPr>
              <w:t>3/31/22</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w w:val="97"/>
              </w:rPr>
              <w:t>12/31/21</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87"/>
              <w:spacing w:after="0"/>
              <w:rPr>
                <w:sz w:val="20"/>
                <w:szCs w:val="20"/>
                <w:color w:val="auto"/>
              </w:rPr>
            </w:pPr>
            <w:r>
              <w:rPr>
                <w:rFonts w:ascii="Arial" w:cs="Arial" w:eastAsia="Arial" w:hAnsi="Arial"/>
                <w:sz w:val="10"/>
                <w:szCs w:val="10"/>
                <w:b w:val="1"/>
                <w:bCs w:val="1"/>
                <w:color w:val="auto"/>
              </w:rPr>
              <w:t>9/30/21</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rPr>
              <w:t>6/30/21</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rPr>
              <w:t>3/31/21</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w w:val="97"/>
              </w:rPr>
              <w:t>12/31/20</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87"/>
              <w:spacing w:after="0"/>
              <w:rPr>
                <w:sz w:val="20"/>
                <w:szCs w:val="20"/>
                <w:color w:val="auto"/>
              </w:rPr>
            </w:pPr>
            <w:r>
              <w:rPr>
                <w:rFonts w:ascii="Arial" w:cs="Arial" w:eastAsia="Arial" w:hAnsi="Arial"/>
                <w:sz w:val="10"/>
                <w:szCs w:val="10"/>
                <w:b w:val="1"/>
                <w:bCs w:val="1"/>
                <w:color w:val="auto"/>
              </w:rPr>
              <w:t>9/30/20</w:t>
            </w:r>
          </w:p>
        </w:tc>
        <w:tc>
          <w:tcPr>
            <w:tcW w:w="0" w:type="dxa"/>
            <w:vAlign w:val="bottom"/>
          </w:tcPr>
          <w:p>
            <w:pPr>
              <w:spacing w:after="0"/>
              <w:rPr>
                <w:sz w:val="1"/>
                <w:szCs w:val="1"/>
                <w:color w:val="auto"/>
              </w:rPr>
            </w:pPr>
          </w:p>
        </w:tc>
      </w:tr>
      <w:tr>
        <w:trPr>
          <w:trHeight w:val="151"/>
        </w:trPr>
        <w:tc>
          <w:tcPr>
            <w:tcW w:w="23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DigitalBridge Partners I</w:t>
            </w:r>
          </w:p>
        </w:tc>
        <w:tc>
          <w:tcPr>
            <w:tcW w:w="80" w:type="dxa"/>
            <w:vAlign w:val="bottom"/>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5,988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5,766</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6,180</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6,180</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6,003</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5,931</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6,089</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5,686</w:t>
            </w:r>
          </w:p>
        </w:tc>
        <w:tc>
          <w:tcPr>
            <w:tcW w:w="0" w:type="dxa"/>
            <w:vAlign w:val="bottom"/>
          </w:tcPr>
          <w:p>
            <w:pPr>
              <w:spacing w:after="0"/>
              <w:rPr>
                <w:sz w:val="1"/>
                <w:szCs w:val="1"/>
                <w:color w:val="auto"/>
              </w:rPr>
            </w:pPr>
          </w:p>
        </w:tc>
      </w:tr>
      <w:tr>
        <w:trPr>
          <w:trHeight w:val="170"/>
        </w:trPr>
        <w:tc>
          <w:tcPr>
            <w:tcW w:w="2300" w:type="dxa"/>
            <w:vAlign w:val="bottom"/>
          </w:tcPr>
          <w:p>
            <w:pPr>
              <w:ind w:left="160"/>
              <w:spacing w:after="0"/>
              <w:rPr>
                <w:sz w:val="20"/>
                <w:szCs w:val="20"/>
                <w:color w:val="auto"/>
              </w:rPr>
            </w:pPr>
            <w:r>
              <w:rPr>
                <w:rFonts w:ascii="Arial" w:cs="Arial" w:eastAsia="Arial" w:hAnsi="Arial"/>
                <w:sz w:val="11"/>
                <w:szCs w:val="11"/>
                <w:color w:val="auto"/>
              </w:rPr>
              <w:t>DigitalBridge Partners II</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10,739</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10,687</w:t>
            </w:r>
          </w:p>
        </w:tc>
        <w:tc>
          <w:tcPr>
            <w:tcW w:w="1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10,430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8,005</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6,431</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4,775</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3,241</w:t>
            </w:r>
          </w:p>
        </w:tc>
        <w:tc>
          <w:tcPr>
            <w:tcW w:w="1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2300" w:type="dxa"/>
            <w:vAlign w:val="bottom"/>
            <w:shd w:val="clear" w:color="auto" w:fill="DBDBDB"/>
          </w:tcPr>
          <w:p>
            <w:pPr>
              <w:ind w:left="160"/>
              <w:spacing w:after="0"/>
              <w:rPr>
                <w:sz w:val="20"/>
                <w:szCs w:val="20"/>
                <w:color w:val="auto"/>
              </w:rPr>
            </w:pPr>
            <w:r>
              <w:rPr>
                <w:rFonts w:ascii="Arial" w:cs="Arial" w:eastAsia="Arial" w:hAnsi="Arial"/>
                <w:sz w:val="11"/>
                <w:szCs w:val="11"/>
                <w:color w:val="auto"/>
                <w:w w:val="99"/>
              </w:rPr>
              <w:t>Separately Capitalized Portfolio Companies</w:t>
            </w:r>
          </w:p>
        </w:tc>
        <w:tc>
          <w:tcPr>
            <w:tcW w:w="80" w:type="dxa"/>
            <w:vAlign w:val="bottom"/>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7,402</w:t>
            </w:r>
          </w:p>
        </w:tc>
        <w:tc>
          <w:tcPr>
            <w:tcW w:w="12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7,111</w:t>
            </w:r>
          </w:p>
        </w:tc>
        <w:tc>
          <w:tcPr>
            <w:tcW w:w="120" w:type="dxa"/>
            <w:vAlign w:val="bottom"/>
            <w:shd w:val="clear" w:color="auto" w:fill="DBDBDB"/>
          </w:tcPr>
          <w:p>
            <w:pPr>
              <w:spacing w:after="0"/>
              <w:rPr>
                <w:sz w:val="14"/>
                <w:szCs w:val="14"/>
                <w:color w:val="auto"/>
              </w:rPr>
            </w:pP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6,882</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10,147</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10,254</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9,893</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8,947</w:t>
            </w:r>
          </w:p>
        </w:tc>
        <w:tc>
          <w:tcPr>
            <w:tcW w:w="140" w:type="dxa"/>
            <w:vAlign w:val="bottom"/>
            <w:shd w:val="clear" w:color="auto" w:fill="DBDBDB"/>
          </w:tcPr>
          <w:p>
            <w:pPr>
              <w:spacing w:after="0"/>
              <w:rPr>
                <w:sz w:val="14"/>
                <w:szCs w:val="14"/>
                <w:color w:val="auto"/>
              </w:rPr>
            </w:pP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8,273</w:t>
            </w:r>
          </w:p>
        </w:tc>
        <w:tc>
          <w:tcPr>
            <w:tcW w:w="0" w:type="dxa"/>
            <w:vAlign w:val="bottom"/>
          </w:tcPr>
          <w:p>
            <w:pPr>
              <w:spacing w:after="0"/>
              <w:rPr>
                <w:sz w:val="1"/>
                <w:szCs w:val="1"/>
                <w:color w:val="auto"/>
              </w:rPr>
            </w:pPr>
          </w:p>
        </w:tc>
      </w:tr>
      <w:tr>
        <w:trPr>
          <w:trHeight w:val="170"/>
        </w:trPr>
        <w:tc>
          <w:tcPr>
            <w:tcW w:w="2300" w:type="dxa"/>
            <w:vAlign w:val="bottom"/>
          </w:tcPr>
          <w:p>
            <w:pPr>
              <w:ind w:left="160"/>
              <w:spacing w:after="0"/>
              <w:rPr>
                <w:sz w:val="20"/>
                <w:szCs w:val="20"/>
                <w:color w:val="auto"/>
              </w:rPr>
            </w:pPr>
            <w:r>
              <w:rPr>
                <w:rFonts w:ascii="Arial" w:cs="Arial" w:eastAsia="Arial" w:hAnsi="Arial"/>
                <w:sz w:val="11"/>
                <w:szCs w:val="11"/>
                <w:color w:val="auto"/>
              </w:rPr>
              <w:t>Co-Investment (Sidecar) Capital</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20,200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19,907</w:t>
            </w:r>
          </w:p>
        </w:tc>
        <w:tc>
          <w:tcPr>
            <w:tcW w:w="1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19,311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11,417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10,273</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9,591</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9,857</w:t>
            </w:r>
          </w:p>
        </w:tc>
        <w:tc>
          <w:tcPr>
            <w:tcW w:w="1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8,181</w:t>
            </w:r>
          </w:p>
        </w:tc>
        <w:tc>
          <w:tcPr>
            <w:tcW w:w="0" w:type="dxa"/>
            <w:vAlign w:val="bottom"/>
          </w:tcPr>
          <w:p>
            <w:pPr>
              <w:spacing w:after="0"/>
              <w:rPr>
                <w:sz w:val="1"/>
                <w:szCs w:val="1"/>
                <w:color w:val="auto"/>
              </w:rPr>
            </w:pPr>
          </w:p>
        </w:tc>
      </w:tr>
      <w:tr>
        <w:trPr>
          <w:trHeight w:val="171"/>
        </w:trPr>
        <w:tc>
          <w:tcPr>
            <w:tcW w:w="23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Liquid and Other Strategies</w:t>
            </w:r>
          </w:p>
        </w:tc>
        <w:tc>
          <w:tcPr>
            <w:tcW w:w="80" w:type="dxa"/>
            <w:vAlign w:val="bottom"/>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4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color w:val="auto"/>
              </w:rPr>
              <w:t>967</w:t>
            </w:r>
          </w:p>
        </w:tc>
        <w:tc>
          <w:tcPr>
            <w:tcW w:w="12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1,046</w:t>
            </w:r>
          </w:p>
        </w:tc>
        <w:tc>
          <w:tcPr>
            <w:tcW w:w="120" w:type="dxa"/>
            <w:vAlign w:val="bottom"/>
            <w:tcBorders>
              <w:bottom w:val="single" w:sz="8" w:color="auto"/>
            </w:tcBorders>
            <w:shd w:val="clear" w:color="auto" w:fill="DBDBDB"/>
          </w:tcPr>
          <w:p>
            <w:pPr>
              <w:spacing w:after="0"/>
              <w:rPr>
                <w:sz w:val="14"/>
                <w:szCs w:val="14"/>
                <w:color w:val="auto"/>
              </w:rPr>
            </w:pPr>
          </w:p>
        </w:tc>
        <w:tc>
          <w:tcPr>
            <w:tcW w:w="60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color w:val="auto"/>
              </w:rPr>
              <w:t>816</w:t>
            </w:r>
          </w:p>
        </w:tc>
        <w:tc>
          <w:tcPr>
            <w:tcW w:w="14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588</w:t>
            </w:r>
          </w:p>
        </w:tc>
        <w:tc>
          <w:tcPr>
            <w:tcW w:w="14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590</w:t>
            </w:r>
          </w:p>
        </w:tc>
        <w:tc>
          <w:tcPr>
            <w:tcW w:w="14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521</w:t>
            </w:r>
          </w:p>
        </w:tc>
        <w:tc>
          <w:tcPr>
            <w:tcW w:w="14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443</w:t>
            </w:r>
          </w:p>
        </w:tc>
        <w:tc>
          <w:tcPr>
            <w:tcW w:w="140" w:type="dxa"/>
            <w:vAlign w:val="bottom"/>
            <w:tcBorders>
              <w:bottom w:val="single" w:sz="8" w:color="auto"/>
            </w:tcBorders>
            <w:shd w:val="clear" w:color="auto" w:fill="DBDBDB"/>
          </w:tcPr>
          <w:p>
            <w:pPr>
              <w:spacing w:after="0"/>
              <w:rPr>
                <w:sz w:val="14"/>
                <w:szCs w:val="14"/>
                <w:color w:val="auto"/>
              </w:rPr>
            </w:pPr>
          </w:p>
        </w:tc>
        <w:tc>
          <w:tcPr>
            <w:tcW w:w="60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20"/>
                <w:szCs w:val="20"/>
                <w:color w:val="auto"/>
              </w:rPr>
            </w:pPr>
            <w:r>
              <w:rPr>
                <w:rFonts w:ascii="Arial" w:cs="Arial" w:eastAsia="Arial" w:hAnsi="Arial"/>
                <w:sz w:val="11"/>
                <w:szCs w:val="11"/>
                <w:b w:val="1"/>
                <w:bCs w:val="1"/>
                <w:color w:val="auto"/>
              </w:rPr>
              <w:t>Digital IM AUM</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ind w:right="7"/>
              <w:spacing w:after="0"/>
              <w:rPr>
                <w:sz w:val="20"/>
                <w:szCs w:val="20"/>
                <w:color w:val="auto"/>
              </w:rPr>
            </w:pPr>
            <w:r>
              <w:rPr>
                <w:rFonts w:ascii="Arial" w:cs="Arial" w:eastAsia="Arial" w:hAnsi="Arial"/>
                <w:sz w:val="11"/>
                <w:szCs w:val="11"/>
                <w:b w:val="1"/>
                <w:bCs w:val="1"/>
                <w:color w:val="auto"/>
              </w:rPr>
              <w:t>45,296</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44,517</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ind w:right="7"/>
              <w:spacing w:after="0"/>
              <w:rPr>
                <w:sz w:val="20"/>
                <w:szCs w:val="20"/>
                <w:color w:val="auto"/>
              </w:rPr>
            </w:pPr>
            <w:r>
              <w:rPr>
                <w:rFonts w:ascii="Arial" w:cs="Arial" w:eastAsia="Arial" w:hAnsi="Arial"/>
                <w:sz w:val="11"/>
                <w:szCs w:val="11"/>
                <w:b w:val="1"/>
                <w:bCs w:val="1"/>
                <w:color w:val="auto"/>
              </w:rPr>
              <w:t>43,619</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36,337</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33,551</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30,711</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28,577</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ind w:right="7"/>
              <w:spacing w:after="0"/>
              <w:rPr>
                <w:sz w:val="20"/>
                <w:szCs w:val="20"/>
                <w:color w:val="auto"/>
              </w:rPr>
            </w:pPr>
            <w:r>
              <w:rPr>
                <w:rFonts w:ascii="Arial" w:cs="Arial" w:eastAsia="Arial" w:hAnsi="Arial"/>
                <w:sz w:val="11"/>
                <w:szCs w:val="11"/>
                <w:b w:val="1"/>
                <w:bCs w:val="1"/>
                <w:color w:val="auto"/>
              </w:rPr>
              <w:t>22,237</w:t>
            </w:r>
          </w:p>
        </w:tc>
        <w:tc>
          <w:tcPr>
            <w:tcW w:w="0" w:type="dxa"/>
            <w:vAlign w:val="bottom"/>
          </w:tcPr>
          <w:p>
            <w:pPr>
              <w:spacing w:after="0"/>
              <w:rPr>
                <w:sz w:val="1"/>
                <w:szCs w:val="1"/>
                <w:color w:val="auto"/>
              </w:rPr>
            </w:pPr>
          </w:p>
        </w:tc>
      </w:tr>
      <w:tr>
        <w:trPr>
          <w:trHeight w:val="356"/>
        </w:trPr>
        <w:tc>
          <w:tcPr>
            <w:tcW w:w="2300" w:type="dxa"/>
            <w:vAlign w:val="bottom"/>
          </w:tcPr>
          <w:p>
            <w:pPr>
              <w:spacing w:after="0"/>
              <w:rPr>
                <w:sz w:val="24"/>
                <w:szCs w:val="24"/>
                <w:color w:val="auto"/>
              </w:rPr>
            </w:pPr>
          </w:p>
        </w:tc>
        <w:tc>
          <w:tcPr>
            <w:tcW w:w="660" w:type="dxa"/>
            <w:vAlign w:val="bottom"/>
            <w:gridSpan w:val="2"/>
          </w:tcPr>
          <w:p>
            <w:pPr>
              <w:jc w:val="center"/>
              <w:ind w:left="27"/>
              <w:spacing w:after="0"/>
              <w:rPr>
                <w:sz w:val="20"/>
                <w:szCs w:val="20"/>
                <w:color w:val="auto"/>
              </w:rPr>
            </w:pPr>
            <w:r>
              <w:rPr>
                <w:rFonts w:ascii="Arial" w:cs="Arial" w:eastAsia="Arial" w:hAnsi="Arial"/>
                <w:sz w:val="10"/>
                <w:szCs w:val="10"/>
                <w:b w:val="1"/>
                <w:bCs w:val="1"/>
                <w:color w:val="auto"/>
              </w:rPr>
              <w:t>6/30/22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300" w:type="dxa"/>
            <w:vAlign w:val="bottom"/>
            <w:vMerge w:val="restart"/>
          </w:tcPr>
          <w:p>
            <w:pPr>
              <w:spacing w:after="0"/>
              <w:rPr>
                <w:sz w:val="20"/>
                <w:szCs w:val="20"/>
                <w:color w:val="auto"/>
              </w:rPr>
            </w:pPr>
            <w:r>
              <w:rPr>
                <w:rFonts w:ascii="Arial" w:cs="Arial" w:eastAsia="Arial" w:hAnsi="Arial"/>
                <w:sz w:val="12"/>
                <w:szCs w:val="12"/>
                <w:b w:val="1"/>
                <w:bCs w:val="1"/>
                <w:color w:val="003366"/>
              </w:rPr>
              <w:t>FEEUM DBRG OP Share</w:t>
            </w:r>
          </w:p>
        </w:tc>
        <w:tc>
          <w:tcPr>
            <w:tcW w:w="80" w:type="dxa"/>
            <w:vAlign w:val="bottom"/>
          </w:tcPr>
          <w:p>
            <w:pPr>
              <w:spacing w:after="0"/>
              <w:rPr>
                <w:sz w:val="8"/>
                <w:szCs w:val="8"/>
                <w:color w:val="auto"/>
              </w:rPr>
            </w:pPr>
          </w:p>
        </w:tc>
        <w:tc>
          <w:tcPr>
            <w:tcW w:w="5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rPr>
              <w:t>Annual IM</w:t>
            </w:r>
          </w:p>
        </w:tc>
        <w:tc>
          <w:tcPr>
            <w:tcW w:w="140" w:type="dxa"/>
            <w:vAlign w:val="bottom"/>
          </w:tcPr>
          <w:p>
            <w:pPr>
              <w:spacing w:after="0"/>
              <w:rPr>
                <w:sz w:val="8"/>
                <w:szCs w:val="8"/>
                <w:color w:val="auto"/>
              </w:rPr>
            </w:pPr>
          </w:p>
        </w:tc>
        <w:tc>
          <w:tcPr>
            <w:tcW w:w="580" w:type="dxa"/>
            <w:vAlign w:val="bottom"/>
            <w:vMerge w:val="restart"/>
          </w:tcPr>
          <w:p>
            <w:pPr>
              <w:jc w:val="center"/>
              <w:ind w:right="87"/>
              <w:spacing w:after="0"/>
              <w:rPr>
                <w:sz w:val="20"/>
                <w:szCs w:val="20"/>
                <w:color w:val="auto"/>
              </w:rPr>
            </w:pPr>
            <w:r>
              <w:rPr>
                <w:rFonts w:ascii="Arial" w:cs="Arial" w:eastAsia="Arial" w:hAnsi="Arial"/>
                <w:sz w:val="10"/>
                <w:szCs w:val="10"/>
                <w:b w:val="1"/>
                <w:bCs w:val="1"/>
                <w:color w:val="auto"/>
                <w:w w:val="95"/>
              </w:rPr>
              <w:t>6/30/22</w:t>
            </w:r>
          </w:p>
        </w:tc>
        <w:tc>
          <w:tcPr>
            <w:tcW w:w="120" w:type="dxa"/>
            <w:vAlign w:val="bottom"/>
          </w:tcPr>
          <w:p>
            <w:pPr>
              <w:spacing w:after="0"/>
              <w:rPr>
                <w:sz w:val="8"/>
                <w:szCs w:val="8"/>
                <w:color w:val="auto"/>
              </w:rPr>
            </w:pPr>
          </w:p>
        </w:tc>
        <w:tc>
          <w:tcPr>
            <w:tcW w:w="580" w:type="dxa"/>
            <w:vAlign w:val="bottom"/>
            <w:vMerge w:val="restart"/>
          </w:tcPr>
          <w:p>
            <w:pPr>
              <w:jc w:val="center"/>
              <w:ind w:right="67"/>
              <w:spacing w:after="0"/>
              <w:rPr>
                <w:sz w:val="20"/>
                <w:szCs w:val="20"/>
                <w:color w:val="auto"/>
              </w:rPr>
            </w:pPr>
            <w:r>
              <w:rPr>
                <w:rFonts w:ascii="Arial" w:cs="Arial" w:eastAsia="Arial" w:hAnsi="Arial"/>
                <w:sz w:val="10"/>
                <w:szCs w:val="10"/>
                <w:b w:val="1"/>
                <w:bCs w:val="1"/>
                <w:color w:val="auto"/>
              </w:rPr>
              <w:t>3/31/22</w:t>
            </w:r>
          </w:p>
        </w:tc>
        <w:tc>
          <w:tcPr>
            <w:tcW w:w="120" w:type="dxa"/>
            <w:vAlign w:val="bottom"/>
          </w:tcPr>
          <w:p>
            <w:pPr>
              <w:spacing w:after="0"/>
              <w:rPr>
                <w:sz w:val="8"/>
                <w:szCs w:val="8"/>
                <w:color w:val="auto"/>
              </w:rPr>
            </w:pPr>
          </w:p>
        </w:tc>
        <w:tc>
          <w:tcPr>
            <w:tcW w:w="600" w:type="dxa"/>
            <w:vAlign w:val="bottom"/>
            <w:vMerge w:val="restart"/>
          </w:tcPr>
          <w:p>
            <w:pPr>
              <w:jc w:val="center"/>
              <w:ind w:right="47"/>
              <w:spacing w:after="0"/>
              <w:rPr>
                <w:sz w:val="20"/>
                <w:szCs w:val="20"/>
                <w:color w:val="auto"/>
              </w:rPr>
            </w:pPr>
            <w:r>
              <w:rPr>
                <w:rFonts w:ascii="Arial" w:cs="Arial" w:eastAsia="Arial" w:hAnsi="Arial"/>
                <w:sz w:val="10"/>
                <w:szCs w:val="10"/>
                <w:b w:val="1"/>
                <w:bCs w:val="1"/>
                <w:color w:val="auto"/>
                <w:w w:val="97"/>
              </w:rPr>
              <w:t>12/31/21</w:t>
            </w:r>
          </w:p>
        </w:tc>
        <w:tc>
          <w:tcPr>
            <w:tcW w:w="140" w:type="dxa"/>
            <w:vAlign w:val="bottom"/>
          </w:tcPr>
          <w:p>
            <w:pPr>
              <w:spacing w:after="0"/>
              <w:rPr>
                <w:sz w:val="8"/>
                <w:szCs w:val="8"/>
                <w:color w:val="auto"/>
              </w:rPr>
            </w:pPr>
          </w:p>
        </w:tc>
        <w:tc>
          <w:tcPr>
            <w:tcW w:w="560" w:type="dxa"/>
            <w:vAlign w:val="bottom"/>
            <w:vMerge w:val="restart"/>
          </w:tcPr>
          <w:p>
            <w:pPr>
              <w:jc w:val="center"/>
              <w:ind w:right="87"/>
              <w:spacing w:after="0"/>
              <w:rPr>
                <w:sz w:val="20"/>
                <w:szCs w:val="20"/>
                <w:color w:val="auto"/>
              </w:rPr>
            </w:pPr>
            <w:r>
              <w:rPr>
                <w:rFonts w:ascii="Arial" w:cs="Arial" w:eastAsia="Arial" w:hAnsi="Arial"/>
                <w:sz w:val="10"/>
                <w:szCs w:val="10"/>
                <w:b w:val="1"/>
                <w:bCs w:val="1"/>
                <w:color w:val="auto"/>
              </w:rPr>
              <w:t>9/30/21</w:t>
            </w:r>
          </w:p>
        </w:tc>
        <w:tc>
          <w:tcPr>
            <w:tcW w:w="140" w:type="dxa"/>
            <w:vAlign w:val="bottom"/>
          </w:tcPr>
          <w:p>
            <w:pPr>
              <w:spacing w:after="0"/>
              <w:rPr>
                <w:sz w:val="8"/>
                <w:szCs w:val="8"/>
                <w:color w:val="auto"/>
              </w:rPr>
            </w:pPr>
          </w:p>
        </w:tc>
        <w:tc>
          <w:tcPr>
            <w:tcW w:w="580" w:type="dxa"/>
            <w:vAlign w:val="bottom"/>
            <w:vMerge w:val="restart"/>
          </w:tcPr>
          <w:p>
            <w:pPr>
              <w:jc w:val="center"/>
              <w:ind w:right="67"/>
              <w:spacing w:after="0"/>
              <w:rPr>
                <w:sz w:val="20"/>
                <w:szCs w:val="20"/>
                <w:color w:val="auto"/>
              </w:rPr>
            </w:pPr>
            <w:r>
              <w:rPr>
                <w:rFonts w:ascii="Arial" w:cs="Arial" w:eastAsia="Arial" w:hAnsi="Arial"/>
                <w:sz w:val="10"/>
                <w:szCs w:val="10"/>
                <w:b w:val="1"/>
                <w:bCs w:val="1"/>
                <w:color w:val="auto"/>
              </w:rPr>
              <w:t>6/30/21</w:t>
            </w:r>
          </w:p>
        </w:tc>
        <w:tc>
          <w:tcPr>
            <w:tcW w:w="140" w:type="dxa"/>
            <w:vAlign w:val="bottom"/>
          </w:tcPr>
          <w:p>
            <w:pPr>
              <w:spacing w:after="0"/>
              <w:rPr>
                <w:sz w:val="8"/>
                <w:szCs w:val="8"/>
                <w:color w:val="auto"/>
              </w:rPr>
            </w:pPr>
          </w:p>
        </w:tc>
        <w:tc>
          <w:tcPr>
            <w:tcW w:w="580" w:type="dxa"/>
            <w:vAlign w:val="bottom"/>
            <w:vMerge w:val="restart"/>
          </w:tcPr>
          <w:p>
            <w:pPr>
              <w:jc w:val="center"/>
              <w:ind w:right="67"/>
              <w:spacing w:after="0"/>
              <w:rPr>
                <w:sz w:val="20"/>
                <w:szCs w:val="20"/>
                <w:color w:val="auto"/>
              </w:rPr>
            </w:pPr>
            <w:r>
              <w:rPr>
                <w:rFonts w:ascii="Arial" w:cs="Arial" w:eastAsia="Arial" w:hAnsi="Arial"/>
                <w:sz w:val="10"/>
                <w:szCs w:val="10"/>
                <w:b w:val="1"/>
                <w:bCs w:val="1"/>
                <w:color w:val="auto"/>
              </w:rPr>
              <w:t>3/31/21</w:t>
            </w:r>
          </w:p>
        </w:tc>
        <w:tc>
          <w:tcPr>
            <w:tcW w:w="140" w:type="dxa"/>
            <w:vAlign w:val="bottom"/>
          </w:tcPr>
          <w:p>
            <w:pPr>
              <w:spacing w:after="0"/>
              <w:rPr>
                <w:sz w:val="8"/>
                <w:szCs w:val="8"/>
                <w:color w:val="auto"/>
              </w:rPr>
            </w:pPr>
          </w:p>
        </w:tc>
        <w:tc>
          <w:tcPr>
            <w:tcW w:w="580" w:type="dxa"/>
            <w:vAlign w:val="bottom"/>
            <w:vMerge w:val="restart"/>
          </w:tcPr>
          <w:p>
            <w:pPr>
              <w:jc w:val="center"/>
              <w:ind w:right="67"/>
              <w:spacing w:after="0"/>
              <w:rPr>
                <w:sz w:val="20"/>
                <w:szCs w:val="20"/>
                <w:color w:val="auto"/>
              </w:rPr>
            </w:pPr>
            <w:r>
              <w:rPr>
                <w:rFonts w:ascii="Arial" w:cs="Arial" w:eastAsia="Arial" w:hAnsi="Arial"/>
                <w:sz w:val="10"/>
                <w:szCs w:val="10"/>
                <w:b w:val="1"/>
                <w:bCs w:val="1"/>
                <w:color w:val="auto"/>
                <w:w w:val="97"/>
              </w:rPr>
              <w:t>12/31/20</w:t>
            </w:r>
          </w:p>
        </w:tc>
        <w:tc>
          <w:tcPr>
            <w:tcW w:w="140" w:type="dxa"/>
            <w:vAlign w:val="bottom"/>
          </w:tcPr>
          <w:p>
            <w:pPr>
              <w:spacing w:after="0"/>
              <w:rPr>
                <w:sz w:val="8"/>
                <w:szCs w:val="8"/>
                <w:color w:val="auto"/>
              </w:rPr>
            </w:pPr>
          </w:p>
        </w:tc>
        <w:tc>
          <w:tcPr>
            <w:tcW w:w="600" w:type="dxa"/>
            <w:vAlign w:val="bottom"/>
            <w:vMerge w:val="restart"/>
          </w:tcPr>
          <w:p>
            <w:pPr>
              <w:jc w:val="center"/>
              <w:ind w:right="87"/>
              <w:spacing w:after="0"/>
              <w:rPr>
                <w:sz w:val="20"/>
                <w:szCs w:val="20"/>
                <w:color w:val="auto"/>
              </w:rPr>
            </w:pPr>
            <w:r>
              <w:rPr>
                <w:rFonts w:ascii="Arial" w:cs="Arial" w:eastAsia="Arial" w:hAnsi="Arial"/>
                <w:sz w:val="10"/>
                <w:szCs w:val="10"/>
                <w:b w:val="1"/>
                <w:bCs w:val="1"/>
                <w:color w:val="auto"/>
              </w:rPr>
              <w:t>9/30/20</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DBDBDB"/>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Fee Rate</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3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DigitalBridge Partners I</w:t>
            </w:r>
          </w:p>
        </w:tc>
        <w:tc>
          <w:tcPr>
            <w:tcW w:w="80" w:type="dxa"/>
            <w:vAlign w:val="bottom"/>
          </w:tcPr>
          <w:p>
            <w:pPr>
              <w:spacing w:after="0"/>
              <w:rPr>
                <w:sz w:val="13"/>
                <w:szCs w:val="13"/>
                <w:color w:val="auto"/>
              </w:rPr>
            </w:pPr>
          </w:p>
        </w:tc>
        <w:tc>
          <w:tcPr>
            <w:tcW w:w="58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1.10%</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3,048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3,034</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3,215</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3,040</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3,081</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3,179</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3,756</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3,756</w:t>
            </w:r>
          </w:p>
        </w:tc>
        <w:tc>
          <w:tcPr>
            <w:tcW w:w="0" w:type="dxa"/>
            <w:vAlign w:val="bottom"/>
          </w:tcPr>
          <w:p>
            <w:pPr>
              <w:spacing w:after="0"/>
              <w:rPr>
                <w:sz w:val="1"/>
                <w:szCs w:val="1"/>
                <w:color w:val="auto"/>
              </w:rPr>
            </w:pPr>
          </w:p>
        </w:tc>
      </w:tr>
      <w:tr>
        <w:trPr>
          <w:trHeight w:val="170"/>
        </w:trPr>
        <w:tc>
          <w:tcPr>
            <w:tcW w:w="2300" w:type="dxa"/>
            <w:vAlign w:val="bottom"/>
          </w:tcPr>
          <w:p>
            <w:pPr>
              <w:ind w:left="160"/>
              <w:spacing w:after="0"/>
              <w:rPr>
                <w:sz w:val="20"/>
                <w:szCs w:val="20"/>
                <w:color w:val="auto"/>
              </w:rPr>
            </w:pPr>
            <w:r>
              <w:rPr>
                <w:rFonts w:ascii="Arial" w:cs="Arial" w:eastAsia="Arial" w:hAnsi="Arial"/>
                <w:sz w:val="11"/>
                <w:szCs w:val="11"/>
                <w:color w:val="auto"/>
              </w:rPr>
              <w:t>DigitalBridge Partners II</w:t>
            </w:r>
          </w:p>
        </w:tc>
        <w:tc>
          <w:tcPr>
            <w:tcW w:w="660" w:type="dxa"/>
            <w:vAlign w:val="bottom"/>
            <w:gridSpan w:val="2"/>
          </w:tcPr>
          <w:p>
            <w:pPr>
              <w:jc w:val="center"/>
              <w:ind w:left="27"/>
              <w:spacing w:after="0"/>
              <w:rPr>
                <w:sz w:val="20"/>
                <w:szCs w:val="20"/>
                <w:color w:val="auto"/>
              </w:rPr>
            </w:pPr>
            <w:r>
              <w:rPr>
                <w:rFonts w:ascii="Arial" w:cs="Arial" w:eastAsia="Arial" w:hAnsi="Arial"/>
                <w:sz w:val="11"/>
                <w:szCs w:val="11"/>
                <w:color w:val="auto"/>
                <w:w w:val="96"/>
              </w:rPr>
              <w:t>1.18%</w:t>
            </w:r>
          </w:p>
        </w:tc>
        <w:tc>
          <w:tcPr>
            <w:tcW w:w="14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7,996</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7,996</w:t>
            </w:r>
          </w:p>
        </w:tc>
        <w:tc>
          <w:tcPr>
            <w:tcW w:w="1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8,001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7,146</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5,519</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3,964</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3,217</w:t>
            </w:r>
          </w:p>
        </w:tc>
        <w:tc>
          <w:tcPr>
            <w:tcW w:w="1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2300" w:type="dxa"/>
            <w:vAlign w:val="bottom"/>
            <w:shd w:val="clear" w:color="auto" w:fill="DBDBDB"/>
          </w:tcPr>
          <w:p>
            <w:pPr>
              <w:ind w:left="160"/>
              <w:spacing w:after="0"/>
              <w:rPr>
                <w:sz w:val="20"/>
                <w:szCs w:val="20"/>
                <w:color w:val="auto"/>
              </w:rPr>
            </w:pPr>
            <w:r>
              <w:rPr>
                <w:rFonts w:ascii="Arial" w:cs="Arial" w:eastAsia="Arial" w:hAnsi="Arial"/>
                <w:sz w:val="11"/>
                <w:szCs w:val="11"/>
                <w:color w:val="auto"/>
                <w:w w:val="99"/>
              </w:rPr>
              <w:t>Separately Capitalized Portfolio Companies</w:t>
            </w:r>
          </w:p>
        </w:tc>
        <w:tc>
          <w:tcPr>
            <w:tcW w:w="80" w:type="dxa"/>
            <w:vAlign w:val="bottom"/>
          </w:tcPr>
          <w:p>
            <w:pPr>
              <w:spacing w:after="0"/>
              <w:rPr>
                <w:sz w:val="14"/>
                <w:szCs w:val="14"/>
                <w:color w:val="auto"/>
              </w:rPr>
            </w:pPr>
          </w:p>
        </w:tc>
        <w:tc>
          <w:tcPr>
            <w:tcW w:w="58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0.81%</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2,401</w:t>
            </w:r>
          </w:p>
        </w:tc>
        <w:tc>
          <w:tcPr>
            <w:tcW w:w="12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2,372</w:t>
            </w:r>
          </w:p>
        </w:tc>
        <w:tc>
          <w:tcPr>
            <w:tcW w:w="120" w:type="dxa"/>
            <w:vAlign w:val="bottom"/>
            <w:shd w:val="clear" w:color="auto" w:fill="DBDBDB"/>
          </w:tcPr>
          <w:p>
            <w:pPr>
              <w:spacing w:after="0"/>
              <w:rPr>
                <w:sz w:val="14"/>
                <w:szCs w:val="14"/>
                <w:color w:val="auto"/>
              </w:rPr>
            </w:pP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2,148</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2,576</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2,576</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2,534</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2,777</w:t>
            </w:r>
          </w:p>
        </w:tc>
        <w:tc>
          <w:tcPr>
            <w:tcW w:w="140" w:type="dxa"/>
            <w:vAlign w:val="bottom"/>
            <w:shd w:val="clear" w:color="auto" w:fill="DBDBDB"/>
          </w:tcPr>
          <w:p>
            <w:pPr>
              <w:spacing w:after="0"/>
              <w:rPr>
                <w:sz w:val="14"/>
                <w:szCs w:val="14"/>
                <w:color w:val="auto"/>
              </w:rPr>
            </w:pP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2,603</w:t>
            </w:r>
          </w:p>
        </w:tc>
        <w:tc>
          <w:tcPr>
            <w:tcW w:w="0" w:type="dxa"/>
            <w:vAlign w:val="bottom"/>
          </w:tcPr>
          <w:p>
            <w:pPr>
              <w:spacing w:after="0"/>
              <w:rPr>
                <w:sz w:val="1"/>
                <w:szCs w:val="1"/>
                <w:color w:val="auto"/>
              </w:rPr>
            </w:pPr>
          </w:p>
        </w:tc>
      </w:tr>
      <w:tr>
        <w:trPr>
          <w:trHeight w:val="170"/>
        </w:trPr>
        <w:tc>
          <w:tcPr>
            <w:tcW w:w="2300" w:type="dxa"/>
            <w:vAlign w:val="bottom"/>
          </w:tcPr>
          <w:p>
            <w:pPr>
              <w:ind w:left="160"/>
              <w:spacing w:after="0"/>
              <w:rPr>
                <w:sz w:val="20"/>
                <w:szCs w:val="20"/>
                <w:color w:val="auto"/>
              </w:rPr>
            </w:pPr>
            <w:r>
              <w:rPr>
                <w:rFonts w:ascii="Arial" w:cs="Arial" w:eastAsia="Arial" w:hAnsi="Arial"/>
                <w:sz w:val="11"/>
                <w:szCs w:val="11"/>
                <w:color w:val="auto"/>
              </w:rPr>
              <w:t>Co-Investment (Sidecar) Capital</w:t>
            </w:r>
          </w:p>
        </w:tc>
        <w:tc>
          <w:tcPr>
            <w:tcW w:w="660" w:type="dxa"/>
            <w:vAlign w:val="bottom"/>
            <w:gridSpan w:val="2"/>
          </w:tcPr>
          <w:p>
            <w:pPr>
              <w:jc w:val="center"/>
              <w:ind w:left="27"/>
              <w:spacing w:after="0"/>
              <w:rPr>
                <w:sz w:val="20"/>
                <w:szCs w:val="20"/>
                <w:color w:val="auto"/>
              </w:rPr>
            </w:pPr>
            <w:r>
              <w:rPr>
                <w:rFonts w:ascii="Arial" w:cs="Arial" w:eastAsia="Arial" w:hAnsi="Arial"/>
                <w:sz w:val="11"/>
                <w:szCs w:val="11"/>
                <w:color w:val="auto"/>
                <w:w w:val="96"/>
              </w:rPr>
              <w:t>0.53%</w:t>
            </w:r>
          </w:p>
        </w:tc>
        <w:tc>
          <w:tcPr>
            <w:tcW w:w="14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4,651</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4,370</w:t>
            </w:r>
          </w:p>
        </w:tc>
        <w:tc>
          <w:tcPr>
            <w:tcW w:w="1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3,184</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2,817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2,744</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2,655</w:t>
            </w:r>
          </w:p>
        </w:tc>
        <w:tc>
          <w:tcPr>
            <w:tcW w:w="1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2,042</w:t>
            </w:r>
          </w:p>
        </w:tc>
        <w:tc>
          <w:tcPr>
            <w:tcW w:w="0" w:type="dxa"/>
            <w:vAlign w:val="bottom"/>
          </w:tcPr>
          <w:p>
            <w:pPr>
              <w:spacing w:after="0"/>
              <w:rPr>
                <w:sz w:val="1"/>
                <w:szCs w:val="1"/>
                <w:color w:val="auto"/>
              </w:rPr>
            </w:pPr>
          </w:p>
        </w:tc>
      </w:tr>
      <w:tr>
        <w:trPr>
          <w:trHeight w:val="171"/>
        </w:trPr>
        <w:tc>
          <w:tcPr>
            <w:tcW w:w="23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Liquid and Other Strategies</w:t>
            </w:r>
          </w:p>
        </w:tc>
        <w:tc>
          <w:tcPr>
            <w:tcW w:w="80" w:type="dxa"/>
            <w:vAlign w:val="bottom"/>
          </w:tcPr>
          <w:p>
            <w:pPr>
              <w:spacing w:after="0"/>
              <w:rPr>
                <w:sz w:val="14"/>
                <w:szCs w:val="14"/>
                <w:color w:val="auto"/>
              </w:rPr>
            </w:pPr>
          </w:p>
        </w:tc>
        <w:tc>
          <w:tcPr>
            <w:tcW w:w="5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1"/>
                <w:szCs w:val="11"/>
                <w:color w:val="auto"/>
                <w:w w:val="96"/>
              </w:rPr>
              <w:t>0.42%</w:t>
            </w:r>
          </w:p>
        </w:tc>
        <w:tc>
          <w:tcPr>
            <w:tcW w:w="14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color w:val="auto"/>
              </w:rPr>
              <w:t>933</w:t>
            </w:r>
          </w:p>
        </w:tc>
        <w:tc>
          <w:tcPr>
            <w:tcW w:w="12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1,013</w:t>
            </w:r>
          </w:p>
        </w:tc>
        <w:tc>
          <w:tcPr>
            <w:tcW w:w="120" w:type="dxa"/>
            <w:vAlign w:val="bottom"/>
            <w:tcBorders>
              <w:bottom w:val="single" w:sz="8" w:color="auto"/>
            </w:tcBorders>
            <w:shd w:val="clear" w:color="auto" w:fill="DBDBDB"/>
          </w:tcPr>
          <w:p>
            <w:pPr>
              <w:spacing w:after="0"/>
              <w:rPr>
                <w:sz w:val="14"/>
                <w:szCs w:val="14"/>
                <w:color w:val="auto"/>
              </w:rPr>
            </w:pPr>
          </w:p>
        </w:tc>
        <w:tc>
          <w:tcPr>
            <w:tcW w:w="60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color w:val="auto"/>
              </w:rPr>
              <w:t>786</w:t>
            </w:r>
          </w:p>
        </w:tc>
        <w:tc>
          <w:tcPr>
            <w:tcW w:w="14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510</w:t>
            </w:r>
          </w:p>
        </w:tc>
        <w:tc>
          <w:tcPr>
            <w:tcW w:w="14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512</w:t>
            </w:r>
          </w:p>
        </w:tc>
        <w:tc>
          <w:tcPr>
            <w:tcW w:w="14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432</w:t>
            </w:r>
          </w:p>
        </w:tc>
        <w:tc>
          <w:tcPr>
            <w:tcW w:w="14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437</w:t>
            </w:r>
          </w:p>
        </w:tc>
        <w:tc>
          <w:tcPr>
            <w:tcW w:w="140" w:type="dxa"/>
            <w:vAlign w:val="bottom"/>
            <w:tcBorders>
              <w:bottom w:val="single" w:sz="8" w:color="auto"/>
            </w:tcBorders>
            <w:shd w:val="clear" w:color="auto" w:fill="DBDBDB"/>
          </w:tcPr>
          <w:p>
            <w:pPr>
              <w:spacing w:after="0"/>
              <w:rPr>
                <w:sz w:val="14"/>
                <w:szCs w:val="14"/>
                <w:color w:val="auto"/>
              </w:rPr>
            </w:pPr>
          </w:p>
        </w:tc>
        <w:tc>
          <w:tcPr>
            <w:tcW w:w="60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20"/>
                <w:szCs w:val="20"/>
                <w:color w:val="auto"/>
              </w:rPr>
            </w:pPr>
            <w:r>
              <w:rPr>
                <w:rFonts w:ascii="Arial" w:cs="Arial" w:eastAsia="Arial" w:hAnsi="Arial"/>
                <w:sz w:val="11"/>
                <w:szCs w:val="11"/>
                <w:b w:val="1"/>
                <w:bCs w:val="1"/>
                <w:color w:val="auto"/>
              </w:rPr>
              <w:t>Digital IM FEEUM</w:t>
            </w:r>
          </w:p>
        </w:tc>
        <w:tc>
          <w:tcPr>
            <w:tcW w:w="660" w:type="dxa"/>
            <w:vAlign w:val="bottom"/>
            <w:gridSpan w:val="2"/>
          </w:tcPr>
          <w:p>
            <w:pPr>
              <w:jc w:val="center"/>
              <w:ind w:left="27"/>
              <w:spacing w:after="0"/>
              <w:rPr>
                <w:sz w:val="20"/>
                <w:szCs w:val="20"/>
                <w:color w:val="auto"/>
              </w:rPr>
            </w:pPr>
            <w:r>
              <w:rPr>
                <w:rFonts w:ascii="Arial" w:cs="Arial" w:eastAsia="Arial" w:hAnsi="Arial"/>
                <w:sz w:val="11"/>
                <w:szCs w:val="11"/>
                <w:b w:val="1"/>
                <w:bCs w:val="1"/>
                <w:color w:val="auto"/>
                <w:w w:val="96"/>
              </w:rPr>
              <w:t>0.92%</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ind w:right="7"/>
              <w:spacing w:after="0"/>
              <w:rPr>
                <w:sz w:val="20"/>
                <w:szCs w:val="20"/>
                <w:color w:val="auto"/>
              </w:rPr>
            </w:pPr>
            <w:r>
              <w:rPr>
                <w:rFonts w:ascii="Arial" w:cs="Arial" w:eastAsia="Arial" w:hAnsi="Arial"/>
                <w:sz w:val="11"/>
                <w:szCs w:val="11"/>
                <w:b w:val="1"/>
                <w:bCs w:val="1"/>
                <w:color w:val="auto"/>
              </w:rPr>
              <w:t>19,029</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18,785</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ind w:right="7"/>
              <w:spacing w:after="0"/>
              <w:rPr>
                <w:sz w:val="20"/>
                <w:szCs w:val="20"/>
                <w:color w:val="auto"/>
              </w:rPr>
            </w:pPr>
            <w:r>
              <w:rPr>
                <w:rFonts w:ascii="Arial" w:cs="Arial" w:eastAsia="Arial" w:hAnsi="Arial"/>
                <w:sz w:val="11"/>
                <w:szCs w:val="11"/>
                <w:b w:val="1"/>
                <w:bCs w:val="1"/>
                <w:color w:val="auto"/>
              </w:rPr>
              <w:t>18,255</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16,456</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14,505</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12,853</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12,842</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ind w:right="7"/>
              <w:spacing w:after="0"/>
              <w:rPr>
                <w:sz w:val="20"/>
                <w:szCs w:val="20"/>
                <w:color w:val="auto"/>
              </w:rPr>
            </w:pPr>
            <w:r>
              <w:rPr>
                <w:rFonts w:ascii="Arial" w:cs="Arial" w:eastAsia="Arial" w:hAnsi="Arial"/>
                <w:sz w:val="11"/>
                <w:szCs w:val="11"/>
                <w:b w:val="1"/>
                <w:bCs w:val="1"/>
                <w:color w:val="auto"/>
              </w:rPr>
              <w:t>8,554</w:t>
            </w:r>
          </w:p>
        </w:tc>
        <w:tc>
          <w:tcPr>
            <w:tcW w:w="0" w:type="dxa"/>
            <w:vAlign w:val="bottom"/>
          </w:tcPr>
          <w:p>
            <w:pPr>
              <w:spacing w:after="0"/>
              <w:rPr>
                <w:sz w:val="1"/>
                <w:szCs w:val="1"/>
                <w:color w:val="auto"/>
              </w:rPr>
            </w:pPr>
          </w:p>
        </w:tc>
      </w:tr>
      <w:tr>
        <w:trPr>
          <w:trHeight w:val="559"/>
        </w:trPr>
        <w:tc>
          <w:tcPr>
            <w:tcW w:w="2300" w:type="dxa"/>
            <w:vAlign w:val="bottom"/>
          </w:tcPr>
          <w:p>
            <w:pPr>
              <w:spacing w:after="0"/>
              <w:rPr>
                <w:sz w:val="20"/>
                <w:szCs w:val="20"/>
                <w:color w:val="auto"/>
              </w:rPr>
            </w:pPr>
            <w:r>
              <w:rPr>
                <w:rFonts w:ascii="Arial" w:cs="Arial" w:eastAsia="Arial" w:hAnsi="Arial"/>
                <w:sz w:val="10"/>
                <w:szCs w:val="10"/>
                <w:i w:val="1"/>
                <w:iCs w:val="1"/>
                <w:color w:val="auto"/>
              </w:rPr>
              <w:t>($ in thousands)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300" w:type="dxa"/>
            <w:vAlign w:val="bottom"/>
            <w:tcBorders>
              <w:bottom w:val="single" w:sz="8" w:color="DBDBDB"/>
            </w:tcBorders>
          </w:tcPr>
          <w:p>
            <w:pPr>
              <w:spacing w:after="0"/>
              <w:rPr>
                <w:sz w:val="20"/>
                <w:szCs w:val="20"/>
                <w:color w:val="auto"/>
              </w:rPr>
            </w:pPr>
            <w:r>
              <w:rPr>
                <w:rFonts w:ascii="Arial" w:cs="Arial" w:eastAsia="Arial" w:hAnsi="Arial"/>
                <w:sz w:val="12"/>
                <w:szCs w:val="12"/>
                <w:b w:val="1"/>
                <w:bCs w:val="1"/>
                <w:color w:val="003366"/>
              </w:rPr>
              <w:t>Digital IM FRE</w:t>
            </w:r>
          </w:p>
        </w:tc>
        <w:tc>
          <w:tcPr>
            <w:tcW w:w="80" w:type="dxa"/>
            <w:vAlign w:val="bottom"/>
          </w:tcPr>
          <w:p>
            <w:pPr>
              <w:spacing w:after="0"/>
              <w:rPr>
                <w:sz w:val="15"/>
                <w:szCs w:val="15"/>
                <w:color w:val="auto"/>
              </w:rPr>
            </w:pPr>
          </w:p>
        </w:tc>
        <w:tc>
          <w:tcPr>
            <w:tcW w:w="58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87"/>
              <w:spacing w:after="0"/>
              <w:rPr>
                <w:sz w:val="20"/>
                <w:szCs w:val="20"/>
                <w:color w:val="auto"/>
              </w:rPr>
            </w:pPr>
            <w:r>
              <w:rPr>
                <w:rFonts w:ascii="Arial" w:cs="Arial" w:eastAsia="Arial" w:hAnsi="Arial"/>
                <w:sz w:val="10"/>
                <w:szCs w:val="10"/>
                <w:b w:val="1"/>
                <w:bCs w:val="1"/>
                <w:color w:val="auto"/>
                <w:w w:val="97"/>
              </w:rPr>
              <w:t>2Q22</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w w:val="97"/>
              </w:rPr>
              <w:t>1Q22</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w w:val="97"/>
              </w:rPr>
              <w:t>4Q21</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w w:val="97"/>
              </w:rPr>
              <w:t>3Q21</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rPr>
              <w:t>2Q21</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rPr>
              <w:t>1Q21</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rPr>
              <w:t>4Q20</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87"/>
              <w:spacing w:after="0"/>
              <w:rPr>
                <w:sz w:val="20"/>
                <w:szCs w:val="20"/>
                <w:color w:val="auto"/>
              </w:rPr>
            </w:pPr>
            <w:r>
              <w:rPr>
                <w:rFonts w:ascii="Arial" w:cs="Arial" w:eastAsia="Arial" w:hAnsi="Arial"/>
                <w:sz w:val="10"/>
                <w:szCs w:val="10"/>
                <w:b w:val="1"/>
                <w:bCs w:val="1"/>
                <w:color w:val="auto"/>
              </w:rPr>
              <w:t>3Q20</w:t>
            </w:r>
          </w:p>
        </w:tc>
        <w:tc>
          <w:tcPr>
            <w:tcW w:w="0" w:type="dxa"/>
            <w:vAlign w:val="bottom"/>
          </w:tcPr>
          <w:p>
            <w:pPr>
              <w:spacing w:after="0"/>
              <w:rPr>
                <w:sz w:val="1"/>
                <w:szCs w:val="1"/>
                <w:color w:val="auto"/>
              </w:rPr>
            </w:pPr>
          </w:p>
        </w:tc>
      </w:tr>
      <w:tr>
        <w:trPr>
          <w:trHeight w:val="151"/>
        </w:trPr>
        <w:tc>
          <w:tcPr>
            <w:tcW w:w="23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Fee income</w:t>
            </w:r>
          </w:p>
        </w:tc>
        <w:tc>
          <w:tcPr>
            <w:tcW w:w="80" w:type="dxa"/>
            <w:vAlign w:val="bottom"/>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44,758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43,155</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43,145</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37,751</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33,304</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28,917</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24,191</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19,172</w:t>
            </w:r>
          </w:p>
        </w:tc>
        <w:tc>
          <w:tcPr>
            <w:tcW w:w="0" w:type="dxa"/>
            <w:vAlign w:val="bottom"/>
          </w:tcPr>
          <w:p>
            <w:pPr>
              <w:spacing w:after="0"/>
              <w:rPr>
                <w:sz w:val="1"/>
                <w:szCs w:val="1"/>
                <w:color w:val="auto"/>
              </w:rPr>
            </w:pPr>
          </w:p>
        </w:tc>
      </w:tr>
      <w:tr>
        <w:trPr>
          <w:trHeight w:val="171"/>
        </w:trPr>
        <w:tc>
          <w:tcPr>
            <w:tcW w:w="2300" w:type="dxa"/>
            <w:vAlign w:val="bottom"/>
          </w:tcPr>
          <w:p>
            <w:pPr>
              <w:ind w:left="160"/>
              <w:spacing w:after="0"/>
              <w:rPr>
                <w:sz w:val="20"/>
                <w:szCs w:val="20"/>
                <w:color w:val="auto"/>
              </w:rPr>
            </w:pPr>
            <w:r>
              <w:rPr>
                <w:rFonts w:ascii="Arial" w:cs="Arial" w:eastAsia="Arial" w:hAnsi="Arial"/>
                <w:sz w:val="11"/>
                <w:szCs w:val="11"/>
                <w:color w:val="auto"/>
              </w:rPr>
              <w:t xml:space="preserve">Fee income, other </w:t>
            </w:r>
            <w:r>
              <w:rPr>
                <w:rFonts w:ascii="Arial" w:cs="Arial" w:eastAsia="Arial" w:hAnsi="Arial"/>
                <w:sz w:val="14"/>
                <w:szCs w:val="14"/>
                <w:color w:val="auto"/>
                <w:vertAlign w:val="superscript"/>
              </w:rPr>
              <w:t>(1)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355</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523</w:t>
            </w:r>
          </w:p>
        </w:tc>
        <w:tc>
          <w:tcPr>
            <w:tcW w:w="1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8,787</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12,809</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8,996</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2,148</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862</w:t>
            </w:r>
          </w:p>
        </w:tc>
        <w:tc>
          <w:tcPr>
            <w:tcW w:w="14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876</w:t>
            </w:r>
          </w:p>
        </w:tc>
        <w:tc>
          <w:tcPr>
            <w:tcW w:w="0" w:type="dxa"/>
            <w:vAlign w:val="bottom"/>
          </w:tcPr>
          <w:p>
            <w:pPr>
              <w:spacing w:after="0"/>
              <w:rPr>
                <w:sz w:val="1"/>
                <w:szCs w:val="1"/>
                <w:color w:val="auto"/>
              </w:rPr>
            </w:pPr>
          </w:p>
        </w:tc>
      </w:tr>
      <w:tr>
        <w:trPr>
          <w:trHeight w:val="171"/>
        </w:trPr>
        <w:tc>
          <w:tcPr>
            <w:tcW w:w="23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Other income</w:t>
            </w:r>
          </w:p>
        </w:tc>
        <w:tc>
          <w:tcPr>
            <w:tcW w:w="80" w:type="dxa"/>
            <w:vAlign w:val="bottom"/>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530</w:t>
            </w:r>
          </w:p>
        </w:tc>
        <w:tc>
          <w:tcPr>
            <w:tcW w:w="12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251</w:t>
            </w:r>
          </w:p>
        </w:tc>
        <w:tc>
          <w:tcPr>
            <w:tcW w:w="120" w:type="dxa"/>
            <w:vAlign w:val="bottom"/>
            <w:shd w:val="clear" w:color="auto" w:fill="DBDBDB"/>
          </w:tcPr>
          <w:p>
            <w:pPr>
              <w:spacing w:after="0"/>
              <w:rPr>
                <w:sz w:val="14"/>
                <w:szCs w:val="14"/>
                <w:color w:val="auto"/>
              </w:rPr>
            </w:pP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273</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483</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84</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183</w:t>
            </w:r>
          </w:p>
        </w:tc>
        <w:tc>
          <w:tcPr>
            <w:tcW w:w="140" w:type="dxa"/>
            <w:vAlign w:val="bottom"/>
            <w:shd w:val="clear" w:color="auto" w:fill="DBDBDB"/>
          </w:tcPr>
          <w:p>
            <w:pPr>
              <w:spacing w:after="0"/>
              <w:rPr>
                <w:sz w:val="14"/>
                <w:szCs w:val="14"/>
                <w:color w:val="auto"/>
              </w:rPr>
            </w:pP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70"/>
        </w:trPr>
        <w:tc>
          <w:tcPr>
            <w:tcW w:w="2300" w:type="dxa"/>
            <w:vAlign w:val="bottom"/>
          </w:tcPr>
          <w:p>
            <w:pPr>
              <w:ind w:left="160"/>
              <w:spacing w:after="0"/>
              <w:rPr>
                <w:sz w:val="20"/>
                <w:szCs w:val="20"/>
                <w:color w:val="auto"/>
              </w:rPr>
            </w:pPr>
            <w:r>
              <w:rPr>
                <w:rFonts w:ascii="Arial" w:cs="Arial" w:eastAsia="Arial" w:hAnsi="Arial"/>
                <w:sz w:val="11"/>
                <w:szCs w:val="11"/>
                <w:color w:val="auto"/>
              </w:rPr>
              <w:t>Compensation expense—cash</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(17,725)</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(17,675)</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(16,275)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(16,933)</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(14,426)</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(10,852)</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(18,353)</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(9,414)</w:t>
            </w:r>
          </w:p>
        </w:tc>
        <w:tc>
          <w:tcPr>
            <w:tcW w:w="0" w:type="dxa"/>
            <w:vAlign w:val="bottom"/>
          </w:tcPr>
          <w:p>
            <w:pPr>
              <w:spacing w:after="0"/>
              <w:rPr>
                <w:sz w:val="1"/>
                <w:szCs w:val="1"/>
                <w:color w:val="auto"/>
              </w:rPr>
            </w:pPr>
          </w:p>
        </w:tc>
      </w:tr>
      <w:tr>
        <w:trPr>
          <w:trHeight w:val="172"/>
        </w:trPr>
        <w:tc>
          <w:tcPr>
            <w:tcW w:w="23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Administrative expenses</w:t>
            </w:r>
          </w:p>
        </w:tc>
        <w:tc>
          <w:tcPr>
            <w:tcW w:w="80" w:type="dxa"/>
            <w:vAlign w:val="bottom"/>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(4,794)</w:t>
            </w:r>
          </w:p>
        </w:tc>
        <w:tc>
          <w:tcPr>
            <w:tcW w:w="12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(4,012)</w:t>
            </w:r>
          </w:p>
        </w:tc>
        <w:tc>
          <w:tcPr>
            <w:tcW w:w="12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(3,446)</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(2,675)</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(2,337)</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(2,067)</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(2,310)</w:t>
            </w:r>
          </w:p>
        </w:tc>
        <w:tc>
          <w:tcPr>
            <w:tcW w:w="14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(1,832)</w:t>
            </w:r>
          </w:p>
        </w:tc>
        <w:tc>
          <w:tcPr>
            <w:tcW w:w="0" w:type="dxa"/>
            <w:vAlign w:val="bottom"/>
          </w:tcPr>
          <w:p>
            <w:pPr>
              <w:spacing w:after="0"/>
              <w:rPr>
                <w:sz w:val="1"/>
                <w:szCs w:val="1"/>
                <w:color w:val="auto"/>
              </w:rPr>
            </w:pPr>
          </w:p>
        </w:tc>
      </w:tr>
      <w:tr>
        <w:trPr>
          <w:trHeight w:val="108"/>
        </w:trPr>
        <w:tc>
          <w:tcPr>
            <w:tcW w:w="2300" w:type="dxa"/>
            <w:vAlign w:val="bottom"/>
          </w:tcPr>
          <w:p>
            <w:pPr>
              <w:ind w:left="160"/>
              <w:spacing w:after="0" w:line="109" w:lineRule="exact"/>
              <w:rPr>
                <w:sz w:val="20"/>
                <w:szCs w:val="20"/>
                <w:color w:val="auto"/>
              </w:rPr>
            </w:pPr>
            <w:r>
              <w:rPr>
                <w:rFonts w:ascii="Arial" w:cs="Arial" w:eastAsia="Arial" w:hAnsi="Arial"/>
                <w:sz w:val="11"/>
                <w:szCs w:val="11"/>
                <w:color w:val="auto"/>
              </w:rPr>
              <w:t>Exclude: Start-up FRE of certain new</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2,335</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2,362</w:t>
            </w:r>
          </w:p>
        </w:tc>
        <w:tc>
          <w:tcPr>
            <w:tcW w:w="12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rPr>
              <w:t>2,306</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2,224</w:t>
            </w: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2,059</w:t>
            </w: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1,938</w:t>
            </w: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1,842</w:t>
            </w:r>
          </w:p>
        </w:tc>
        <w:tc>
          <w:tcPr>
            <w:tcW w:w="14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rPr>
              <w:t>1,842</w:t>
            </w:r>
          </w:p>
        </w:tc>
        <w:tc>
          <w:tcPr>
            <w:tcW w:w="0" w:type="dxa"/>
            <w:vAlign w:val="bottom"/>
          </w:tcPr>
          <w:p>
            <w:pPr>
              <w:spacing w:after="0"/>
              <w:rPr>
                <w:sz w:val="1"/>
                <w:szCs w:val="1"/>
                <w:color w:val="auto"/>
              </w:rPr>
            </w:pPr>
          </w:p>
        </w:tc>
      </w:tr>
      <w:tr>
        <w:trPr>
          <w:trHeight w:val="143"/>
        </w:trPr>
        <w:tc>
          <w:tcPr>
            <w:tcW w:w="2300" w:type="dxa"/>
            <w:vAlign w:val="bottom"/>
            <w:tcBorders>
              <w:bottom w:val="single" w:sz="8" w:color="DBDBDB"/>
            </w:tcBorders>
          </w:tcPr>
          <w:p>
            <w:pPr>
              <w:ind w:left="160"/>
              <w:spacing w:after="0"/>
              <w:rPr>
                <w:sz w:val="20"/>
                <w:szCs w:val="20"/>
                <w:color w:val="auto"/>
              </w:rPr>
            </w:pPr>
            <w:r>
              <w:rPr>
                <w:rFonts w:ascii="Arial" w:cs="Arial" w:eastAsia="Arial" w:hAnsi="Arial"/>
                <w:sz w:val="11"/>
                <w:szCs w:val="11"/>
                <w:color w:val="auto"/>
              </w:rPr>
              <w:t>strategies</w:t>
            </w:r>
          </w:p>
        </w:tc>
        <w:tc>
          <w:tcPr>
            <w:tcW w:w="80" w:type="dxa"/>
            <w:vAlign w:val="bottom"/>
          </w:tcPr>
          <w:p>
            <w:pPr>
              <w:spacing w:after="0"/>
              <w:rPr>
                <w:sz w:val="12"/>
                <w:szCs w:val="12"/>
                <w:color w:val="auto"/>
              </w:rPr>
            </w:pPr>
          </w:p>
        </w:tc>
        <w:tc>
          <w:tcPr>
            <w:tcW w:w="58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300" w:type="dxa"/>
            <w:vAlign w:val="bottom"/>
            <w:shd w:val="clear" w:color="auto" w:fill="DBDBDB"/>
          </w:tcPr>
          <w:p>
            <w:pPr>
              <w:spacing w:after="0" w:line="152" w:lineRule="exact"/>
              <w:rPr>
                <w:sz w:val="20"/>
                <w:szCs w:val="20"/>
                <w:color w:val="auto"/>
              </w:rPr>
            </w:pPr>
            <w:r>
              <w:rPr>
                <w:rFonts w:ascii="Arial" w:cs="Arial" w:eastAsia="Arial" w:hAnsi="Arial"/>
                <w:sz w:val="11"/>
                <w:szCs w:val="11"/>
                <w:b w:val="1"/>
                <w:bCs w:val="1"/>
                <w:color w:val="auto"/>
              </w:rPr>
              <w:t xml:space="preserve">Digital IM FRE </w:t>
            </w:r>
            <w:r>
              <w:rPr>
                <w:rFonts w:ascii="Arial" w:cs="Arial" w:eastAsia="Arial" w:hAnsi="Arial"/>
                <w:sz w:val="14"/>
                <w:szCs w:val="14"/>
                <w:b w:val="1"/>
                <w:bCs w:val="1"/>
                <w:color w:val="auto"/>
                <w:vertAlign w:val="superscript"/>
              </w:rPr>
              <w:t>(2)</w:t>
            </w:r>
          </w:p>
        </w:tc>
        <w:tc>
          <w:tcPr>
            <w:tcW w:w="80" w:type="dxa"/>
            <w:vAlign w:val="bottom"/>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25,459</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24,604</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34,790</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33,659</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27,680</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20,138</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6,415</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10,731</w:t>
            </w:r>
          </w:p>
        </w:tc>
        <w:tc>
          <w:tcPr>
            <w:tcW w:w="0" w:type="dxa"/>
            <w:vAlign w:val="bottom"/>
          </w:tcPr>
          <w:p>
            <w:pPr>
              <w:spacing w:after="0"/>
              <w:rPr>
                <w:sz w:val="1"/>
                <w:szCs w:val="1"/>
                <w:color w:val="auto"/>
              </w:rPr>
            </w:pPr>
          </w:p>
        </w:tc>
      </w:tr>
      <w:tr>
        <w:trPr>
          <w:trHeight w:val="99"/>
        </w:trPr>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20"/>
                <w:szCs w:val="20"/>
                <w:color w:val="auto"/>
              </w:rPr>
            </w:pPr>
            <w:r>
              <w:rPr>
                <w:rFonts w:ascii="Arial" w:cs="Arial" w:eastAsia="Arial" w:hAnsi="Arial"/>
                <w:sz w:val="11"/>
                <w:szCs w:val="11"/>
                <w:b w:val="1"/>
                <w:bCs w:val="1"/>
                <w:color w:val="auto"/>
              </w:rPr>
              <w:t>DBRG OP share of Digital IM FRE</w:t>
            </w:r>
            <w:r>
              <w:rPr>
                <w:rFonts w:ascii="Arial" w:cs="Arial" w:eastAsia="Arial" w:hAnsi="Arial"/>
                <w:sz w:val="14"/>
                <w:szCs w:val="14"/>
                <w:b w:val="1"/>
                <w:bCs w:val="1"/>
                <w:color w:val="auto"/>
                <w:vertAlign w:val="superscript"/>
              </w:rPr>
              <w:t>(3)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ind w:right="7"/>
              <w:spacing w:after="0"/>
              <w:rPr>
                <w:sz w:val="20"/>
                <w:szCs w:val="20"/>
                <w:color w:val="auto"/>
              </w:rPr>
            </w:pPr>
            <w:r>
              <w:rPr>
                <w:rFonts w:ascii="Arial" w:cs="Arial" w:eastAsia="Arial" w:hAnsi="Arial"/>
                <w:sz w:val="11"/>
                <w:szCs w:val="11"/>
                <w:b w:val="1"/>
                <w:bCs w:val="1"/>
                <w:color w:val="auto"/>
              </w:rPr>
              <w:t>20,759</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16,989</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ind w:right="7"/>
              <w:spacing w:after="0"/>
              <w:rPr>
                <w:sz w:val="20"/>
                <w:szCs w:val="20"/>
                <w:color w:val="auto"/>
              </w:rPr>
            </w:pPr>
            <w:r>
              <w:rPr>
                <w:rFonts w:ascii="Arial" w:cs="Arial" w:eastAsia="Arial" w:hAnsi="Arial"/>
                <w:sz w:val="11"/>
                <w:szCs w:val="11"/>
                <w:b w:val="1"/>
                <w:bCs w:val="1"/>
                <w:color w:val="auto"/>
              </w:rPr>
              <w:t>23,757</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22,922</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19,470</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13,583</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3,893</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ind w:right="7"/>
              <w:spacing w:after="0"/>
              <w:rPr>
                <w:sz w:val="20"/>
                <w:szCs w:val="20"/>
                <w:color w:val="auto"/>
              </w:rPr>
            </w:pPr>
            <w:r>
              <w:rPr>
                <w:rFonts w:ascii="Arial" w:cs="Arial" w:eastAsia="Arial" w:hAnsi="Arial"/>
                <w:sz w:val="11"/>
                <w:szCs w:val="11"/>
                <w:b w:val="1"/>
                <w:bCs w:val="1"/>
                <w:color w:val="auto"/>
              </w:rPr>
              <w:t>8,148</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25" w:lineRule="exact"/>
        <w:rPr>
          <w:sz w:val="20"/>
          <w:szCs w:val="20"/>
          <w:color w:val="auto"/>
        </w:rPr>
      </w:pPr>
    </w:p>
    <w:p>
      <w:pPr>
        <w:ind w:left="188" w:hanging="188"/>
        <w:spacing w:after="0"/>
        <w:tabs>
          <w:tab w:leader="none" w:pos="188" w:val="left"/>
        </w:tabs>
        <w:numPr>
          <w:ilvl w:val="0"/>
          <w:numId w:val="16"/>
        </w:numPr>
        <w:rPr>
          <w:rFonts w:ascii="Arial" w:cs="Arial" w:eastAsia="Arial" w:hAnsi="Arial"/>
          <w:sz w:val="8"/>
          <w:szCs w:val="8"/>
          <w:color w:val="424242"/>
        </w:rPr>
      </w:pPr>
      <w:r>
        <w:rPr>
          <w:rFonts w:ascii="Arial" w:cs="Arial" w:eastAsia="Arial" w:hAnsi="Arial"/>
          <w:sz w:val="8"/>
          <w:szCs w:val="8"/>
          <w:color w:val="424242"/>
        </w:rPr>
        <w:t>Includes service fee income and one time catch-up fees earned, which are customary fees paid on newly raised 3rd party capital as if it were raised on the first closing date.</w:t>
      </w:r>
    </w:p>
    <w:p>
      <w:pPr>
        <w:spacing w:after="0" w:line="6" w:lineRule="exact"/>
        <w:rPr>
          <w:rFonts w:ascii="Arial" w:cs="Arial" w:eastAsia="Arial" w:hAnsi="Arial"/>
          <w:sz w:val="8"/>
          <w:szCs w:val="8"/>
          <w:color w:val="424242"/>
        </w:rPr>
      </w:pPr>
    </w:p>
    <w:p>
      <w:pPr>
        <w:ind w:left="188" w:hanging="188"/>
        <w:spacing w:after="0"/>
        <w:tabs>
          <w:tab w:leader="none" w:pos="188" w:val="left"/>
        </w:tabs>
        <w:numPr>
          <w:ilvl w:val="0"/>
          <w:numId w:val="16"/>
        </w:numPr>
        <w:rPr>
          <w:rFonts w:ascii="Arial" w:cs="Arial" w:eastAsia="Arial" w:hAnsi="Arial"/>
          <w:sz w:val="8"/>
          <w:szCs w:val="8"/>
          <w:color w:val="424242"/>
        </w:rPr>
      </w:pPr>
      <w:r>
        <w:rPr>
          <w:rFonts w:ascii="Arial" w:cs="Arial" w:eastAsia="Arial" w:hAnsi="Arial"/>
          <w:sz w:val="8"/>
          <w:szCs w:val="8"/>
          <w:color w:val="424242"/>
        </w:rPr>
        <w:t>For a reconciliation of net income / (loss) to Digital IM FRE, please refer to the Appendices section of this presentation.</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16"/>
        </w:numPr>
        <w:rPr>
          <w:rFonts w:ascii="Arial" w:cs="Arial" w:eastAsia="Arial" w:hAnsi="Arial"/>
          <w:sz w:val="8"/>
          <w:szCs w:val="8"/>
          <w:color w:val="424242"/>
        </w:rPr>
      </w:pPr>
      <w:r>
        <w:rPr>
          <w:rFonts w:ascii="Arial" w:cs="Arial" w:eastAsia="Arial" w:hAnsi="Arial"/>
          <w:sz w:val="8"/>
          <w:szCs w:val="8"/>
          <w:color w:val="424242"/>
        </w:rPr>
        <w:t>In May 2022, DigitalBridge acquired Wafra’s 31.5% ownership in the Company's investment management business, which Wafra initially acquired in July 2020. DigitalBridge is now is now entitled to 100% of the Company's investment management Digital IM FRE.</w:t>
      </w:r>
    </w:p>
    <w:p>
      <w:pPr>
        <w:spacing w:after="0" w:line="27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17</w:t>
            </w:r>
          </w:p>
        </w:tc>
      </w:tr>
    </w:tbl>
    <w:p>
      <w:pPr>
        <w:sectPr>
          <w:pgSz w:w="11900" w:h="16838" w:orient="portrait"/>
          <w:cols w:equalWidth="0" w:num="1">
            <w:col w:w="11308"/>
          </w:cols>
          <w:pgMar w:left="292" w:top="130" w:right="299" w:bottom="1440" w:gutter="0" w:footer="0" w:header="0"/>
        </w:sectPr>
      </w:pPr>
    </w:p>
    <w:bookmarkStart w:id="26" w:name="page27"/>
    <w:bookmarkEnd w:id="26"/>
    <w:p>
      <w:pPr>
        <w:ind w:left="8"/>
        <w:spacing w:after="0"/>
        <w:rPr>
          <w:sz w:val="20"/>
          <w:szCs w:val="20"/>
          <w:color w:val="auto"/>
        </w:rPr>
      </w:pPr>
      <w:r>
        <w:rPr>
          <w:rFonts w:ascii="Arial" w:cs="Arial" w:eastAsia="Arial" w:hAnsi="Arial"/>
          <w:sz w:val="29"/>
          <w:szCs w:val="29"/>
          <w:color w:val="auto"/>
        </w:rPr>
        <w:t>VI. Digital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308" w:type="dxa"/>
        <w:tblCellMar>
          <w:top w:w="0" w:type="dxa"/>
          <w:left w:w="0" w:type="dxa"/>
          <w:bottom w:w="0" w:type="dxa"/>
          <w:right w:w="0" w:type="dxa"/>
        </w:tblCellMar>
      </w:tblPr>
      <w:tr>
        <w:trPr>
          <w:trHeight w:val="130"/>
        </w:trPr>
        <w:tc>
          <w:tcPr>
            <w:tcW w:w="2180" w:type="dxa"/>
            <w:vAlign w:val="bottom"/>
          </w:tcPr>
          <w:p>
            <w:pPr>
              <w:ind w:left="20"/>
              <w:spacing w:after="0"/>
              <w:rPr>
                <w:sz w:val="20"/>
                <w:szCs w:val="20"/>
                <w:color w:val="auto"/>
              </w:rPr>
            </w:pPr>
            <w:r>
              <w:rPr>
                <w:rFonts w:ascii="Arial" w:cs="Arial" w:eastAsia="Arial" w:hAnsi="Arial"/>
                <w:sz w:val="10"/>
                <w:szCs w:val="10"/>
                <w:i w:val="1"/>
                <w:iCs w:val="1"/>
                <w:color w:val="auto"/>
              </w:rPr>
              <w:t>($ in millions, unless otherwise noted)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20"/>
              <w:spacing w:after="0"/>
              <w:rPr>
                <w:sz w:val="20"/>
                <w:szCs w:val="20"/>
                <w:color w:val="auto"/>
              </w:rPr>
            </w:pPr>
            <w:r>
              <w:rPr>
                <w:rFonts w:ascii="Arial" w:cs="Arial" w:eastAsia="Arial" w:hAnsi="Arial"/>
                <w:sz w:val="12"/>
                <w:szCs w:val="12"/>
                <w:b w:val="1"/>
                <w:bCs w:val="1"/>
                <w:i w:val="1"/>
                <w:iCs w:val="1"/>
                <w:color w:val="003C71"/>
              </w:rPr>
              <w:t>Portfolio Overview</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6/30/22</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3/31/22</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rPr>
              <w:t>12/31/21</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9/30/21</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6/30/21</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3/31/21</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rPr>
              <w:t>12/31/20</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9/30/20</w:t>
            </w:r>
          </w:p>
        </w:tc>
        <w:tc>
          <w:tcPr>
            <w:tcW w:w="0" w:type="dxa"/>
            <w:vAlign w:val="bottom"/>
          </w:tcPr>
          <w:p>
            <w:pPr>
              <w:spacing w:after="0"/>
              <w:rPr>
                <w:sz w:val="1"/>
                <w:szCs w:val="1"/>
                <w:color w:val="auto"/>
              </w:rPr>
            </w:pPr>
          </w:p>
        </w:tc>
      </w:tr>
      <w:tr>
        <w:trPr>
          <w:trHeight w:val="124"/>
        </w:trPr>
        <w:tc>
          <w:tcPr>
            <w:tcW w:w="21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Consolidated 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80" w:type="dxa"/>
            <w:vAlign w:val="bottom"/>
            <w:shd w:val="clear" w:color="auto" w:fill="DBDBDB"/>
          </w:tcPr>
          <w:p>
            <w:pPr>
              <w:ind w:left="160"/>
              <w:spacing w:after="0" w:line="144" w:lineRule="exact"/>
              <w:rPr>
                <w:sz w:val="20"/>
                <w:szCs w:val="20"/>
                <w:color w:val="auto"/>
              </w:rPr>
            </w:pPr>
            <w:r>
              <w:rPr>
                <w:rFonts w:ascii="Arial" w:cs="Arial" w:eastAsia="Arial" w:hAnsi="Arial"/>
                <w:sz w:val="11"/>
                <w:szCs w:val="11"/>
                <w:color w:val="auto"/>
              </w:rPr>
              <w:t>Asset</w:t>
            </w:r>
            <w:r>
              <w:rPr>
                <w:rFonts w:ascii="Arial" w:cs="Arial" w:eastAsia="Arial" w:hAnsi="Arial"/>
                <w:sz w:val="14"/>
                <w:szCs w:val="14"/>
                <w:color w:val="auto"/>
                <w:vertAlign w:val="superscript"/>
              </w:rPr>
              <w:t>(1)</w:t>
            </w:r>
          </w:p>
        </w:tc>
        <w:tc>
          <w:tcPr>
            <w:tcW w:w="100" w:type="dxa"/>
            <w:vAlign w:val="bottom"/>
          </w:tcPr>
          <w:p>
            <w:pPr>
              <w:spacing w:after="0"/>
              <w:rPr>
                <w:sz w:val="12"/>
                <w:szCs w:val="12"/>
                <w:color w:val="auto"/>
              </w:rPr>
            </w:pP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8,429</w:t>
            </w: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8,397</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7,624</w:t>
            </w:r>
          </w:p>
        </w:tc>
        <w:tc>
          <w:tcPr>
            <w:tcW w:w="160" w:type="dxa"/>
            <w:vAlign w:val="bottom"/>
            <w:shd w:val="clear" w:color="auto" w:fill="DBDBDB"/>
          </w:tcPr>
          <w:p>
            <w:pPr>
              <w:spacing w:after="0"/>
              <w:rPr>
                <w:sz w:val="20"/>
                <w:szCs w:val="20"/>
                <w:color w:val="auto"/>
              </w:rPr>
            </w:pPr>
            <w:r>
              <w:rPr>
                <w:rFonts w:ascii="Arial" w:cs="Arial" w:eastAsia="Arial" w:hAnsi="Arial"/>
                <w:sz w:val="11"/>
                <w:szCs w:val="11"/>
                <w:color w:val="auto"/>
              </w:rPr>
              <w:t>$</w:t>
            </w:r>
          </w:p>
        </w:tc>
        <w:tc>
          <w:tcPr>
            <w:tcW w:w="6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7,211</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6,736</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6,633</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6,248</w:t>
            </w:r>
          </w:p>
        </w:tc>
        <w:tc>
          <w:tcPr>
            <w:tcW w:w="16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4,925</w:t>
            </w:r>
          </w:p>
        </w:tc>
        <w:tc>
          <w:tcPr>
            <w:tcW w:w="0" w:type="dxa"/>
            <w:vAlign w:val="bottom"/>
          </w:tcPr>
          <w:p>
            <w:pPr>
              <w:spacing w:after="0"/>
              <w:rPr>
                <w:sz w:val="1"/>
                <w:szCs w:val="1"/>
                <w:color w:val="auto"/>
              </w:rPr>
            </w:pPr>
          </w:p>
        </w:tc>
      </w:tr>
      <w:tr>
        <w:trPr>
          <w:trHeight w:val="144"/>
        </w:trPr>
        <w:tc>
          <w:tcPr>
            <w:tcW w:w="2180" w:type="dxa"/>
            <w:vAlign w:val="bottom"/>
            <w:tcBorders>
              <w:bottom w:val="single" w:sz="8" w:color="DBDBDB"/>
            </w:tcBorders>
          </w:tcPr>
          <w:p>
            <w:pPr>
              <w:ind w:left="160"/>
              <w:spacing w:after="0" w:line="144" w:lineRule="exact"/>
              <w:rPr>
                <w:sz w:val="20"/>
                <w:szCs w:val="20"/>
                <w:color w:val="auto"/>
              </w:rPr>
            </w:pPr>
            <w:r>
              <w:rPr>
                <w:rFonts w:ascii="Arial" w:cs="Arial" w:eastAsia="Arial" w:hAnsi="Arial"/>
                <w:sz w:val="16"/>
                <w:szCs w:val="16"/>
                <w:color w:val="auto"/>
                <w:vertAlign w:val="subscript"/>
              </w:rPr>
              <w:t>Debt</w:t>
            </w:r>
            <w:r>
              <w:rPr>
                <w:rFonts w:ascii="Arial" w:cs="Arial" w:eastAsia="Arial" w:hAnsi="Arial"/>
                <w:sz w:val="6"/>
                <w:szCs w:val="6"/>
                <w:color w:val="auto"/>
              </w:rPr>
              <w:t>(2)(3)</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(4,477)</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(4,479)</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(4,217)</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(3,817)</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(3,374)</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(3,369)</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(3,227)</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(2,546)</w:t>
            </w:r>
          </w:p>
        </w:tc>
        <w:tc>
          <w:tcPr>
            <w:tcW w:w="0" w:type="dxa"/>
            <w:vAlign w:val="bottom"/>
          </w:tcPr>
          <w:p>
            <w:pPr>
              <w:spacing w:after="0"/>
              <w:rPr>
                <w:sz w:val="1"/>
                <w:szCs w:val="1"/>
                <w:color w:val="auto"/>
              </w:rPr>
            </w:pPr>
          </w:p>
        </w:tc>
      </w:tr>
      <w:tr>
        <w:trPr>
          <w:trHeight w:val="153"/>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b w:val="1"/>
                <w:bCs w:val="1"/>
                <w:color w:val="auto"/>
              </w:rPr>
              <w:t>Net Carrying Value - Consolidated</w:t>
            </w:r>
          </w:p>
        </w:tc>
        <w:tc>
          <w:tcPr>
            <w:tcW w:w="100" w:type="dxa"/>
            <w:vAlign w:val="bottom"/>
          </w:tcPr>
          <w:p>
            <w:pPr>
              <w:spacing w:after="0"/>
              <w:rPr>
                <w:sz w:val="13"/>
                <w:szCs w:val="13"/>
                <w:color w:val="auto"/>
              </w:rPr>
            </w:pPr>
          </w:p>
        </w:tc>
        <w:tc>
          <w:tcPr>
            <w:tcW w:w="14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3,952</w:t>
            </w:r>
          </w:p>
        </w:tc>
        <w:tc>
          <w:tcPr>
            <w:tcW w:w="14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3,918</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ind w:right="87"/>
              <w:spacing w:after="0"/>
              <w:rPr>
                <w:sz w:val="20"/>
                <w:szCs w:val="20"/>
                <w:color w:val="auto"/>
              </w:rPr>
            </w:pPr>
            <w:r>
              <w:rPr>
                <w:rFonts w:ascii="Arial" w:cs="Arial" w:eastAsia="Arial" w:hAnsi="Arial"/>
                <w:sz w:val="11"/>
                <w:szCs w:val="11"/>
                <w:b w:val="1"/>
                <w:bCs w:val="1"/>
                <w:color w:val="auto"/>
              </w:rPr>
              <w:t>3,407</w:t>
            </w:r>
          </w:p>
        </w:tc>
        <w:tc>
          <w:tcPr>
            <w:tcW w:w="16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3,394</w:t>
            </w:r>
          </w:p>
        </w:tc>
        <w:tc>
          <w:tcPr>
            <w:tcW w:w="16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3,362</w:t>
            </w:r>
          </w:p>
        </w:tc>
        <w:tc>
          <w:tcPr>
            <w:tcW w:w="16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3,264</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ind w:right="87"/>
              <w:spacing w:after="0"/>
              <w:rPr>
                <w:sz w:val="20"/>
                <w:szCs w:val="20"/>
                <w:color w:val="auto"/>
              </w:rPr>
            </w:pPr>
            <w:r>
              <w:rPr>
                <w:rFonts w:ascii="Arial" w:cs="Arial" w:eastAsia="Arial" w:hAnsi="Arial"/>
                <w:sz w:val="11"/>
                <w:szCs w:val="11"/>
                <w:b w:val="1"/>
                <w:bCs w:val="1"/>
                <w:color w:val="auto"/>
              </w:rPr>
              <w:t>3,021</w:t>
            </w:r>
          </w:p>
        </w:tc>
        <w:tc>
          <w:tcPr>
            <w:tcW w:w="160" w:type="dxa"/>
            <w:vAlign w:val="bottom"/>
            <w:tcBorders>
              <w:bottom w:val="single" w:sz="8" w:color="auto"/>
            </w:tcBorders>
            <w:shd w:val="clear" w:color="auto" w:fill="DBDBDB"/>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2,379</w:t>
            </w:r>
          </w:p>
        </w:tc>
        <w:tc>
          <w:tcPr>
            <w:tcW w:w="0" w:type="dxa"/>
            <w:vAlign w:val="bottom"/>
          </w:tcPr>
          <w:p>
            <w:pPr>
              <w:spacing w:after="0"/>
              <w:rPr>
                <w:sz w:val="1"/>
                <w:szCs w:val="1"/>
                <w:color w:val="auto"/>
              </w:rPr>
            </w:pPr>
          </w:p>
        </w:tc>
      </w:tr>
      <w:tr>
        <w:trPr>
          <w:trHeight w:val="266"/>
        </w:trPr>
        <w:tc>
          <w:tcPr>
            <w:tcW w:w="2180" w:type="dxa"/>
            <w:vAlign w:val="bottom"/>
          </w:tcPr>
          <w:p>
            <w:pPr>
              <w:ind w:left="20"/>
              <w:spacing w:after="0"/>
              <w:rPr>
                <w:sz w:val="20"/>
                <w:szCs w:val="20"/>
                <w:color w:val="auto"/>
              </w:rPr>
            </w:pPr>
            <w:r>
              <w:rPr>
                <w:rFonts w:ascii="Arial" w:cs="Arial" w:eastAsia="Arial" w:hAnsi="Arial"/>
                <w:sz w:val="11"/>
                <w:szCs w:val="11"/>
                <w:b w:val="1"/>
                <w:bCs w:val="1"/>
                <w:color w:val="auto"/>
              </w:rPr>
              <w:t>DBRG OP share of consolidated amount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180" w:type="dxa"/>
            <w:vAlign w:val="bottom"/>
            <w:shd w:val="clear" w:color="auto" w:fill="DBDBDB"/>
          </w:tcPr>
          <w:p>
            <w:pPr>
              <w:ind w:left="160"/>
              <w:spacing w:after="0" w:line="144" w:lineRule="exact"/>
              <w:rPr>
                <w:sz w:val="20"/>
                <w:szCs w:val="20"/>
                <w:color w:val="auto"/>
              </w:rPr>
            </w:pPr>
            <w:r>
              <w:rPr>
                <w:rFonts w:ascii="Arial" w:cs="Arial" w:eastAsia="Arial" w:hAnsi="Arial"/>
                <w:sz w:val="11"/>
                <w:szCs w:val="11"/>
                <w:color w:val="auto"/>
              </w:rPr>
              <w:t>Asset</w:t>
            </w:r>
            <w:r>
              <w:rPr>
                <w:rFonts w:ascii="Arial" w:cs="Arial" w:eastAsia="Arial" w:hAnsi="Arial"/>
                <w:sz w:val="14"/>
                <w:szCs w:val="14"/>
                <w:color w:val="auto"/>
                <w:vertAlign w:val="superscript"/>
              </w:rPr>
              <w:t>(1)</w:t>
            </w:r>
          </w:p>
        </w:tc>
        <w:tc>
          <w:tcPr>
            <w:tcW w:w="100" w:type="dxa"/>
            <w:vAlign w:val="bottom"/>
          </w:tcPr>
          <w:p>
            <w:pPr>
              <w:spacing w:after="0"/>
              <w:rPr>
                <w:sz w:val="12"/>
                <w:szCs w:val="12"/>
                <w:color w:val="auto"/>
              </w:rPr>
            </w:pP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1,466</w:t>
            </w: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1,460</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1,233</w:t>
            </w:r>
          </w:p>
        </w:tc>
        <w:tc>
          <w:tcPr>
            <w:tcW w:w="160" w:type="dxa"/>
            <w:vAlign w:val="bottom"/>
            <w:shd w:val="clear" w:color="auto" w:fill="DBDBDB"/>
          </w:tcPr>
          <w:p>
            <w:pPr>
              <w:spacing w:after="0"/>
              <w:rPr>
                <w:sz w:val="20"/>
                <w:szCs w:val="20"/>
                <w:color w:val="auto"/>
              </w:rPr>
            </w:pPr>
            <w:r>
              <w:rPr>
                <w:rFonts w:ascii="Arial" w:cs="Arial" w:eastAsia="Arial" w:hAnsi="Arial"/>
                <w:sz w:val="11"/>
                <w:szCs w:val="11"/>
                <w:color w:val="auto"/>
              </w:rPr>
              <w:t>$</w:t>
            </w:r>
          </w:p>
        </w:tc>
        <w:tc>
          <w:tcPr>
            <w:tcW w:w="6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1,157</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1,093</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1,073</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1,087</w:t>
            </w:r>
          </w:p>
        </w:tc>
        <w:tc>
          <w:tcPr>
            <w:tcW w:w="16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724</w:t>
            </w:r>
          </w:p>
        </w:tc>
        <w:tc>
          <w:tcPr>
            <w:tcW w:w="0" w:type="dxa"/>
            <w:vAlign w:val="bottom"/>
          </w:tcPr>
          <w:p>
            <w:pPr>
              <w:spacing w:after="0"/>
              <w:rPr>
                <w:sz w:val="1"/>
                <w:szCs w:val="1"/>
                <w:color w:val="auto"/>
              </w:rPr>
            </w:pPr>
          </w:p>
        </w:tc>
      </w:tr>
      <w:tr>
        <w:trPr>
          <w:trHeight w:val="144"/>
        </w:trPr>
        <w:tc>
          <w:tcPr>
            <w:tcW w:w="2180" w:type="dxa"/>
            <w:vAlign w:val="bottom"/>
            <w:tcBorders>
              <w:bottom w:val="single" w:sz="8" w:color="DBDBDB"/>
            </w:tcBorders>
          </w:tcPr>
          <w:p>
            <w:pPr>
              <w:ind w:left="160"/>
              <w:spacing w:after="0" w:line="144" w:lineRule="exact"/>
              <w:rPr>
                <w:sz w:val="20"/>
                <w:szCs w:val="20"/>
                <w:color w:val="auto"/>
              </w:rPr>
            </w:pPr>
            <w:r>
              <w:rPr>
                <w:rFonts w:ascii="Arial" w:cs="Arial" w:eastAsia="Arial" w:hAnsi="Arial"/>
                <w:sz w:val="16"/>
                <w:szCs w:val="16"/>
                <w:color w:val="auto"/>
                <w:vertAlign w:val="subscript"/>
              </w:rPr>
              <w:t>Debt</w:t>
            </w:r>
            <w:r>
              <w:rPr>
                <w:rFonts w:ascii="Arial" w:cs="Arial" w:eastAsia="Arial" w:hAnsi="Arial"/>
                <w:sz w:val="6"/>
                <w:szCs w:val="6"/>
                <w:color w:val="auto"/>
              </w:rPr>
              <w:t>(2)(3)</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(746)</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(746)</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(661)</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(588)</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(529)</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(528)</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(536)</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(355)</w:t>
            </w:r>
          </w:p>
        </w:tc>
        <w:tc>
          <w:tcPr>
            <w:tcW w:w="0" w:type="dxa"/>
            <w:vAlign w:val="bottom"/>
          </w:tcPr>
          <w:p>
            <w:pPr>
              <w:spacing w:after="0"/>
              <w:rPr>
                <w:sz w:val="1"/>
                <w:szCs w:val="1"/>
                <w:color w:val="auto"/>
              </w:rPr>
            </w:pPr>
          </w:p>
        </w:tc>
      </w:tr>
      <w:tr>
        <w:trPr>
          <w:trHeight w:val="149"/>
        </w:trPr>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b w:val="1"/>
                <w:bCs w:val="1"/>
                <w:color w:val="auto"/>
              </w:rPr>
              <w:t>Net Carrying Value - DBRG OP share</w:t>
            </w:r>
          </w:p>
        </w:tc>
        <w:tc>
          <w:tcPr>
            <w:tcW w:w="100" w:type="dxa"/>
            <w:vAlign w:val="bottom"/>
          </w:tcPr>
          <w:p>
            <w:pPr>
              <w:spacing w:after="0"/>
              <w:rPr>
                <w:sz w:val="12"/>
                <w:szCs w:val="12"/>
                <w:color w:val="auto"/>
              </w:rPr>
            </w:pPr>
          </w:p>
        </w:tc>
        <w:tc>
          <w:tcPr>
            <w:tcW w:w="14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720</w:t>
            </w:r>
          </w:p>
        </w:tc>
        <w:tc>
          <w:tcPr>
            <w:tcW w:w="14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714</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ind w:right="87"/>
              <w:spacing w:after="0"/>
              <w:rPr>
                <w:sz w:val="20"/>
                <w:szCs w:val="20"/>
                <w:color w:val="auto"/>
              </w:rPr>
            </w:pPr>
            <w:r>
              <w:rPr>
                <w:rFonts w:ascii="Arial" w:cs="Arial" w:eastAsia="Arial" w:hAnsi="Arial"/>
                <w:sz w:val="11"/>
                <w:szCs w:val="11"/>
                <w:b w:val="1"/>
                <w:bCs w:val="1"/>
                <w:color w:val="auto"/>
              </w:rPr>
              <w:t>572</w:t>
            </w:r>
          </w:p>
        </w:tc>
        <w:tc>
          <w:tcPr>
            <w:tcW w:w="16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569</w:t>
            </w:r>
          </w:p>
        </w:tc>
        <w:tc>
          <w:tcPr>
            <w:tcW w:w="16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564</w:t>
            </w:r>
          </w:p>
        </w:tc>
        <w:tc>
          <w:tcPr>
            <w:tcW w:w="16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545</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ind w:right="87"/>
              <w:spacing w:after="0"/>
              <w:rPr>
                <w:sz w:val="20"/>
                <w:szCs w:val="20"/>
                <w:color w:val="auto"/>
              </w:rPr>
            </w:pPr>
            <w:r>
              <w:rPr>
                <w:rFonts w:ascii="Arial" w:cs="Arial" w:eastAsia="Arial" w:hAnsi="Arial"/>
                <w:sz w:val="11"/>
                <w:szCs w:val="11"/>
                <w:b w:val="1"/>
                <w:bCs w:val="1"/>
                <w:color w:val="auto"/>
              </w:rPr>
              <w:t>551</w:t>
            </w:r>
          </w:p>
        </w:tc>
        <w:tc>
          <w:tcPr>
            <w:tcW w:w="160" w:type="dxa"/>
            <w:vAlign w:val="bottom"/>
            <w:tcBorders>
              <w:bottom w:val="single" w:sz="8" w:color="auto"/>
            </w:tcBorders>
            <w:shd w:val="clear" w:color="auto" w:fill="DBDBDB"/>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369</w:t>
            </w:r>
          </w:p>
        </w:tc>
        <w:tc>
          <w:tcPr>
            <w:tcW w:w="0" w:type="dxa"/>
            <w:vAlign w:val="bottom"/>
          </w:tcPr>
          <w:p>
            <w:pPr>
              <w:spacing w:after="0"/>
              <w:rPr>
                <w:sz w:val="1"/>
                <w:szCs w:val="1"/>
                <w:color w:val="auto"/>
              </w:rPr>
            </w:pPr>
          </w:p>
        </w:tc>
      </w:tr>
      <w:tr>
        <w:trPr>
          <w:trHeight w:val="274"/>
        </w:trPr>
        <w:tc>
          <w:tcPr>
            <w:tcW w:w="2180" w:type="dxa"/>
            <w:vAlign w:val="bottom"/>
          </w:tcPr>
          <w:p>
            <w:pPr>
              <w:ind w:left="20"/>
              <w:spacing w:after="0"/>
              <w:rPr>
                <w:sz w:val="20"/>
                <w:szCs w:val="20"/>
                <w:color w:val="auto"/>
              </w:rPr>
            </w:pPr>
            <w:r>
              <w:rPr>
                <w:rFonts w:ascii="Arial" w:cs="Arial" w:eastAsia="Arial" w:hAnsi="Arial"/>
                <w:sz w:val="11"/>
                <w:szCs w:val="11"/>
                <w:b w:val="1"/>
                <w:bCs w:val="1"/>
                <w:color w:val="auto"/>
              </w:rPr>
              <w:t>DBRG net carrying value % interest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18 %</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18 %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17 %</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17 %</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17 %</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17 %</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18 %</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16 %</w:t>
            </w:r>
          </w:p>
        </w:tc>
        <w:tc>
          <w:tcPr>
            <w:tcW w:w="0" w:type="dxa"/>
            <w:vAlign w:val="bottom"/>
          </w:tcPr>
          <w:p>
            <w:pPr>
              <w:spacing w:after="0"/>
              <w:rPr>
                <w:sz w:val="1"/>
                <w:szCs w:val="1"/>
                <w:color w:val="auto"/>
              </w:rPr>
            </w:pPr>
          </w:p>
        </w:tc>
      </w:tr>
      <w:tr>
        <w:trPr>
          <w:trHeight w:val="604"/>
        </w:trPr>
        <w:tc>
          <w:tcPr>
            <w:tcW w:w="2180" w:type="dxa"/>
            <w:vAlign w:val="bottom"/>
          </w:tcPr>
          <w:p>
            <w:pPr>
              <w:ind w:left="20"/>
              <w:spacing w:after="0"/>
              <w:rPr>
                <w:sz w:val="20"/>
                <w:szCs w:val="20"/>
                <w:color w:val="auto"/>
              </w:rPr>
            </w:pPr>
            <w:r>
              <w:rPr>
                <w:rFonts w:ascii="Arial" w:cs="Arial" w:eastAsia="Arial" w:hAnsi="Arial"/>
                <w:sz w:val="10"/>
                <w:szCs w:val="10"/>
                <w:i w:val="1"/>
                <w:iCs w:val="1"/>
                <w:color w:val="auto"/>
              </w:rPr>
              <w:t>($ in millions, unless otherwise noted)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18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003C71"/>
              </w:rPr>
              <w:t xml:space="preserve">Operating Metrics </w:t>
            </w:r>
            <w:r>
              <w:rPr>
                <w:rFonts w:ascii="Arial" w:cs="Arial" w:eastAsia="Arial" w:hAnsi="Arial"/>
                <w:sz w:val="15"/>
                <w:szCs w:val="15"/>
                <w:b w:val="1"/>
                <w:bCs w:val="1"/>
                <w:i w:val="1"/>
                <w:iCs w:val="1"/>
                <w:color w:val="003C71"/>
                <w:vertAlign w:val="superscript"/>
              </w:rPr>
              <w:t>(4)</w:t>
            </w:r>
          </w:p>
        </w:tc>
        <w:tc>
          <w:tcPr>
            <w:tcW w:w="100" w:type="dxa"/>
            <w:vAlign w:val="bottom"/>
          </w:tcPr>
          <w:p>
            <w:pPr>
              <w:spacing w:after="0"/>
              <w:rPr>
                <w:sz w:val="9"/>
                <w:szCs w:val="9"/>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0"/>
                <w:szCs w:val="10"/>
                <w:b w:val="1"/>
                <w:bCs w:val="1"/>
                <w:color w:val="auto"/>
              </w:rPr>
              <w:t>6/30/2022 2Q22 3/31/2022 - 1Q22</w:t>
            </w:r>
          </w:p>
        </w:tc>
        <w:tc>
          <w:tcPr>
            <w:tcW w:w="100" w:type="dxa"/>
            <w:vAlign w:val="bottom"/>
          </w:tcPr>
          <w:p>
            <w:pPr>
              <w:spacing w:after="0"/>
              <w:rPr>
                <w:sz w:val="9"/>
                <w:szCs w:val="9"/>
                <w:color w:val="auto"/>
              </w:rPr>
            </w:pPr>
          </w:p>
        </w:tc>
        <w:tc>
          <w:tcPr>
            <w:tcW w:w="700" w:type="dxa"/>
            <w:vAlign w:val="bottom"/>
          </w:tcPr>
          <w:p>
            <w:pPr>
              <w:jc w:val="center"/>
              <w:ind w:right="47"/>
              <w:spacing w:after="0" w:line="112" w:lineRule="exact"/>
              <w:rPr>
                <w:sz w:val="20"/>
                <w:szCs w:val="20"/>
                <w:color w:val="auto"/>
              </w:rPr>
            </w:pPr>
            <w:r>
              <w:rPr>
                <w:rFonts w:ascii="Arial" w:cs="Arial" w:eastAsia="Arial" w:hAnsi="Arial"/>
                <w:sz w:val="10"/>
                <w:szCs w:val="10"/>
                <w:b w:val="1"/>
                <w:bCs w:val="1"/>
                <w:color w:val="auto"/>
                <w:w w:val="99"/>
              </w:rPr>
              <w:t>12/31/2021 -</w:t>
            </w:r>
          </w:p>
        </w:tc>
        <w:tc>
          <w:tcPr>
            <w:tcW w:w="2400" w:type="dxa"/>
            <w:vAlign w:val="bottom"/>
            <w:gridSpan w:val="6"/>
            <w:vMerge w:val="restart"/>
          </w:tcPr>
          <w:p>
            <w:pPr>
              <w:ind w:left="20"/>
              <w:spacing w:after="0"/>
              <w:rPr>
                <w:sz w:val="20"/>
                <w:szCs w:val="20"/>
                <w:color w:val="auto"/>
              </w:rPr>
            </w:pPr>
            <w:r>
              <w:rPr>
                <w:rFonts w:ascii="Arial" w:cs="Arial" w:eastAsia="Arial" w:hAnsi="Arial"/>
                <w:sz w:val="10"/>
                <w:szCs w:val="10"/>
                <w:b w:val="1"/>
                <w:bCs w:val="1"/>
                <w:color w:val="auto"/>
                <w:w w:val="98"/>
              </w:rPr>
              <w:t>9/30/2021 - 3Q21 6/30/2021 - 2Q21 3/31/2021 - 1Q21</w:t>
            </w:r>
          </w:p>
        </w:tc>
        <w:tc>
          <w:tcPr>
            <w:tcW w:w="100" w:type="dxa"/>
            <w:vAlign w:val="bottom"/>
          </w:tcPr>
          <w:p>
            <w:pPr>
              <w:spacing w:after="0"/>
              <w:rPr>
                <w:sz w:val="9"/>
                <w:szCs w:val="9"/>
                <w:color w:val="auto"/>
              </w:rPr>
            </w:pPr>
          </w:p>
        </w:tc>
        <w:tc>
          <w:tcPr>
            <w:tcW w:w="700" w:type="dxa"/>
            <w:vAlign w:val="bottom"/>
          </w:tcPr>
          <w:p>
            <w:pPr>
              <w:jc w:val="center"/>
              <w:ind w:right="47"/>
              <w:spacing w:after="0" w:line="112" w:lineRule="exact"/>
              <w:rPr>
                <w:sz w:val="20"/>
                <w:szCs w:val="20"/>
                <w:color w:val="auto"/>
              </w:rPr>
            </w:pPr>
            <w:r>
              <w:rPr>
                <w:rFonts w:ascii="Arial" w:cs="Arial" w:eastAsia="Arial" w:hAnsi="Arial"/>
                <w:sz w:val="10"/>
                <w:szCs w:val="10"/>
                <w:b w:val="1"/>
                <w:bCs w:val="1"/>
                <w:color w:val="auto"/>
                <w:w w:val="99"/>
              </w:rPr>
              <w:t>12/31/2020 -</w:t>
            </w:r>
          </w:p>
        </w:tc>
        <w:tc>
          <w:tcPr>
            <w:tcW w:w="80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rPr>
              <w:t>9/30/2020- 3Q20</w:t>
            </w:r>
          </w:p>
        </w:tc>
        <w:tc>
          <w:tcPr>
            <w:tcW w:w="0" w:type="dxa"/>
            <w:vAlign w:val="bottom"/>
          </w:tcPr>
          <w:p>
            <w:pPr>
              <w:spacing w:after="0"/>
              <w:rPr>
                <w:sz w:val="1"/>
                <w:szCs w:val="1"/>
                <w:color w:val="auto"/>
              </w:rPr>
            </w:pPr>
          </w:p>
        </w:tc>
      </w:tr>
      <w:tr>
        <w:trPr>
          <w:trHeight w:val="135"/>
        </w:trPr>
        <w:tc>
          <w:tcPr>
            <w:tcW w:w="2180" w:type="dxa"/>
            <w:vAlign w:val="bottom"/>
            <w:tcBorders>
              <w:bottom w:val="single" w:sz="8" w:color="DBDBDB"/>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w w:val="97"/>
              </w:rPr>
              <w:t>4Q21</w:t>
            </w:r>
          </w:p>
        </w:tc>
        <w:tc>
          <w:tcPr>
            <w:tcW w:w="2400" w:type="dxa"/>
            <w:vAlign w:val="bottom"/>
            <w:tcBorders>
              <w:bottom w:val="single" w:sz="8" w:color="auto"/>
            </w:tcBorders>
            <w:gridSpan w:val="6"/>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w w:val="97"/>
              </w:rPr>
              <w:t>4Q20</w:t>
            </w:r>
          </w:p>
        </w:tc>
        <w:tc>
          <w:tcPr>
            <w:tcW w:w="80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Number of Data Centers</w:t>
            </w:r>
          </w:p>
        </w:tc>
        <w:tc>
          <w:tcPr>
            <w:tcW w:w="100" w:type="dxa"/>
            <w:vAlign w:val="bottom"/>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6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82</w:t>
            </w:r>
          </w:p>
        </w:tc>
        <w:tc>
          <w:tcPr>
            <w:tcW w:w="140" w:type="dxa"/>
            <w:vAlign w:val="bottom"/>
            <w:shd w:val="clear" w:color="auto" w:fill="DBDBDB"/>
          </w:tcPr>
          <w:p>
            <w:pPr>
              <w:spacing w:after="0"/>
              <w:rPr>
                <w:sz w:val="11"/>
                <w:szCs w:val="11"/>
                <w:color w:val="auto"/>
              </w:rPr>
            </w:pPr>
          </w:p>
        </w:tc>
        <w:tc>
          <w:tcPr>
            <w:tcW w:w="6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78</w:t>
            </w:r>
          </w:p>
        </w:tc>
        <w:tc>
          <w:tcPr>
            <w:tcW w:w="100" w:type="dxa"/>
            <w:vAlign w:val="bottom"/>
            <w:shd w:val="clear" w:color="auto" w:fill="DBDBDB"/>
          </w:tcPr>
          <w:p>
            <w:pPr>
              <w:spacing w:after="0"/>
              <w:rPr>
                <w:sz w:val="11"/>
                <w:szCs w:val="11"/>
                <w:color w:val="auto"/>
              </w:rPr>
            </w:pP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78</w:t>
            </w:r>
          </w:p>
        </w:tc>
        <w:tc>
          <w:tcPr>
            <w:tcW w:w="160" w:type="dxa"/>
            <w:vAlign w:val="bottom"/>
            <w:shd w:val="clear" w:color="auto" w:fill="DBDBDB"/>
          </w:tcPr>
          <w:p>
            <w:pPr>
              <w:spacing w:after="0"/>
              <w:rPr>
                <w:sz w:val="11"/>
                <w:szCs w:val="11"/>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76</w:t>
            </w:r>
          </w:p>
        </w:tc>
        <w:tc>
          <w:tcPr>
            <w:tcW w:w="160" w:type="dxa"/>
            <w:vAlign w:val="bottom"/>
            <w:shd w:val="clear" w:color="auto" w:fill="DBDBDB"/>
          </w:tcPr>
          <w:p>
            <w:pPr>
              <w:spacing w:after="0"/>
              <w:rPr>
                <w:sz w:val="11"/>
                <w:szCs w:val="11"/>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76</w:t>
            </w:r>
          </w:p>
        </w:tc>
        <w:tc>
          <w:tcPr>
            <w:tcW w:w="160" w:type="dxa"/>
            <w:vAlign w:val="bottom"/>
            <w:shd w:val="clear" w:color="auto" w:fill="DBDBDB"/>
          </w:tcPr>
          <w:p>
            <w:pPr>
              <w:spacing w:after="0"/>
              <w:rPr>
                <w:sz w:val="11"/>
                <w:szCs w:val="11"/>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76</w:t>
            </w:r>
          </w:p>
        </w:tc>
        <w:tc>
          <w:tcPr>
            <w:tcW w:w="100" w:type="dxa"/>
            <w:vAlign w:val="bottom"/>
            <w:shd w:val="clear" w:color="auto" w:fill="DBDBDB"/>
          </w:tcPr>
          <w:p>
            <w:pPr>
              <w:spacing w:after="0"/>
              <w:rPr>
                <w:sz w:val="11"/>
                <w:szCs w:val="11"/>
                <w:color w:val="auto"/>
              </w:rPr>
            </w:pP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32</w:t>
            </w:r>
          </w:p>
        </w:tc>
        <w:tc>
          <w:tcPr>
            <w:tcW w:w="160" w:type="dxa"/>
            <w:vAlign w:val="bottom"/>
            <w:shd w:val="clear" w:color="auto" w:fill="DBDBDB"/>
          </w:tcPr>
          <w:p>
            <w:pPr>
              <w:spacing w:after="0"/>
              <w:rPr>
                <w:sz w:val="11"/>
                <w:szCs w:val="11"/>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3"/>
        </w:trPr>
        <w:tc>
          <w:tcPr>
            <w:tcW w:w="2180" w:type="dxa"/>
            <w:vAlign w:val="bottom"/>
          </w:tcPr>
          <w:p>
            <w:pPr>
              <w:ind w:left="20"/>
              <w:spacing w:after="0"/>
              <w:rPr>
                <w:sz w:val="20"/>
                <w:szCs w:val="20"/>
                <w:color w:val="auto"/>
              </w:rPr>
            </w:pPr>
            <w:r>
              <w:rPr>
                <w:rFonts w:ascii="Arial" w:cs="Arial" w:eastAsia="Arial" w:hAnsi="Arial"/>
                <w:sz w:val="11"/>
                <w:szCs w:val="11"/>
                <w:color w:val="auto"/>
              </w:rPr>
              <w:t>Max Critical I.T. Square Feet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2,317,827</w:t>
            </w:r>
          </w:p>
        </w:tc>
        <w:tc>
          <w:tcPr>
            <w:tcW w:w="140" w:type="dxa"/>
            <w:vAlign w:val="bottom"/>
          </w:tcPr>
          <w:p>
            <w:pPr>
              <w:spacing w:after="0"/>
              <w:rPr>
                <w:sz w:val="12"/>
                <w:szCs w:val="12"/>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1,980,317</w:t>
            </w:r>
          </w:p>
        </w:tc>
        <w:tc>
          <w:tcPr>
            <w:tcW w:w="10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1,949,144</w:t>
            </w:r>
          </w:p>
        </w:tc>
        <w:tc>
          <w:tcPr>
            <w:tcW w:w="1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1,819,946</w:t>
            </w:r>
          </w:p>
        </w:tc>
        <w:tc>
          <w:tcPr>
            <w:tcW w:w="1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1,809,943</w:t>
            </w:r>
          </w:p>
        </w:tc>
        <w:tc>
          <w:tcPr>
            <w:tcW w:w="1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1,791,781</w:t>
            </w:r>
          </w:p>
        </w:tc>
        <w:tc>
          <w:tcPr>
            <w:tcW w:w="10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1,138,048</w:t>
            </w:r>
          </w:p>
        </w:tc>
        <w:tc>
          <w:tcPr>
            <w:tcW w:w="1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1,137,866</w:t>
            </w:r>
          </w:p>
        </w:tc>
        <w:tc>
          <w:tcPr>
            <w:tcW w:w="0" w:type="dxa"/>
            <w:vAlign w:val="bottom"/>
          </w:tcPr>
          <w:p>
            <w:pPr>
              <w:spacing w:after="0"/>
              <w:rPr>
                <w:sz w:val="1"/>
                <w:szCs w:val="1"/>
                <w:color w:val="auto"/>
              </w:rPr>
            </w:pPr>
          </w:p>
        </w:tc>
      </w:tr>
      <w:tr>
        <w:trPr>
          <w:trHeight w:val="145"/>
        </w:trPr>
        <w:tc>
          <w:tcPr>
            <w:tcW w:w="218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Leased Square Feet</w:t>
            </w:r>
          </w:p>
        </w:tc>
        <w:tc>
          <w:tcPr>
            <w:tcW w:w="100" w:type="dxa"/>
            <w:vAlign w:val="bottom"/>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1,817,101</w:t>
            </w:r>
          </w:p>
        </w:tc>
        <w:tc>
          <w:tcPr>
            <w:tcW w:w="14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1,608,378</w:t>
            </w: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1,552,517</w:t>
            </w:r>
          </w:p>
        </w:tc>
        <w:tc>
          <w:tcPr>
            <w:tcW w:w="1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1,467,420</w:t>
            </w:r>
          </w:p>
        </w:tc>
        <w:tc>
          <w:tcPr>
            <w:tcW w:w="1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1,439,291</w:t>
            </w:r>
          </w:p>
        </w:tc>
        <w:tc>
          <w:tcPr>
            <w:tcW w:w="1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1,423,322</w:t>
            </w: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967,879</w:t>
            </w:r>
          </w:p>
        </w:tc>
        <w:tc>
          <w:tcPr>
            <w:tcW w:w="1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945,640</w:t>
            </w:r>
          </w:p>
        </w:tc>
        <w:tc>
          <w:tcPr>
            <w:tcW w:w="0" w:type="dxa"/>
            <w:vAlign w:val="bottom"/>
          </w:tcPr>
          <w:p>
            <w:pPr>
              <w:spacing w:after="0"/>
              <w:rPr>
                <w:sz w:val="1"/>
                <w:szCs w:val="1"/>
                <w:color w:val="auto"/>
              </w:rPr>
            </w:pPr>
          </w:p>
        </w:tc>
      </w:tr>
      <w:tr>
        <w:trPr>
          <w:trHeight w:val="143"/>
        </w:trPr>
        <w:tc>
          <w:tcPr>
            <w:tcW w:w="2180" w:type="dxa"/>
            <w:vAlign w:val="bottom"/>
          </w:tcPr>
          <w:p>
            <w:pPr>
              <w:ind w:left="20"/>
              <w:spacing w:after="0"/>
              <w:rPr>
                <w:sz w:val="20"/>
                <w:szCs w:val="20"/>
                <w:color w:val="auto"/>
              </w:rPr>
            </w:pPr>
            <w:r>
              <w:rPr>
                <w:rFonts w:ascii="Arial" w:cs="Arial" w:eastAsia="Arial" w:hAnsi="Arial"/>
                <w:sz w:val="11"/>
                <w:szCs w:val="11"/>
                <w:color w:val="auto"/>
              </w:rPr>
              <w:t>% Utilization Rate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78.4%</w:t>
            </w:r>
          </w:p>
        </w:tc>
        <w:tc>
          <w:tcPr>
            <w:tcW w:w="140" w:type="dxa"/>
            <w:vAlign w:val="bottom"/>
          </w:tcPr>
          <w:p>
            <w:pPr>
              <w:spacing w:after="0"/>
              <w:rPr>
                <w:sz w:val="12"/>
                <w:szCs w:val="12"/>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81.2%</w:t>
            </w:r>
          </w:p>
        </w:tc>
        <w:tc>
          <w:tcPr>
            <w:tcW w:w="10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79.7%</w:t>
            </w:r>
          </w:p>
        </w:tc>
        <w:tc>
          <w:tcPr>
            <w:tcW w:w="1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80.6%</w:t>
            </w:r>
          </w:p>
        </w:tc>
        <w:tc>
          <w:tcPr>
            <w:tcW w:w="1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79.5%</w:t>
            </w:r>
          </w:p>
        </w:tc>
        <w:tc>
          <w:tcPr>
            <w:tcW w:w="1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79.4%</w:t>
            </w:r>
          </w:p>
        </w:tc>
        <w:tc>
          <w:tcPr>
            <w:tcW w:w="10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85.0%</w:t>
            </w:r>
          </w:p>
        </w:tc>
        <w:tc>
          <w:tcPr>
            <w:tcW w:w="1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83.1%</w:t>
            </w:r>
          </w:p>
        </w:tc>
        <w:tc>
          <w:tcPr>
            <w:tcW w:w="0" w:type="dxa"/>
            <w:vAlign w:val="bottom"/>
          </w:tcPr>
          <w:p>
            <w:pPr>
              <w:spacing w:after="0"/>
              <w:rPr>
                <w:sz w:val="1"/>
                <w:szCs w:val="1"/>
                <w:color w:val="auto"/>
              </w:rPr>
            </w:pPr>
          </w:p>
        </w:tc>
      </w:tr>
      <w:tr>
        <w:trPr>
          <w:trHeight w:val="145"/>
        </w:trPr>
        <w:tc>
          <w:tcPr>
            <w:tcW w:w="2180" w:type="dxa"/>
            <w:vAlign w:val="bottom"/>
            <w:shd w:val="clear" w:color="auto" w:fill="DBDBDB"/>
          </w:tcPr>
          <w:p>
            <w:pPr>
              <w:ind w:left="20"/>
              <w:spacing w:after="0"/>
              <w:rPr>
                <w:sz w:val="20"/>
                <w:szCs w:val="20"/>
                <w:color w:val="auto"/>
              </w:rPr>
            </w:pPr>
            <w:r>
              <w:rPr>
                <w:rFonts w:ascii="Arial" w:cs="Arial" w:eastAsia="Arial" w:hAnsi="Arial"/>
                <w:sz w:val="11"/>
                <w:szCs w:val="11"/>
                <w:color w:val="auto"/>
              </w:rPr>
              <w:t>MRR (Annualized)</w:t>
            </w:r>
          </w:p>
        </w:tc>
        <w:tc>
          <w:tcPr>
            <w:tcW w:w="100" w:type="dxa"/>
            <w:vAlign w:val="bottom"/>
          </w:tcPr>
          <w:p>
            <w:pPr>
              <w:spacing w:after="0"/>
              <w:rPr>
                <w:sz w:val="12"/>
                <w:szCs w:val="12"/>
                <w:color w:val="auto"/>
              </w:rPr>
            </w:pP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892.0</w:t>
            </w:r>
          </w:p>
        </w:tc>
        <w:tc>
          <w:tcPr>
            <w:tcW w:w="140" w:type="dxa"/>
            <w:vAlign w:val="bottom"/>
            <w:shd w:val="clear" w:color="auto" w:fill="DBDBDB"/>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812.3</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790.4</w:t>
            </w:r>
          </w:p>
        </w:tc>
        <w:tc>
          <w:tcPr>
            <w:tcW w:w="160" w:type="dxa"/>
            <w:vAlign w:val="bottom"/>
            <w:shd w:val="clear" w:color="auto" w:fill="DBDBDB"/>
          </w:tcPr>
          <w:p>
            <w:pPr>
              <w:spacing w:after="0"/>
              <w:rPr>
                <w:sz w:val="20"/>
                <w:szCs w:val="20"/>
                <w:color w:val="auto"/>
              </w:rPr>
            </w:pPr>
            <w:r>
              <w:rPr>
                <w:rFonts w:ascii="Arial" w:cs="Arial" w:eastAsia="Arial" w:hAnsi="Arial"/>
                <w:sz w:val="11"/>
                <w:szCs w:val="11"/>
                <w:color w:val="auto"/>
              </w:rPr>
              <w:t>$</w:t>
            </w: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773.1</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750.2</w:t>
            </w: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743.0</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442.0</w:t>
            </w:r>
          </w:p>
        </w:tc>
        <w:tc>
          <w:tcPr>
            <w:tcW w:w="16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374.0</w:t>
            </w:r>
          </w:p>
        </w:tc>
        <w:tc>
          <w:tcPr>
            <w:tcW w:w="0" w:type="dxa"/>
            <w:vAlign w:val="bottom"/>
          </w:tcPr>
          <w:p>
            <w:pPr>
              <w:spacing w:after="0"/>
              <w:rPr>
                <w:sz w:val="1"/>
                <w:szCs w:val="1"/>
                <w:color w:val="auto"/>
              </w:rPr>
            </w:pPr>
          </w:p>
        </w:tc>
      </w:tr>
      <w:tr>
        <w:trPr>
          <w:trHeight w:val="143"/>
        </w:trPr>
        <w:tc>
          <w:tcPr>
            <w:tcW w:w="2180" w:type="dxa"/>
            <w:vAlign w:val="bottom"/>
          </w:tcPr>
          <w:p>
            <w:pPr>
              <w:ind w:left="20"/>
              <w:spacing w:after="0"/>
              <w:rPr>
                <w:sz w:val="20"/>
                <w:szCs w:val="20"/>
                <w:color w:val="auto"/>
              </w:rPr>
            </w:pPr>
            <w:r>
              <w:rPr>
                <w:rFonts w:ascii="Arial" w:cs="Arial" w:eastAsia="Arial" w:hAnsi="Arial"/>
                <w:sz w:val="11"/>
                <w:szCs w:val="11"/>
                <w:color w:val="auto"/>
              </w:rPr>
              <w:t>Bookings (Annualized)</w:t>
            </w:r>
          </w:p>
        </w:tc>
        <w:tc>
          <w:tcPr>
            <w:tcW w:w="24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56.5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15.3</w:t>
            </w: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16.6</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16.4</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23.0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6.0</w:t>
            </w: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45"/>
        </w:trPr>
        <w:tc>
          <w:tcPr>
            <w:tcW w:w="2180" w:type="dxa"/>
            <w:vAlign w:val="bottom"/>
            <w:shd w:val="clear" w:color="auto" w:fill="DBDBDB"/>
          </w:tcPr>
          <w:p>
            <w:pPr>
              <w:ind w:left="20"/>
              <w:spacing w:after="0"/>
              <w:rPr>
                <w:sz w:val="20"/>
                <w:szCs w:val="20"/>
                <w:color w:val="auto"/>
              </w:rPr>
            </w:pPr>
            <w:r>
              <w:rPr>
                <w:rFonts w:ascii="Arial" w:cs="Arial" w:eastAsia="Arial" w:hAnsi="Arial"/>
                <w:sz w:val="11"/>
                <w:szCs w:val="11"/>
                <w:color w:val="auto"/>
              </w:rPr>
              <w:t>Quarterly Churn (% of Prior Quarter MRR)</w:t>
            </w:r>
          </w:p>
        </w:tc>
        <w:tc>
          <w:tcPr>
            <w:tcW w:w="100" w:type="dxa"/>
            <w:vAlign w:val="bottom"/>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1.7%</w:t>
            </w:r>
          </w:p>
        </w:tc>
        <w:tc>
          <w:tcPr>
            <w:tcW w:w="14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1.9%</w:t>
            </w:r>
          </w:p>
        </w:tc>
        <w:tc>
          <w:tcPr>
            <w:tcW w:w="1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1.3%</w:t>
            </w:r>
          </w:p>
        </w:tc>
        <w:tc>
          <w:tcPr>
            <w:tcW w:w="1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1.3%</w:t>
            </w:r>
          </w:p>
        </w:tc>
        <w:tc>
          <w:tcPr>
            <w:tcW w:w="1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.8%</w:t>
            </w:r>
          </w:p>
        </w:tc>
        <w:tc>
          <w:tcPr>
            <w:tcW w:w="1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5" w:lineRule="exact"/>
        <w:rPr>
          <w:sz w:val="20"/>
          <w:szCs w:val="20"/>
          <w:color w:val="auto"/>
        </w:rPr>
      </w:pPr>
    </w:p>
    <w:p>
      <w:pPr>
        <w:ind w:left="188" w:hanging="188"/>
        <w:spacing w:after="0"/>
        <w:tabs>
          <w:tab w:leader="none" w:pos="188" w:val="left"/>
        </w:tabs>
        <w:numPr>
          <w:ilvl w:val="0"/>
          <w:numId w:val="17"/>
        </w:numPr>
        <w:rPr>
          <w:rFonts w:ascii="Arial" w:cs="Arial" w:eastAsia="Arial" w:hAnsi="Arial"/>
          <w:sz w:val="8"/>
          <w:szCs w:val="8"/>
          <w:color w:val="424242"/>
        </w:rPr>
      </w:pPr>
      <w:r>
        <w:rPr>
          <w:rFonts w:ascii="Arial" w:cs="Arial" w:eastAsia="Arial" w:hAnsi="Arial"/>
          <w:sz w:val="8"/>
          <w:szCs w:val="8"/>
          <w:color w:val="424242"/>
        </w:rPr>
        <w:t>Includes all components related to real estate assets, including tangible real estate and lease-related intangibles and cash.</w:t>
      </w:r>
    </w:p>
    <w:p>
      <w:pPr>
        <w:spacing w:after="0" w:line="10" w:lineRule="exact"/>
        <w:rPr>
          <w:rFonts w:ascii="Arial" w:cs="Arial" w:eastAsia="Arial" w:hAnsi="Arial"/>
          <w:sz w:val="8"/>
          <w:szCs w:val="8"/>
          <w:color w:val="424242"/>
        </w:rPr>
      </w:pPr>
    </w:p>
    <w:p>
      <w:pPr>
        <w:ind w:left="188" w:hanging="188"/>
        <w:spacing w:after="0"/>
        <w:tabs>
          <w:tab w:leader="none" w:pos="188" w:val="left"/>
        </w:tabs>
        <w:numPr>
          <w:ilvl w:val="0"/>
          <w:numId w:val="17"/>
        </w:numPr>
        <w:rPr>
          <w:rFonts w:ascii="Arial" w:cs="Arial" w:eastAsia="Arial" w:hAnsi="Arial"/>
          <w:sz w:val="8"/>
          <w:szCs w:val="8"/>
          <w:color w:val="424242"/>
        </w:rPr>
      </w:pPr>
      <w:r>
        <w:rPr>
          <w:rFonts w:ascii="Arial" w:cs="Arial" w:eastAsia="Arial" w:hAnsi="Arial"/>
          <w:sz w:val="8"/>
          <w:szCs w:val="8"/>
          <w:color w:val="424242"/>
        </w:rPr>
        <w:t>Represents unpaid principal balance.</w:t>
      </w:r>
    </w:p>
    <w:p>
      <w:pPr>
        <w:spacing w:after="0" w:line="23" w:lineRule="exact"/>
        <w:rPr>
          <w:rFonts w:ascii="Arial" w:cs="Arial" w:eastAsia="Arial" w:hAnsi="Arial"/>
          <w:sz w:val="8"/>
          <w:szCs w:val="8"/>
          <w:color w:val="424242"/>
        </w:rPr>
      </w:pPr>
    </w:p>
    <w:p>
      <w:pPr>
        <w:ind w:left="208" w:right="160" w:hanging="208"/>
        <w:spacing w:after="0" w:line="281" w:lineRule="auto"/>
        <w:tabs>
          <w:tab w:leader="none" w:pos="188" w:val="left"/>
        </w:tabs>
        <w:numPr>
          <w:ilvl w:val="0"/>
          <w:numId w:val="17"/>
        </w:numPr>
        <w:rPr>
          <w:rFonts w:ascii="Arial" w:cs="Arial" w:eastAsia="Arial" w:hAnsi="Arial"/>
          <w:sz w:val="8"/>
          <w:szCs w:val="8"/>
          <w:color w:val="424242"/>
        </w:rPr>
      </w:pPr>
      <w:r>
        <w:rPr>
          <w:rFonts w:ascii="Arial" w:cs="Arial" w:eastAsia="Arial" w:hAnsi="Arial"/>
          <w:sz w:val="8"/>
          <w:szCs w:val="8"/>
          <w:color w:val="424242"/>
        </w:rPr>
        <w:t>For the second quarter 2022, in addition to debt presented, the Digital Operating segment has $139 million consolidated, or $25 million DBRG OP share, of finance lease obligations, which represents the present value of payments on leases classified as finance leases, in the Other Liabilities line item on the Company’s Balance Sheet.</w:t>
      </w:r>
    </w:p>
    <w:p>
      <w:pPr>
        <w:ind w:left="188" w:hanging="188"/>
        <w:spacing w:after="0"/>
        <w:tabs>
          <w:tab w:leader="none" w:pos="188" w:val="left"/>
        </w:tabs>
        <w:numPr>
          <w:ilvl w:val="0"/>
          <w:numId w:val="17"/>
        </w:numPr>
        <w:rPr>
          <w:rFonts w:ascii="Arial" w:cs="Arial" w:eastAsia="Arial" w:hAnsi="Arial"/>
          <w:sz w:val="8"/>
          <w:szCs w:val="8"/>
          <w:color w:val="424242"/>
        </w:rPr>
      </w:pPr>
      <w:r>
        <w:rPr>
          <w:rFonts w:ascii="Arial" w:cs="Arial" w:eastAsia="Arial" w:hAnsi="Arial"/>
          <w:sz w:val="8"/>
          <w:szCs w:val="8"/>
          <w:color w:val="424242"/>
        </w:rPr>
        <w:t>Operating metrics presented include assets owned entirely during the presented period. Data of assets acquired within a quarter are included in the following quarter.</w:t>
      </w:r>
    </w:p>
    <w:p>
      <w:pPr>
        <w:spacing w:after="0" w:line="28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18</w:t>
            </w:r>
          </w:p>
        </w:tc>
      </w:tr>
    </w:tbl>
    <w:p>
      <w:pPr>
        <w:sectPr>
          <w:pgSz w:w="11900" w:h="16838" w:orient="portrait"/>
          <w:cols w:equalWidth="0" w:num="1">
            <w:col w:w="11308"/>
          </w:cols>
          <w:pgMar w:left="292" w:top="130" w:right="299" w:bottom="1440" w:gutter="0" w:footer="0" w:header="0"/>
        </w:sectPr>
      </w:pPr>
    </w:p>
    <w:bookmarkStart w:id="27" w:name="page28"/>
    <w:bookmarkEnd w:id="27"/>
    <w:p>
      <w:pPr>
        <w:ind w:left="8"/>
        <w:spacing w:after="0"/>
        <w:rPr>
          <w:sz w:val="20"/>
          <w:szCs w:val="20"/>
          <w:color w:val="auto"/>
        </w:rPr>
      </w:pPr>
      <w:r>
        <w:rPr>
          <w:rFonts w:ascii="Arial" w:cs="Arial" w:eastAsia="Arial" w:hAnsi="Arial"/>
          <w:sz w:val="29"/>
          <w:szCs w:val="29"/>
          <w:color w:val="auto"/>
        </w:rPr>
        <w:t>VI. Digital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3600" w:type="dxa"/>
            <w:vAlign w:val="bottom"/>
          </w:tcPr>
          <w:p>
            <w:pPr>
              <w:spacing w:after="0"/>
              <w:rPr>
                <w:sz w:val="20"/>
                <w:szCs w:val="20"/>
                <w:color w:val="auto"/>
              </w:rPr>
            </w:pPr>
            <w:r>
              <w:rPr>
                <w:rFonts w:ascii="Arial" w:cs="Arial" w:eastAsia="Arial" w:hAnsi="Arial"/>
                <w:sz w:val="10"/>
                <w:szCs w:val="10"/>
                <w:i w:val="1"/>
                <w:iCs w:val="1"/>
                <w:color w:val="auto"/>
              </w:rPr>
              <w:t>($ in thousands)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rPr>
                <w:sz w:val="20"/>
                <w:szCs w:val="20"/>
                <w:color w:val="auto"/>
              </w:rPr>
            </w:pPr>
            <w:r>
              <w:rPr>
                <w:rFonts w:ascii="Arial" w:cs="Arial" w:eastAsia="Arial" w:hAnsi="Arial"/>
                <w:sz w:val="12"/>
                <w:szCs w:val="12"/>
                <w:b w:val="1"/>
                <w:bCs w:val="1"/>
                <w:i w:val="1"/>
                <w:iCs w:val="1"/>
                <w:color w:val="003C71"/>
              </w:rPr>
              <w:t>Digital Operating Adjusted EBITDA</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2Q22</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1Q22</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4Q21</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3Q21</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2Q21</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1Q21</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4Q20</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3Q20</w:t>
            </w:r>
          </w:p>
        </w:tc>
        <w:tc>
          <w:tcPr>
            <w:tcW w:w="0" w:type="dxa"/>
            <w:vAlign w:val="bottom"/>
          </w:tcPr>
          <w:p>
            <w:pPr>
              <w:spacing w:after="0"/>
              <w:rPr>
                <w:sz w:val="1"/>
                <w:szCs w:val="1"/>
                <w:color w:val="auto"/>
              </w:rPr>
            </w:pPr>
          </w:p>
        </w:tc>
      </w:tr>
      <w:tr>
        <w:trPr>
          <w:trHeight w:val="124"/>
        </w:trPr>
        <w:tc>
          <w:tcPr>
            <w:tcW w:w="3600" w:type="dxa"/>
            <w:vAlign w:val="bottom"/>
          </w:tcPr>
          <w:p>
            <w:pPr>
              <w:spacing w:after="0" w:line="124" w:lineRule="exact"/>
              <w:rPr>
                <w:sz w:val="20"/>
                <w:szCs w:val="20"/>
                <w:color w:val="auto"/>
              </w:rPr>
            </w:pPr>
            <w:r>
              <w:rPr>
                <w:rFonts w:ascii="Arial" w:cs="Arial" w:eastAsia="Arial" w:hAnsi="Arial"/>
                <w:sz w:val="11"/>
                <w:szCs w:val="11"/>
                <w:b w:val="1"/>
                <w:bCs w:val="1"/>
                <w:color w:val="auto"/>
              </w:rPr>
              <w:t>Consolidated amount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Total revenues</w:t>
            </w:r>
          </w:p>
        </w:tc>
        <w:tc>
          <w:tcPr>
            <w:tcW w:w="80" w:type="dxa"/>
            <w:vAlign w:val="bottom"/>
          </w:tcPr>
          <w:p>
            <w:pPr>
              <w:spacing w:after="0"/>
              <w:rPr>
                <w:sz w:val="12"/>
                <w:szCs w:val="12"/>
                <w:color w:val="auto"/>
              </w:rPr>
            </w:pP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227,687</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202,522</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189,938</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194,966</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189,093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189,202</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127,546</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98,549</w:t>
            </w:r>
          </w:p>
        </w:tc>
        <w:tc>
          <w:tcPr>
            <w:tcW w:w="0" w:type="dxa"/>
            <w:vAlign w:val="bottom"/>
          </w:tcPr>
          <w:p>
            <w:pPr>
              <w:spacing w:after="0"/>
              <w:rPr>
                <w:sz w:val="1"/>
                <w:szCs w:val="1"/>
                <w:color w:val="auto"/>
              </w:rPr>
            </w:pPr>
          </w:p>
        </w:tc>
      </w:tr>
      <w:tr>
        <w:trPr>
          <w:trHeight w:val="143"/>
        </w:trPr>
        <w:tc>
          <w:tcPr>
            <w:tcW w:w="3600" w:type="dxa"/>
            <w:vAlign w:val="bottom"/>
          </w:tcPr>
          <w:p>
            <w:pPr>
              <w:ind w:left="140"/>
              <w:spacing w:after="0"/>
              <w:rPr>
                <w:sz w:val="20"/>
                <w:szCs w:val="20"/>
                <w:color w:val="auto"/>
              </w:rPr>
            </w:pPr>
            <w:r>
              <w:rPr>
                <w:rFonts w:ascii="Arial" w:cs="Arial" w:eastAsia="Arial" w:hAnsi="Arial"/>
                <w:sz w:val="11"/>
                <w:szCs w:val="11"/>
                <w:color w:val="auto"/>
              </w:rPr>
              <w:t>Property operating expenses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(94,744)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(84,003)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(78,950)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(80,226)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(77,140)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(79,862)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(47,224)</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(37,544)</w:t>
            </w:r>
          </w:p>
        </w:tc>
        <w:tc>
          <w:tcPr>
            <w:tcW w:w="0" w:type="dxa"/>
            <w:vAlign w:val="bottom"/>
          </w:tcPr>
          <w:p>
            <w:pPr>
              <w:spacing w:after="0"/>
              <w:rPr>
                <w:sz w:val="1"/>
                <w:szCs w:val="1"/>
                <w:color w:val="auto"/>
              </w:rPr>
            </w:pPr>
          </w:p>
        </w:tc>
      </w:tr>
      <w:tr>
        <w:trPr>
          <w:trHeight w:val="145"/>
        </w:trPr>
        <w:tc>
          <w:tcPr>
            <w:tcW w:w="36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Compensation and administrative expenses</w:t>
            </w:r>
          </w:p>
        </w:tc>
        <w:tc>
          <w:tcPr>
            <w:tcW w:w="8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(29,139)</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(26,855)</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(28,879)</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(29,766)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(28,488)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(25,947)</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(16,982)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(11,863)</w:t>
            </w:r>
          </w:p>
        </w:tc>
        <w:tc>
          <w:tcPr>
            <w:tcW w:w="0" w:type="dxa"/>
            <w:vAlign w:val="bottom"/>
          </w:tcPr>
          <w:p>
            <w:pPr>
              <w:spacing w:after="0"/>
              <w:rPr>
                <w:sz w:val="1"/>
                <w:szCs w:val="1"/>
                <w:color w:val="auto"/>
              </w:rPr>
            </w:pPr>
          </w:p>
        </w:tc>
      </w:tr>
      <w:tr>
        <w:trPr>
          <w:trHeight w:val="143"/>
        </w:trPr>
        <w:tc>
          <w:tcPr>
            <w:tcW w:w="3600" w:type="dxa"/>
            <w:vAlign w:val="bottom"/>
          </w:tcPr>
          <w:p>
            <w:pPr>
              <w:ind w:left="140"/>
              <w:spacing w:after="0"/>
              <w:rPr>
                <w:sz w:val="20"/>
                <w:szCs w:val="20"/>
                <w:color w:val="auto"/>
              </w:rPr>
            </w:pPr>
            <w:r>
              <w:rPr>
                <w:rFonts w:ascii="Arial" w:cs="Arial" w:eastAsia="Arial" w:hAnsi="Arial"/>
                <w:sz w:val="11"/>
                <w:szCs w:val="11"/>
                <w:color w:val="auto"/>
              </w:rPr>
              <w:t>Investment expenses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(5,487)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(8,016)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(5,153)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(4,862)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(5,255)</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(6,565)</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(3,329)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(2,362)</w:t>
            </w:r>
          </w:p>
        </w:tc>
        <w:tc>
          <w:tcPr>
            <w:tcW w:w="0" w:type="dxa"/>
            <w:vAlign w:val="bottom"/>
          </w:tcPr>
          <w:p>
            <w:pPr>
              <w:spacing w:after="0"/>
              <w:rPr>
                <w:sz w:val="1"/>
                <w:szCs w:val="1"/>
                <w:color w:val="auto"/>
              </w:rPr>
            </w:pPr>
          </w:p>
        </w:tc>
      </w:tr>
      <w:tr>
        <w:trPr>
          <w:trHeight w:val="109"/>
        </w:trPr>
        <w:tc>
          <w:tcPr>
            <w:tcW w:w="3600" w:type="dxa"/>
            <w:vAlign w:val="bottom"/>
            <w:shd w:val="clear" w:color="auto" w:fill="DBDBDB"/>
          </w:tcPr>
          <w:p>
            <w:pPr>
              <w:ind w:left="140"/>
              <w:spacing w:after="0" w:line="110" w:lineRule="exact"/>
              <w:rPr>
                <w:sz w:val="20"/>
                <w:szCs w:val="20"/>
                <w:color w:val="auto"/>
              </w:rPr>
            </w:pPr>
            <w:r>
              <w:rPr>
                <w:rFonts w:ascii="Arial" w:cs="Arial" w:eastAsia="Arial" w:hAnsi="Arial"/>
                <w:sz w:val="11"/>
                <w:szCs w:val="11"/>
                <w:color w:val="auto"/>
              </w:rPr>
              <w:t>Straight-line rent expenses and amortization of above- and below-</w:t>
            </w:r>
          </w:p>
        </w:tc>
        <w:tc>
          <w:tcPr>
            <w:tcW w:w="80" w:type="dxa"/>
            <w:vAlign w:val="bottom"/>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(236)</w:t>
            </w:r>
          </w:p>
        </w:tc>
        <w:tc>
          <w:tcPr>
            <w:tcW w:w="22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(377)</w:t>
            </w:r>
          </w:p>
        </w:tc>
        <w:tc>
          <w:tcPr>
            <w:tcW w:w="22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370</w:t>
            </w:r>
          </w:p>
        </w:tc>
        <w:tc>
          <w:tcPr>
            <w:tcW w:w="22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482</w:t>
            </w:r>
          </w:p>
        </w:tc>
        <w:tc>
          <w:tcPr>
            <w:tcW w:w="20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(98)</w:t>
            </w:r>
          </w:p>
        </w:tc>
        <w:tc>
          <w:tcPr>
            <w:tcW w:w="20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(399)</w:t>
            </w:r>
          </w:p>
        </w:tc>
        <w:tc>
          <w:tcPr>
            <w:tcW w:w="20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(2,607)</w:t>
            </w:r>
          </w:p>
        </w:tc>
        <w:tc>
          <w:tcPr>
            <w:tcW w:w="20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(2,106)</w:t>
            </w:r>
          </w:p>
        </w:tc>
        <w:tc>
          <w:tcPr>
            <w:tcW w:w="0" w:type="dxa"/>
            <w:vAlign w:val="bottom"/>
          </w:tcPr>
          <w:p>
            <w:pPr>
              <w:spacing w:after="0"/>
              <w:rPr>
                <w:sz w:val="1"/>
                <w:szCs w:val="1"/>
                <w:color w:val="auto"/>
              </w:rPr>
            </w:pPr>
          </w:p>
        </w:tc>
      </w:tr>
      <w:tr>
        <w:trPr>
          <w:trHeight w:val="144"/>
        </w:trPr>
        <w:tc>
          <w:tcPr>
            <w:tcW w:w="36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market lease intangibles</w:t>
            </w:r>
          </w:p>
        </w:tc>
        <w:tc>
          <w:tcPr>
            <w:tcW w:w="8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2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2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2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2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00" w:type="dxa"/>
            <w:vAlign w:val="bottom"/>
          </w:tcPr>
          <w:p>
            <w:pPr>
              <w:ind w:left="140"/>
              <w:spacing w:after="0"/>
              <w:rPr>
                <w:sz w:val="20"/>
                <w:szCs w:val="20"/>
                <w:color w:val="auto"/>
              </w:rPr>
            </w:pPr>
            <w:r>
              <w:rPr>
                <w:rFonts w:ascii="Arial" w:cs="Arial" w:eastAsia="Arial" w:hAnsi="Arial"/>
                <w:sz w:val="11"/>
                <w:szCs w:val="11"/>
                <w:color w:val="auto"/>
              </w:rPr>
              <w:t>Compensation expense—equity-based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752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752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1,918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728</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45"/>
        </w:trPr>
        <w:tc>
          <w:tcPr>
            <w:tcW w:w="36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Installation services</w:t>
            </w:r>
          </w:p>
        </w:tc>
        <w:tc>
          <w:tcPr>
            <w:tcW w:w="8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2,097</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(4,058)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880</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43"/>
        </w:trPr>
        <w:tc>
          <w:tcPr>
            <w:tcW w:w="360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Transaction-related and restructuring charges</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2,400</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4,636</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3,188</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4,042</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2,999</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4,670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1,155</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420</w:t>
            </w:r>
          </w:p>
        </w:tc>
        <w:tc>
          <w:tcPr>
            <w:tcW w:w="0" w:type="dxa"/>
            <w:vAlign w:val="bottom"/>
          </w:tcPr>
          <w:p>
            <w:pPr>
              <w:spacing w:after="0"/>
              <w:rPr>
                <w:sz w:val="1"/>
                <w:szCs w:val="1"/>
                <w:color w:val="auto"/>
              </w:rPr>
            </w:pPr>
          </w:p>
        </w:tc>
      </w:tr>
      <w:tr>
        <w:trPr>
          <w:trHeight w:val="154"/>
        </w:trPr>
        <w:tc>
          <w:tcPr>
            <w:tcW w:w="3600" w:type="dxa"/>
            <w:vAlign w:val="bottom"/>
            <w:tcBorders>
              <w:bottom w:val="single" w:sz="8" w:color="DBDBDB"/>
            </w:tcBorders>
            <w:shd w:val="clear" w:color="auto" w:fill="DBDBDB"/>
          </w:tcPr>
          <w:p>
            <w:pPr>
              <w:spacing w:after="0" w:line="134" w:lineRule="exact"/>
              <w:rPr>
                <w:sz w:val="20"/>
                <w:szCs w:val="20"/>
                <w:color w:val="auto"/>
              </w:rPr>
            </w:pPr>
            <w:r>
              <w:rPr>
                <w:rFonts w:ascii="Arial" w:cs="Arial" w:eastAsia="Arial" w:hAnsi="Arial"/>
                <w:sz w:val="11"/>
                <w:szCs w:val="11"/>
                <w:b w:val="1"/>
                <w:bCs w:val="1"/>
                <w:color w:val="auto"/>
              </w:rPr>
              <w:t xml:space="preserve">Digital Operating Adjusted EBITDA - Consolidated </w:t>
            </w:r>
            <w:r>
              <w:rPr>
                <w:rFonts w:ascii="Arial" w:cs="Arial" w:eastAsia="Arial" w:hAnsi="Arial"/>
                <w:sz w:val="14"/>
                <w:szCs w:val="14"/>
                <w:b w:val="1"/>
                <w:bCs w:val="1"/>
                <w:color w:val="auto"/>
                <w:vertAlign w:val="superscript"/>
              </w:rPr>
              <w:t>(1)</w:t>
            </w:r>
          </w:p>
        </w:tc>
        <w:tc>
          <w:tcPr>
            <w:tcW w:w="80" w:type="dxa"/>
            <w:vAlign w:val="bottom"/>
          </w:tcPr>
          <w:p>
            <w:pPr>
              <w:spacing w:after="0"/>
              <w:rPr>
                <w:sz w:val="13"/>
                <w:szCs w:val="13"/>
                <w:color w:val="auto"/>
              </w:rPr>
            </w:pP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101,233</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88,659</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84,529</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80,886</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81,995</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82,287</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59,716</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45,177</w:t>
            </w:r>
          </w:p>
        </w:tc>
        <w:tc>
          <w:tcPr>
            <w:tcW w:w="0" w:type="dxa"/>
            <w:vAlign w:val="bottom"/>
          </w:tcPr>
          <w:p>
            <w:pPr>
              <w:spacing w:after="0"/>
              <w:rPr>
                <w:sz w:val="1"/>
                <w:szCs w:val="1"/>
                <w:color w:val="auto"/>
              </w:rPr>
            </w:pPr>
          </w:p>
        </w:tc>
      </w:tr>
      <w:tr>
        <w:trPr>
          <w:trHeight w:val="806"/>
        </w:trPr>
        <w:tc>
          <w:tcPr>
            <w:tcW w:w="3600" w:type="dxa"/>
            <w:vAlign w:val="bottom"/>
          </w:tcPr>
          <w:p>
            <w:pPr>
              <w:spacing w:after="0"/>
              <w:rPr>
                <w:sz w:val="20"/>
                <w:szCs w:val="20"/>
                <w:color w:val="auto"/>
              </w:rPr>
            </w:pPr>
            <w:r>
              <w:rPr>
                <w:rFonts w:ascii="Arial" w:cs="Arial" w:eastAsia="Arial" w:hAnsi="Arial"/>
                <w:sz w:val="11"/>
                <w:szCs w:val="11"/>
                <w:b w:val="1"/>
                <w:bCs w:val="1"/>
                <w:color w:val="auto"/>
              </w:rPr>
              <w:t>DBRG OP share of consolidated amount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6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Total revenues</w:t>
            </w:r>
          </w:p>
        </w:tc>
        <w:tc>
          <w:tcPr>
            <w:tcW w:w="80" w:type="dxa"/>
            <w:vAlign w:val="bottom"/>
          </w:tcPr>
          <w:p>
            <w:pPr>
              <w:spacing w:after="0"/>
              <w:rPr>
                <w:sz w:val="12"/>
                <w:szCs w:val="12"/>
                <w:color w:val="auto"/>
              </w:rPr>
            </w:pP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41,448</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36,882</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32,464</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33,771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32,624</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32,741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21,013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15,600</w:t>
            </w:r>
          </w:p>
        </w:tc>
        <w:tc>
          <w:tcPr>
            <w:tcW w:w="0" w:type="dxa"/>
            <w:vAlign w:val="bottom"/>
          </w:tcPr>
          <w:p>
            <w:pPr>
              <w:spacing w:after="0"/>
              <w:rPr>
                <w:sz w:val="1"/>
                <w:szCs w:val="1"/>
                <w:color w:val="auto"/>
              </w:rPr>
            </w:pPr>
          </w:p>
        </w:tc>
      </w:tr>
      <w:tr>
        <w:trPr>
          <w:trHeight w:val="143"/>
        </w:trPr>
        <w:tc>
          <w:tcPr>
            <w:tcW w:w="3600" w:type="dxa"/>
            <w:vAlign w:val="bottom"/>
          </w:tcPr>
          <w:p>
            <w:pPr>
              <w:ind w:left="140"/>
              <w:spacing w:after="0"/>
              <w:rPr>
                <w:sz w:val="20"/>
                <w:szCs w:val="20"/>
                <w:color w:val="auto"/>
              </w:rPr>
            </w:pPr>
            <w:r>
              <w:rPr>
                <w:rFonts w:ascii="Arial" w:cs="Arial" w:eastAsia="Arial" w:hAnsi="Arial"/>
                <w:sz w:val="11"/>
                <w:szCs w:val="11"/>
                <w:color w:val="auto"/>
              </w:rPr>
              <w:t>Property operating expenses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(17,649)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(15,614)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(13,740)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(14,115)</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(13,690)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(14,165)</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(7,911)</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(6,026)</w:t>
            </w:r>
          </w:p>
        </w:tc>
        <w:tc>
          <w:tcPr>
            <w:tcW w:w="0" w:type="dxa"/>
            <w:vAlign w:val="bottom"/>
          </w:tcPr>
          <w:p>
            <w:pPr>
              <w:spacing w:after="0"/>
              <w:rPr>
                <w:sz w:val="1"/>
                <w:szCs w:val="1"/>
                <w:color w:val="auto"/>
              </w:rPr>
            </w:pPr>
          </w:p>
        </w:tc>
      </w:tr>
      <w:tr>
        <w:trPr>
          <w:trHeight w:val="145"/>
        </w:trPr>
        <w:tc>
          <w:tcPr>
            <w:tcW w:w="36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Compensation and administrative expenses</w:t>
            </w:r>
          </w:p>
        </w:tc>
        <w:tc>
          <w:tcPr>
            <w:tcW w:w="8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(6,246)</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(5,752)</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(5,457)</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(5,615)</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(5,350)</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(4,888)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(3,276)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(2,310)</w:t>
            </w:r>
          </w:p>
        </w:tc>
        <w:tc>
          <w:tcPr>
            <w:tcW w:w="0" w:type="dxa"/>
            <w:vAlign w:val="bottom"/>
          </w:tcPr>
          <w:p>
            <w:pPr>
              <w:spacing w:after="0"/>
              <w:rPr>
                <w:sz w:val="1"/>
                <w:szCs w:val="1"/>
                <w:color w:val="auto"/>
              </w:rPr>
            </w:pPr>
          </w:p>
        </w:tc>
      </w:tr>
      <w:tr>
        <w:trPr>
          <w:trHeight w:val="143"/>
        </w:trPr>
        <w:tc>
          <w:tcPr>
            <w:tcW w:w="3600" w:type="dxa"/>
            <w:vAlign w:val="bottom"/>
          </w:tcPr>
          <w:p>
            <w:pPr>
              <w:ind w:left="140"/>
              <w:spacing w:after="0"/>
              <w:rPr>
                <w:sz w:val="20"/>
                <w:szCs w:val="20"/>
                <w:color w:val="auto"/>
              </w:rPr>
            </w:pPr>
            <w:r>
              <w:rPr>
                <w:rFonts w:ascii="Arial" w:cs="Arial" w:eastAsia="Arial" w:hAnsi="Arial"/>
                <w:sz w:val="11"/>
                <w:szCs w:val="11"/>
                <w:color w:val="auto"/>
              </w:rPr>
              <w:t>Investment expenses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(793)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(1,169)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(732)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(709)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(1,090)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(433)</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(290)</w:t>
            </w:r>
          </w:p>
        </w:tc>
        <w:tc>
          <w:tcPr>
            <w:tcW w:w="0" w:type="dxa"/>
            <w:vAlign w:val="bottom"/>
          </w:tcPr>
          <w:p>
            <w:pPr>
              <w:spacing w:after="0"/>
              <w:rPr>
                <w:sz w:val="1"/>
                <w:szCs w:val="1"/>
                <w:color w:val="auto"/>
              </w:rPr>
            </w:pPr>
          </w:p>
        </w:tc>
      </w:tr>
      <w:tr>
        <w:trPr>
          <w:trHeight w:val="109"/>
        </w:trPr>
        <w:tc>
          <w:tcPr>
            <w:tcW w:w="3600" w:type="dxa"/>
            <w:vAlign w:val="bottom"/>
            <w:shd w:val="clear" w:color="auto" w:fill="DBDBDB"/>
          </w:tcPr>
          <w:p>
            <w:pPr>
              <w:ind w:left="140"/>
              <w:spacing w:after="0" w:line="110" w:lineRule="exact"/>
              <w:rPr>
                <w:sz w:val="20"/>
                <w:szCs w:val="20"/>
                <w:color w:val="auto"/>
              </w:rPr>
            </w:pPr>
            <w:r>
              <w:rPr>
                <w:rFonts w:ascii="Arial" w:cs="Arial" w:eastAsia="Arial" w:hAnsi="Arial"/>
                <w:sz w:val="11"/>
                <w:szCs w:val="11"/>
                <w:color w:val="auto"/>
              </w:rPr>
              <w:t>Straight-line rent expenses and amortization of above- and below-</w:t>
            </w:r>
          </w:p>
        </w:tc>
        <w:tc>
          <w:tcPr>
            <w:tcW w:w="80" w:type="dxa"/>
            <w:vAlign w:val="bottom"/>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246</w:t>
            </w:r>
          </w:p>
        </w:tc>
        <w:tc>
          <w:tcPr>
            <w:tcW w:w="22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195</w:t>
            </w:r>
          </w:p>
        </w:tc>
        <w:tc>
          <w:tcPr>
            <w:tcW w:w="22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244</w:t>
            </w:r>
          </w:p>
        </w:tc>
        <w:tc>
          <w:tcPr>
            <w:tcW w:w="22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295</w:t>
            </w:r>
          </w:p>
        </w:tc>
        <w:tc>
          <w:tcPr>
            <w:tcW w:w="20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247</w:t>
            </w:r>
          </w:p>
        </w:tc>
        <w:tc>
          <w:tcPr>
            <w:tcW w:w="20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192</w:t>
            </w:r>
          </w:p>
        </w:tc>
        <w:tc>
          <w:tcPr>
            <w:tcW w:w="20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(250)</w:t>
            </w:r>
          </w:p>
        </w:tc>
        <w:tc>
          <w:tcPr>
            <w:tcW w:w="20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44"/>
        </w:trPr>
        <w:tc>
          <w:tcPr>
            <w:tcW w:w="36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market lease intangibles</w:t>
            </w:r>
          </w:p>
        </w:tc>
        <w:tc>
          <w:tcPr>
            <w:tcW w:w="8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2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2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2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2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00" w:type="dxa"/>
            <w:vAlign w:val="bottom"/>
          </w:tcPr>
          <w:p>
            <w:pPr>
              <w:ind w:left="140"/>
              <w:spacing w:after="0"/>
              <w:rPr>
                <w:sz w:val="20"/>
                <w:szCs w:val="20"/>
                <w:color w:val="auto"/>
              </w:rPr>
            </w:pPr>
            <w:r>
              <w:rPr>
                <w:rFonts w:ascii="Arial" w:cs="Arial" w:eastAsia="Arial" w:hAnsi="Arial"/>
                <w:sz w:val="11"/>
                <w:szCs w:val="11"/>
                <w:color w:val="auto"/>
              </w:rPr>
              <w:t>Compensation expense—equity-based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146</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5"/>
        </w:trPr>
        <w:tc>
          <w:tcPr>
            <w:tcW w:w="36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Installation services</w:t>
            </w:r>
          </w:p>
        </w:tc>
        <w:tc>
          <w:tcPr>
            <w:tcW w:w="8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419</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(812)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115</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3"/>
        </w:trPr>
        <w:tc>
          <w:tcPr>
            <w:tcW w:w="360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Transaction-related and restructuring charges</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618</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759</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587</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50"/>
        </w:trPr>
        <w:tc>
          <w:tcPr>
            <w:tcW w:w="36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Digital Operating Adjusted EBITDA - DBRG OP share</w:t>
            </w:r>
          </w:p>
        </w:tc>
        <w:tc>
          <w:tcPr>
            <w:tcW w:w="80" w:type="dxa"/>
            <w:vAlign w:val="bottom"/>
          </w:tcPr>
          <w:p>
            <w:pPr>
              <w:spacing w:after="0"/>
              <w:rPr>
                <w:sz w:val="13"/>
                <w:szCs w:val="13"/>
                <w:color w:val="auto"/>
              </w:rPr>
            </w:pP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17,643</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15,497</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14,200</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13,636</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13,776</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13,948</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9,620</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6,914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8" w:lineRule="exact"/>
        <w:rPr>
          <w:sz w:val="20"/>
          <w:szCs w:val="20"/>
          <w:color w:val="auto"/>
        </w:rPr>
      </w:pPr>
    </w:p>
    <w:p>
      <w:pPr>
        <w:ind w:left="188" w:hanging="188"/>
        <w:spacing w:after="0"/>
        <w:tabs>
          <w:tab w:leader="none" w:pos="188" w:val="left"/>
        </w:tabs>
        <w:numPr>
          <w:ilvl w:val="0"/>
          <w:numId w:val="18"/>
        </w:numPr>
        <w:rPr>
          <w:rFonts w:ascii="Arial" w:cs="Arial" w:eastAsia="Arial" w:hAnsi="Arial"/>
          <w:sz w:val="8"/>
          <w:szCs w:val="8"/>
          <w:color w:val="424242"/>
        </w:rPr>
      </w:pPr>
      <w:r>
        <w:rPr>
          <w:rFonts w:ascii="Arial" w:cs="Arial" w:eastAsia="Arial" w:hAnsi="Arial"/>
          <w:sz w:val="8"/>
          <w:szCs w:val="8"/>
          <w:color w:val="424242"/>
        </w:rPr>
        <w:t>For a reconciliation of net income/(loss) to Adjusted EBITDA, please refer to the Appendices section of this presentation.</w:t>
      </w:r>
    </w:p>
    <w:p>
      <w:pPr>
        <w:spacing w:after="0" w:line="28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19</w:t>
            </w:r>
          </w:p>
        </w:tc>
      </w:tr>
    </w:tbl>
    <w:p>
      <w:pPr>
        <w:sectPr>
          <w:pgSz w:w="11900" w:h="16838" w:orient="portrait"/>
          <w:cols w:equalWidth="0" w:num="1">
            <w:col w:w="11308"/>
          </w:cols>
          <w:pgMar w:left="292" w:top="130" w:right="299" w:bottom="1440" w:gutter="0" w:footer="0" w:header="0"/>
        </w:sectPr>
      </w:pPr>
    </w:p>
    <w:bookmarkStart w:id="28" w:name="page29"/>
    <w:bookmarkEnd w:id="28"/>
    <w:p>
      <w:pPr>
        <w:spacing w:after="0"/>
        <w:rPr>
          <w:sz w:val="20"/>
          <w:szCs w:val="20"/>
          <w:color w:val="auto"/>
        </w:rPr>
      </w:pPr>
      <w:r>
        <w:rPr>
          <w:rFonts w:ascii="Arial" w:cs="Arial" w:eastAsia="Arial" w:hAnsi="Arial"/>
          <w:sz w:val="29"/>
          <w:szCs w:val="29"/>
          <w:color w:val="auto"/>
        </w:rPr>
        <w:t>VI. Digital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in thousands)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3C71"/>
        </w:rPr>
        <w:t>Capital Expenditures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2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Consolidated amount</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2Q22</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1Q22</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4Q21</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3Q21</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2Q21</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1Q21</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4Q20</w:t>
            </w: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3Q20</w:t>
            </w:r>
          </w:p>
        </w:tc>
        <w:tc>
          <w:tcPr>
            <w:tcW w:w="120" w:type="dxa"/>
            <w:vAlign w:val="bottom"/>
          </w:tcPr>
          <w:p>
            <w:pPr>
              <w:spacing w:after="0"/>
              <w:rPr>
                <w:sz w:val="11"/>
                <w:szCs w:val="11"/>
                <w:color w:val="auto"/>
              </w:rPr>
            </w:pPr>
          </w:p>
        </w:tc>
      </w:tr>
      <w:tr>
        <w:trPr>
          <w:trHeight w:val="133"/>
        </w:trPr>
        <w:tc>
          <w:tcPr>
            <w:tcW w:w="34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Non-revenue enhancing capital expenditures</w:t>
            </w:r>
          </w:p>
        </w:tc>
        <w:tc>
          <w:tcPr>
            <w:tcW w:w="80" w:type="dxa"/>
            <w:vAlign w:val="bottom"/>
          </w:tcPr>
          <w:p>
            <w:pPr>
              <w:spacing w:after="0"/>
              <w:rPr>
                <w:sz w:val="11"/>
                <w:szCs w:val="11"/>
                <w:color w:val="auto"/>
              </w:rPr>
            </w:pP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13,377</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7,418</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6,410</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7,387</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4,423</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1,220</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1,416</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1,551</w:t>
            </w:r>
          </w:p>
        </w:tc>
        <w:tc>
          <w:tcPr>
            <w:tcW w:w="120" w:type="dxa"/>
            <w:vAlign w:val="bottom"/>
          </w:tcPr>
          <w:p>
            <w:pPr>
              <w:spacing w:after="0"/>
              <w:rPr>
                <w:sz w:val="11"/>
                <w:szCs w:val="11"/>
                <w:color w:val="auto"/>
              </w:rPr>
            </w:pPr>
          </w:p>
        </w:tc>
      </w:tr>
      <w:tr>
        <w:trPr>
          <w:trHeight w:val="143"/>
        </w:trPr>
        <w:tc>
          <w:tcPr>
            <w:tcW w:w="342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Revenue enhancing capital expenditures</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101,100</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84,668</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94,018</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42,841</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40,460</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34,652</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37,534</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20,423</w:t>
            </w:r>
          </w:p>
        </w:tc>
        <w:tc>
          <w:tcPr>
            <w:tcW w:w="120" w:type="dxa"/>
            <w:vAlign w:val="bottom"/>
          </w:tcPr>
          <w:p>
            <w:pPr>
              <w:spacing w:after="0"/>
              <w:rPr>
                <w:sz w:val="12"/>
                <w:szCs w:val="12"/>
                <w:color w:val="auto"/>
              </w:rPr>
            </w:pPr>
          </w:p>
        </w:tc>
      </w:tr>
      <w:tr>
        <w:trPr>
          <w:trHeight w:val="134"/>
        </w:trPr>
        <w:tc>
          <w:tcPr>
            <w:tcW w:w="3420" w:type="dxa"/>
            <w:vAlign w:val="bottom"/>
            <w:shd w:val="clear" w:color="auto" w:fill="DBDBDB"/>
          </w:tcPr>
          <w:p>
            <w:pPr>
              <w:spacing w:after="0"/>
              <w:rPr>
                <w:sz w:val="20"/>
                <w:szCs w:val="20"/>
                <w:color w:val="auto"/>
              </w:rPr>
            </w:pPr>
            <w:r>
              <w:rPr>
                <w:rFonts w:ascii="Arial" w:cs="Arial" w:eastAsia="Arial" w:hAnsi="Arial"/>
                <w:sz w:val="11"/>
                <w:szCs w:val="11"/>
                <w:color w:val="auto"/>
              </w:rPr>
              <w:t>Total capital expenditures</w:t>
            </w:r>
          </w:p>
        </w:tc>
        <w:tc>
          <w:tcPr>
            <w:tcW w:w="80" w:type="dxa"/>
            <w:vAlign w:val="bottom"/>
          </w:tcPr>
          <w:p>
            <w:pPr>
              <w:spacing w:after="0"/>
              <w:rPr>
                <w:sz w:val="11"/>
                <w:szCs w:val="11"/>
                <w:color w:val="auto"/>
              </w:rPr>
            </w:pP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114,477</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92,086</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100,428</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50,228</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44,883</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35,872</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38,950</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21,974</w:t>
            </w:r>
          </w:p>
        </w:tc>
        <w:tc>
          <w:tcPr>
            <w:tcW w:w="120" w:type="dxa"/>
            <w:vAlign w:val="bottom"/>
          </w:tcPr>
          <w:p>
            <w:pPr>
              <w:spacing w:after="0"/>
              <w:rPr>
                <w:sz w:val="11"/>
                <w:szCs w:val="11"/>
                <w:color w:val="auto"/>
              </w:rPr>
            </w:pPr>
          </w:p>
        </w:tc>
      </w:tr>
      <w:tr>
        <w:trPr>
          <w:trHeight w:val="135"/>
        </w:trPr>
        <w:tc>
          <w:tcPr>
            <w:tcW w:w="34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420" w:type="dxa"/>
            <w:vAlign w:val="bottom"/>
            <w:shd w:val="clear" w:color="auto" w:fill="DBDBDB"/>
          </w:tcPr>
          <w:p>
            <w:pPr>
              <w:spacing w:after="0"/>
              <w:rPr>
                <w:sz w:val="20"/>
                <w:szCs w:val="20"/>
                <w:color w:val="auto"/>
              </w:rPr>
            </w:pPr>
            <w:r>
              <w:rPr>
                <w:rFonts w:ascii="Arial" w:cs="Arial" w:eastAsia="Arial" w:hAnsi="Arial"/>
                <w:sz w:val="11"/>
                <w:szCs w:val="11"/>
                <w:color w:val="auto"/>
              </w:rPr>
              <w:t>Leasing Commissions</w:t>
            </w:r>
          </w:p>
        </w:tc>
        <w:tc>
          <w:tcPr>
            <w:tcW w:w="80" w:type="dxa"/>
            <w:vAlign w:val="bottom"/>
          </w:tcPr>
          <w:p>
            <w:pPr>
              <w:spacing w:after="0"/>
              <w:rPr>
                <w:sz w:val="12"/>
                <w:szCs w:val="12"/>
                <w:color w:val="auto"/>
              </w:rPr>
            </w:pP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2,660</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1,266</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1,535</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1,233</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5,024</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775</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545</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539</w:t>
            </w:r>
          </w:p>
        </w:tc>
        <w:tc>
          <w:tcPr>
            <w:tcW w:w="120" w:type="dxa"/>
            <w:vAlign w:val="bottom"/>
          </w:tcPr>
          <w:p>
            <w:pPr>
              <w:spacing w:after="0"/>
              <w:rPr>
                <w:sz w:val="12"/>
                <w:szCs w:val="12"/>
                <w:color w:val="auto"/>
              </w:rPr>
            </w:pPr>
          </w:p>
        </w:tc>
      </w:tr>
      <w:tr>
        <w:trPr>
          <w:trHeight w:val="576"/>
        </w:trPr>
        <w:tc>
          <w:tcPr>
            <w:tcW w:w="3420" w:type="dxa"/>
            <w:vAlign w:val="bottom"/>
          </w:tcPr>
          <w:p>
            <w:pPr>
              <w:spacing w:after="0"/>
              <w:rPr>
                <w:sz w:val="20"/>
                <w:szCs w:val="20"/>
                <w:color w:val="auto"/>
              </w:rPr>
            </w:pPr>
            <w:r>
              <w:rPr>
                <w:rFonts w:ascii="Arial" w:cs="Arial" w:eastAsia="Arial" w:hAnsi="Arial"/>
                <w:sz w:val="11"/>
                <w:szCs w:val="11"/>
                <w:b w:val="1"/>
                <w:bCs w:val="1"/>
                <w:color w:val="auto"/>
              </w:rPr>
              <w:t>DBRG OP share of consolidated amount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4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Non-revenue enhancing capital expenditures</w:t>
            </w:r>
          </w:p>
        </w:tc>
        <w:tc>
          <w:tcPr>
            <w:tcW w:w="80" w:type="dxa"/>
            <w:vAlign w:val="bottom"/>
          </w:tcPr>
          <w:p>
            <w:pPr>
              <w:spacing w:after="0"/>
              <w:rPr>
                <w:sz w:val="12"/>
                <w:szCs w:val="12"/>
                <w:color w:val="auto"/>
              </w:rPr>
            </w:pP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2,571</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1,372</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1,097</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1,349</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764</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226</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233</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300</w:t>
            </w:r>
          </w:p>
        </w:tc>
        <w:tc>
          <w:tcPr>
            <w:tcW w:w="120" w:type="dxa"/>
            <w:vAlign w:val="bottom"/>
          </w:tcPr>
          <w:p>
            <w:pPr>
              <w:spacing w:after="0"/>
              <w:rPr>
                <w:sz w:val="12"/>
                <w:szCs w:val="12"/>
                <w:color w:val="auto"/>
              </w:rPr>
            </w:pPr>
          </w:p>
        </w:tc>
      </w:tr>
      <w:tr>
        <w:trPr>
          <w:trHeight w:val="143"/>
        </w:trPr>
        <w:tc>
          <w:tcPr>
            <w:tcW w:w="342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Revenue enhancing capital expenditures</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21,249</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17,578</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18,090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8,315</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7,538</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6,532</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6,770</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3,702</w:t>
            </w:r>
          </w:p>
        </w:tc>
        <w:tc>
          <w:tcPr>
            <w:tcW w:w="120" w:type="dxa"/>
            <w:vAlign w:val="bottom"/>
          </w:tcPr>
          <w:p>
            <w:pPr>
              <w:spacing w:after="0"/>
              <w:rPr>
                <w:sz w:val="12"/>
                <w:szCs w:val="12"/>
                <w:color w:val="auto"/>
              </w:rPr>
            </w:pPr>
          </w:p>
        </w:tc>
      </w:tr>
      <w:tr>
        <w:trPr>
          <w:trHeight w:val="134"/>
        </w:trPr>
        <w:tc>
          <w:tcPr>
            <w:tcW w:w="3420" w:type="dxa"/>
            <w:vAlign w:val="bottom"/>
            <w:shd w:val="clear" w:color="auto" w:fill="DBDBDB"/>
          </w:tcPr>
          <w:p>
            <w:pPr>
              <w:spacing w:after="0"/>
              <w:rPr>
                <w:sz w:val="20"/>
                <w:szCs w:val="20"/>
                <w:color w:val="auto"/>
              </w:rPr>
            </w:pPr>
            <w:r>
              <w:rPr>
                <w:rFonts w:ascii="Arial" w:cs="Arial" w:eastAsia="Arial" w:hAnsi="Arial"/>
                <w:sz w:val="11"/>
                <w:szCs w:val="11"/>
                <w:color w:val="auto"/>
              </w:rPr>
              <w:t>Total capital expenditures</w:t>
            </w:r>
          </w:p>
        </w:tc>
        <w:tc>
          <w:tcPr>
            <w:tcW w:w="80" w:type="dxa"/>
            <w:vAlign w:val="bottom"/>
          </w:tcPr>
          <w:p>
            <w:pPr>
              <w:spacing w:after="0"/>
              <w:rPr>
                <w:sz w:val="11"/>
                <w:szCs w:val="11"/>
                <w:color w:val="auto"/>
              </w:rPr>
            </w:pP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23,820</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18,950</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19,187</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9,664</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8,302</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6,758</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7,003</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4,002</w:t>
            </w:r>
          </w:p>
        </w:tc>
        <w:tc>
          <w:tcPr>
            <w:tcW w:w="120" w:type="dxa"/>
            <w:vAlign w:val="bottom"/>
          </w:tcPr>
          <w:p>
            <w:pPr>
              <w:spacing w:after="0"/>
              <w:rPr>
                <w:sz w:val="11"/>
                <w:szCs w:val="11"/>
                <w:color w:val="auto"/>
              </w:rPr>
            </w:pPr>
          </w:p>
        </w:tc>
      </w:tr>
      <w:tr>
        <w:trPr>
          <w:trHeight w:val="171"/>
        </w:trPr>
        <w:tc>
          <w:tcPr>
            <w:tcW w:w="342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3420" w:type="dxa"/>
            <w:vAlign w:val="bottom"/>
            <w:shd w:val="clear" w:color="auto" w:fill="DBDBDB"/>
          </w:tcPr>
          <w:p>
            <w:pPr>
              <w:spacing w:after="0"/>
              <w:rPr>
                <w:sz w:val="20"/>
                <w:szCs w:val="20"/>
                <w:color w:val="auto"/>
              </w:rPr>
            </w:pPr>
            <w:r>
              <w:rPr>
                <w:rFonts w:ascii="Arial" w:cs="Arial" w:eastAsia="Arial" w:hAnsi="Arial"/>
                <w:sz w:val="11"/>
                <w:szCs w:val="11"/>
                <w:color w:val="auto"/>
              </w:rPr>
              <w:t>Leasing Commissions</w:t>
            </w:r>
          </w:p>
        </w:tc>
        <w:tc>
          <w:tcPr>
            <w:tcW w:w="80" w:type="dxa"/>
            <w:vAlign w:val="bottom"/>
          </w:tcPr>
          <w:p>
            <w:pPr>
              <w:spacing w:after="0"/>
              <w:rPr>
                <w:sz w:val="12"/>
                <w:szCs w:val="12"/>
                <w:color w:val="auto"/>
              </w:rPr>
            </w:pP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489</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308</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307</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213</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756</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155</w:t>
            </w:r>
          </w:p>
        </w:tc>
        <w:tc>
          <w:tcPr>
            <w:tcW w:w="2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12"/>
                <w:szCs w:val="12"/>
                <w:color w:val="auto"/>
              </w:rPr>
            </w:pPr>
          </w:p>
        </w:tc>
      </w:tr>
      <w:tr>
        <w:trPr>
          <w:trHeight w:val="531"/>
        </w:trPr>
        <w:tc>
          <w:tcPr>
            <w:tcW w:w="3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24"/>
        </w:trPr>
        <w:tc>
          <w:tcPr>
            <w:tcW w:w="342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ind w:right="247"/>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0"/>
                <w:szCs w:val="10"/>
                <w:color w:val="auto"/>
              </w:rPr>
            </w:pPr>
          </w:p>
        </w:tc>
      </w:tr>
    </w:tbl>
    <w:p>
      <w:pPr>
        <w:sectPr>
          <w:pgSz w:w="11900" w:h="16838" w:orient="portrait"/>
          <w:cols w:equalWidth="0" w:num="1">
            <w:col w:w="11300"/>
          </w:cols>
          <w:pgMar w:left="300" w:top="130" w:right="299" w:bottom="1440" w:gutter="0" w:footer="0" w:header="0"/>
        </w:sectPr>
      </w:pPr>
    </w:p>
    <w:bookmarkStart w:id="29" w:name="page30"/>
    <w:bookmarkEnd w:id="29"/>
    <w:p>
      <w:pPr>
        <w:ind w:left="8"/>
        <w:spacing w:after="0"/>
        <w:rPr>
          <w:sz w:val="20"/>
          <w:szCs w:val="20"/>
          <w:color w:val="auto"/>
        </w:rPr>
      </w:pPr>
      <w:r>
        <w:rPr>
          <w:rFonts w:ascii="Arial" w:cs="Arial" w:eastAsia="Arial" w:hAnsi="Arial"/>
          <w:sz w:val="29"/>
          <w:szCs w:val="29"/>
          <w:color w:val="auto"/>
        </w:rPr>
        <w:t>VII.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3560" w:type="dxa"/>
            <w:vAlign w:val="bottom"/>
          </w:tcPr>
          <w:p>
            <w:pPr>
              <w:spacing w:after="0"/>
              <w:rPr>
                <w:sz w:val="20"/>
                <w:szCs w:val="20"/>
                <w:color w:val="auto"/>
              </w:rPr>
            </w:pPr>
            <w:r>
              <w:rPr>
                <w:rFonts w:ascii="Arial" w:cs="Arial" w:eastAsia="Arial" w:hAnsi="Arial"/>
                <w:sz w:val="10"/>
                <w:szCs w:val="10"/>
                <w:i w:val="1"/>
                <w:iCs w:val="1"/>
                <w:color w:val="auto"/>
              </w:rPr>
              <w:t>($ in thousands)</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Consolidated amount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2Q22</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1Q22</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4Q21</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3Q21</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2Q21</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1Q21</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4Q20</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7"/>
              <w:spacing w:after="0"/>
              <w:rPr>
                <w:sz w:val="20"/>
                <w:szCs w:val="20"/>
                <w:color w:val="auto"/>
              </w:rPr>
            </w:pPr>
            <w:r>
              <w:rPr>
                <w:rFonts w:ascii="Arial" w:cs="Arial" w:eastAsia="Arial" w:hAnsi="Arial"/>
                <w:sz w:val="10"/>
                <w:szCs w:val="10"/>
                <w:b w:val="1"/>
                <w:bCs w:val="1"/>
                <w:color w:val="auto"/>
              </w:rPr>
              <w:t>3Q20</w:t>
            </w:r>
          </w:p>
        </w:tc>
        <w:tc>
          <w:tcPr>
            <w:tcW w:w="0" w:type="dxa"/>
            <w:vAlign w:val="bottom"/>
          </w:tcPr>
          <w:p>
            <w:pPr>
              <w:spacing w:after="0"/>
              <w:rPr>
                <w:sz w:val="1"/>
                <w:szCs w:val="1"/>
                <w:color w:val="auto"/>
              </w:rPr>
            </w:pPr>
          </w:p>
        </w:tc>
      </w:tr>
      <w:tr>
        <w:trPr>
          <w:trHeight w:val="133"/>
        </w:trPr>
        <w:tc>
          <w:tcPr>
            <w:tcW w:w="356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DBRG's GP Co-investment in DBP I and II Investments</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284,282</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248,663</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242,856</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230,972</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225,411</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173,831</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171,204</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184,829</w:t>
            </w:r>
          </w:p>
        </w:tc>
        <w:tc>
          <w:tcPr>
            <w:tcW w:w="0" w:type="dxa"/>
            <w:vAlign w:val="bottom"/>
          </w:tcPr>
          <w:p>
            <w:pPr>
              <w:spacing w:after="0"/>
              <w:rPr>
                <w:sz w:val="1"/>
                <w:szCs w:val="1"/>
                <w:color w:val="auto"/>
              </w:rPr>
            </w:pPr>
          </w:p>
        </w:tc>
      </w:tr>
      <w:tr>
        <w:trPr>
          <w:trHeight w:val="108"/>
        </w:trPr>
        <w:tc>
          <w:tcPr>
            <w:tcW w:w="3560" w:type="dxa"/>
            <w:vAlign w:val="bottom"/>
          </w:tcPr>
          <w:p>
            <w:pPr>
              <w:ind w:left="220"/>
              <w:spacing w:after="0" w:line="109" w:lineRule="exact"/>
              <w:rPr>
                <w:sz w:val="20"/>
                <w:szCs w:val="20"/>
                <w:color w:val="auto"/>
              </w:rPr>
            </w:pPr>
            <w:r>
              <w:rPr>
                <w:rFonts w:ascii="Arial" w:cs="Arial" w:eastAsia="Arial" w:hAnsi="Arial"/>
                <w:sz w:val="11"/>
                <w:szCs w:val="11"/>
                <w:color w:val="auto"/>
              </w:rPr>
              <w:t>Equity interests in digital investment vehicles, warehouse / seed</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906,076</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423,467</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290,113</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272,134</w:t>
            </w:r>
          </w:p>
        </w:tc>
        <w:tc>
          <w:tcPr>
            <w:tcW w:w="240" w:type="dxa"/>
            <w:vAlign w:val="bottom"/>
            <w:vMerge w:val="restart"/>
          </w:tcPr>
          <w:p>
            <w:pPr>
              <w:jc w:val="right"/>
              <w:ind w:right="106"/>
              <w:spacing w:after="0"/>
              <w:rPr>
                <w:sz w:val="20"/>
                <w:szCs w:val="20"/>
                <w:color w:val="auto"/>
              </w:rPr>
            </w:pPr>
            <w:r>
              <w:rPr>
                <w:rFonts w:ascii="Arial" w:cs="Arial" w:eastAsia="Arial" w:hAnsi="Arial"/>
                <w:sz w:val="11"/>
                <w:szCs w:val="11"/>
                <w:color w:val="auto"/>
                <w:w w:val="97"/>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198,934</w:t>
            </w:r>
          </w:p>
        </w:tc>
        <w:tc>
          <w:tcPr>
            <w:tcW w:w="2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179,945</w:t>
            </w:r>
          </w:p>
        </w:tc>
        <w:tc>
          <w:tcPr>
            <w:tcW w:w="2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181,990</w:t>
            </w:r>
          </w:p>
        </w:tc>
        <w:tc>
          <w:tcPr>
            <w:tcW w:w="240" w:type="dxa"/>
            <w:vAlign w:val="bottom"/>
            <w:vMerge w:val="restart"/>
          </w:tcPr>
          <w:p>
            <w:pPr>
              <w:jc w:val="right"/>
              <w:ind w:right="106"/>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71,622</w:t>
            </w:r>
          </w:p>
        </w:tc>
        <w:tc>
          <w:tcPr>
            <w:tcW w:w="0" w:type="dxa"/>
            <w:vAlign w:val="bottom"/>
          </w:tcPr>
          <w:p>
            <w:pPr>
              <w:spacing w:after="0"/>
              <w:rPr>
                <w:sz w:val="1"/>
                <w:szCs w:val="1"/>
                <w:color w:val="auto"/>
              </w:rPr>
            </w:pPr>
          </w:p>
        </w:tc>
      </w:tr>
      <w:tr>
        <w:trPr>
          <w:trHeight w:val="144"/>
        </w:trPr>
        <w:tc>
          <w:tcPr>
            <w:tcW w:w="3560" w:type="dxa"/>
            <w:vAlign w:val="bottom"/>
            <w:tcBorders>
              <w:bottom w:val="single" w:sz="8" w:color="DBDBDB"/>
            </w:tcBorders>
          </w:tcPr>
          <w:p>
            <w:pPr>
              <w:ind w:left="220"/>
              <w:spacing w:after="0" w:line="144" w:lineRule="exact"/>
              <w:rPr>
                <w:sz w:val="20"/>
                <w:szCs w:val="20"/>
                <w:color w:val="auto"/>
              </w:rPr>
            </w:pPr>
            <w:r>
              <w:rPr>
                <w:rFonts w:ascii="Arial" w:cs="Arial" w:eastAsia="Arial" w:hAnsi="Arial"/>
                <w:sz w:val="11"/>
                <w:szCs w:val="11"/>
                <w:color w:val="auto"/>
              </w:rPr>
              <w:t xml:space="preserve">investments and CLOs </w:t>
            </w:r>
            <w:r>
              <w:rPr>
                <w:rFonts w:ascii="Arial" w:cs="Arial" w:eastAsia="Arial" w:hAnsi="Arial"/>
                <w:sz w:val="14"/>
                <w:szCs w:val="14"/>
                <w:color w:val="auto"/>
                <w:vertAlign w:val="superscript"/>
              </w:rPr>
              <w:t>(1)</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Other - digital assets net carrying value</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1,190,358</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672,130</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532,969</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503,106</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424,345</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353,776</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353,194</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60" w:type="dxa"/>
            <w:vAlign w:val="bottom"/>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256,451</w:t>
            </w:r>
          </w:p>
        </w:tc>
        <w:tc>
          <w:tcPr>
            <w:tcW w:w="0" w:type="dxa"/>
            <w:vAlign w:val="bottom"/>
          </w:tcPr>
          <w:p>
            <w:pPr>
              <w:spacing w:after="0"/>
              <w:rPr>
                <w:sz w:val="1"/>
                <w:szCs w:val="1"/>
                <w:color w:val="auto"/>
              </w:rPr>
            </w:pPr>
          </w:p>
        </w:tc>
      </w:tr>
      <w:tr>
        <w:trPr>
          <w:trHeight w:val="495"/>
        </w:trPr>
        <w:tc>
          <w:tcPr>
            <w:tcW w:w="3560" w:type="dxa"/>
            <w:vAlign w:val="bottom"/>
          </w:tcPr>
          <w:p>
            <w:pPr>
              <w:spacing w:after="0"/>
              <w:rPr>
                <w:sz w:val="20"/>
                <w:szCs w:val="20"/>
                <w:color w:val="auto"/>
              </w:rPr>
            </w:pPr>
            <w:r>
              <w:rPr>
                <w:rFonts w:ascii="Arial" w:cs="Arial" w:eastAsia="Arial" w:hAnsi="Arial"/>
                <w:sz w:val="11"/>
                <w:szCs w:val="11"/>
                <w:b w:val="1"/>
                <w:bCs w:val="1"/>
                <w:color w:val="auto"/>
              </w:rPr>
              <w:t>DBRG OP share of consolidated amount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56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DBRG's GP Co-investment in DBP I and II Investments</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217,504</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187,247</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183,612</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173,732</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171,012</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160,342</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157,610</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176,329</w:t>
            </w:r>
          </w:p>
        </w:tc>
        <w:tc>
          <w:tcPr>
            <w:tcW w:w="0" w:type="dxa"/>
            <w:vAlign w:val="bottom"/>
          </w:tcPr>
          <w:p>
            <w:pPr>
              <w:spacing w:after="0"/>
              <w:rPr>
                <w:sz w:val="1"/>
                <w:szCs w:val="1"/>
                <w:color w:val="auto"/>
              </w:rPr>
            </w:pPr>
          </w:p>
        </w:tc>
      </w:tr>
      <w:tr>
        <w:trPr>
          <w:trHeight w:val="108"/>
        </w:trPr>
        <w:tc>
          <w:tcPr>
            <w:tcW w:w="3560" w:type="dxa"/>
            <w:vAlign w:val="bottom"/>
          </w:tcPr>
          <w:p>
            <w:pPr>
              <w:ind w:left="220"/>
              <w:spacing w:after="0" w:line="109" w:lineRule="exact"/>
              <w:rPr>
                <w:sz w:val="20"/>
                <w:szCs w:val="20"/>
                <w:color w:val="auto"/>
              </w:rPr>
            </w:pPr>
            <w:r>
              <w:rPr>
                <w:rFonts w:ascii="Arial" w:cs="Arial" w:eastAsia="Arial" w:hAnsi="Arial"/>
                <w:sz w:val="11"/>
                <w:szCs w:val="11"/>
                <w:color w:val="auto"/>
              </w:rPr>
              <w:t>Equity interests in digital investment vehicles, warehouse / seed</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591,066</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308,578</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174,566</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165,902</w:t>
            </w:r>
          </w:p>
        </w:tc>
        <w:tc>
          <w:tcPr>
            <w:tcW w:w="240" w:type="dxa"/>
            <w:vAlign w:val="bottom"/>
            <w:vMerge w:val="restart"/>
          </w:tcPr>
          <w:p>
            <w:pPr>
              <w:jc w:val="right"/>
              <w:ind w:right="106"/>
              <w:spacing w:after="0"/>
              <w:rPr>
                <w:sz w:val="20"/>
                <w:szCs w:val="20"/>
                <w:color w:val="auto"/>
              </w:rPr>
            </w:pPr>
            <w:r>
              <w:rPr>
                <w:rFonts w:ascii="Arial" w:cs="Arial" w:eastAsia="Arial" w:hAnsi="Arial"/>
                <w:sz w:val="11"/>
                <w:szCs w:val="11"/>
                <w:color w:val="auto"/>
                <w:w w:val="97"/>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98,476</w:t>
            </w:r>
          </w:p>
        </w:tc>
        <w:tc>
          <w:tcPr>
            <w:tcW w:w="2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83,384</w:t>
            </w:r>
          </w:p>
        </w:tc>
        <w:tc>
          <w:tcPr>
            <w:tcW w:w="2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97,108</w:t>
            </w:r>
          </w:p>
        </w:tc>
        <w:tc>
          <w:tcPr>
            <w:tcW w:w="240" w:type="dxa"/>
            <w:vAlign w:val="bottom"/>
            <w:vMerge w:val="restart"/>
          </w:tcPr>
          <w:p>
            <w:pPr>
              <w:jc w:val="right"/>
              <w:ind w:right="106"/>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34,067</w:t>
            </w:r>
          </w:p>
        </w:tc>
        <w:tc>
          <w:tcPr>
            <w:tcW w:w="0" w:type="dxa"/>
            <w:vAlign w:val="bottom"/>
          </w:tcPr>
          <w:p>
            <w:pPr>
              <w:spacing w:after="0"/>
              <w:rPr>
                <w:sz w:val="1"/>
                <w:szCs w:val="1"/>
                <w:color w:val="auto"/>
              </w:rPr>
            </w:pPr>
          </w:p>
        </w:tc>
      </w:tr>
      <w:tr>
        <w:trPr>
          <w:trHeight w:val="144"/>
        </w:trPr>
        <w:tc>
          <w:tcPr>
            <w:tcW w:w="3560" w:type="dxa"/>
            <w:vAlign w:val="bottom"/>
            <w:tcBorders>
              <w:bottom w:val="single" w:sz="8" w:color="DBDBDB"/>
            </w:tcBorders>
          </w:tcPr>
          <w:p>
            <w:pPr>
              <w:ind w:left="220"/>
              <w:spacing w:after="0" w:line="144" w:lineRule="exact"/>
              <w:rPr>
                <w:sz w:val="20"/>
                <w:szCs w:val="20"/>
                <w:color w:val="auto"/>
              </w:rPr>
            </w:pPr>
            <w:r>
              <w:rPr>
                <w:rFonts w:ascii="Arial" w:cs="Arial" w:eastAsia="Arial" w:hAnsi="Arial"/>
                <w:sz w:val="11"/>
                <w:szCs w:val="11"/>
                <w:color w:val="auto"/>
              </w:rPr>
              <w:t xml:space="preserve">investments and CLOs </w:t>
            </w:r>
            <w:r>
              <w:rPr>
                <w:rFonts w:ascii="Arial" w:cs="Arial" w:eastAsia="Arial" w:hAnsi="Arial"/>
                <w:sz w:val="14"/>
                <w:szCs w:val="14"/>
                <w:color w:val="auto"/>
                <w:vertAlign w:val="superscript"/>
              </w:rPr>
              <w:t>(1)</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Other - digital assets net carrying value</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808,570</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495,825</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358,178</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339,634</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269,488</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243,726</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254,718</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60" w:type="dxa"/>
            <w:vAlign w:val="bottom"/>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210,396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52" w:lineRule="exact"/>
        <w:rPr>
          <w:sz w:val="20"/>
          <w:szCs w:val="20"/>
          <w:color w:val="auto"/>
        </w:rPr>
      </w:pPr>
    </w:p>
    <w:p>
      <w:pPr>
        <w:ind w:left="208" w:right="100" w:hanging="208"/>
        <w:spacing w:after="0" w:line="281" w:lineRule="auto"/>
        <w:tabs>
          <w:tab w:leader="none" w:pos="188" w:val="left"/>
        </w:tabs>
        <w:numPr>
          <w:ilvl w:val="0"/>
          <w:numId w:val="19"/>
        </w:numPr>
        <w:rPr>
          <w:rFonts w:ascii="Arial" w:cs="Arial" w:eastAsia="Arial" w:hAnsi="Arial"/>
          <w:sz w:val="8"/>
          <w:szCs w:val="8"/>
          <w:color w:val="424242"/>
        </w:rPr>
      </w:pPr>
      <w:r>
        <w:rPr>
          <w:rFonts w:ascii="Arial" w:cs="Arial" w:eastAsia="Arial" w:hAnsi="Arial"/>
          <w:sz w:val="8"/>
          <w:szCs w:val="8"/>
          <w:color w:val="424242"/>
        </w:rPr>
        <w:t>Includes loans that are warehoused for a future securitization vehicle. In June 2022, DigitalBridge acquired the mobile telecommunications tower business of Telenet Group Holding NV, funded with debt financing and equity, including an equity commitment from the DigitalBridge balance sheet. The Company consolidates this investment within its financial statements. DigitalBridge intends to subsequently transfer its ownership to a fund affiliated with its investment management platform.</w:t>
      </w: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21</w:t>
            </w:r>
          </w:p>
        </w:tc>
      </w:tr>
    </w:tbl>
    <w:p>
      <w:pPr>
        <w:sectPr>
          <w:pgSz w:w="11900" w:h="16838" w:orient="portrait"/>
          <w:cols w:equalWidth="0" w:num="1">
            <w:col w:w="11308"/>
          </w:cols>
          <w:pgMar w:left="292" w:top="130" w:right="299" w:bottom="1440" w:gutter="0" w:footer="0" w:header="0"/>
        </w:sectPr>
      </w:pPr>
    </w:p>
    <w:bookmarkStart w:id="30" w:name="page31"/>
    <w:bookmarkEnd w:id="30"/>
    <w:p>
      <w:pPr>
        <w:spacing w:after="0"/>
        <w:rPr>
          <w:sz w:val="20"/>
          <w:szCs w:val="20"/>
          <w:color w:val="auto"/>
        </w:rPr>
      </w:pPr>
      <w:r>
        <w:rPr>
          <w:rFonts w:ascii="Arial" w:cs="Arial" w:eastAsia="Arial" w:hAnsi="Arial"/>
          <w:sz w:val="28"/>
          <w:szCs w:val="28"/>
          <w:color w:val="auto"/>
        </w:rPr>
        <w:t>VIII. Cash G&amp;A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in thousands)</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Digital Investment Management Cash 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60295" cy="91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1"/>
          <w:szCs w:val="11"/>
          <w:color w:val="auto"/>
        </w:rPr>
        <w:t>Cash and equity-based compensation</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1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1"/>
          <w:szCs w:val="11"/>
          <w:color w:val="auto"/>
        </w:rPr>
        <w:t>Compensation expense—equity-based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Administrative expenses—straight-line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14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1"/>
          <w:szCs w:val="11"/>
          <w:color w:val="auto"/>
        </w:rPr>
        <w:t>Administrative expenses—placement agent fee</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Transaction-related and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7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60295" cy="9715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Digital Investment Management Cash G&amp;A</w:t>
      </w: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Corporate &amp; Other Cash 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60295" cy="914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1"/>
          <w:szCs w:val="11"/>
          <w:color w:val="auto"/>
        </w:rPr>
        <w:t>Cash and equity-based compensation</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14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1"/>
          <w:szCs w:val="11"/>
          <w:color w:val="auto"/>
        </w:rPr>
        <w:t>Compensation expense—equity-based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Administrative expenses—straight-line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1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0"/>
          <w:szCs w:val="10"/>
          <w:color w:val="auto"/>
        </w:rPr>
        <w:t>Administrative expenses—noncontrolling interests</w:t>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Transaction-related and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7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60295" cy="9715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Corporate &amp; Other Cash 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2360295" cy="1085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60295" cy="10858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DBRG Cash G&amp;A excluding Portfolio Company G&amp;A</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Corporate &amp; Other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60295" cy="91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EBITDA, excluding Cash G&amp;A</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Cash 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71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60295" cy="971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Corporate &amp; Other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2Q22</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1Q22</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4Q21</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3Q21</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2Q21</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1Q21</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4Q20</w:t>
            </w: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3Q20</w:t>
            </w:r>
          </w:p>
        </w:tc>
      </w:tr>
      <w:tr>
        <w:trPr>
          <w:trHeight w:val="133"/>
        </w:trPr>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4"/>
        </w:trPr>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23,230</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24,808</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20,802</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21,606</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16,262</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12,385</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19,007</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9,603</w:t>
            </w:r>
          </w:p>
        </w:tc>
      </w:tr>
      <w:tr>
        <w:trPr>
          <w:trHeight w:val="143"/>
        </w:trPr>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4,869</w:t>
            </w: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4,171</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4,387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5,820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9,345</w:t>
            </w:r>
          </w:p>
        </w:tc>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2,131</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3,511</w:t>
            </w:r>
          </w:p>
        </w:tc>
        <w:tc>
          <w:tcPr>
            <w:tcW w:w="2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1,847</w:t>
            </w:r>
          </w:p>
        </w:tc>
      </w:tr>
      <w:tr>
        <w:trPr>
          <w:trHeight w:val="145"/>
        </w:trPr>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(3,361)</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(3,190)</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(2,011)</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(2,046)</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(1,785)</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(1,533)</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(649)</w:t>
            </w: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(189)</w:t>
            </w:r>
          </w:p>
        </w:tc>
      </w:tr>
      <w:tr>
        <w:trPr>
          <w:trHeight w:val="143"/>
        </w:trPr>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(76)</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45"/>
        </w:trPr>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(880)</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(3,069)</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(6,959)</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(1,202)</w:t>
            </w: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r>
      <w:tr>
        <w:trPr>
          <w:trHeight w:val="143"/>
        </w:trPr>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(2,143)</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(3,943)</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(2,502)</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(2,629)</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4"/>
        </w:trPr>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22,519</w:t>
            </w:r>
          </w:p>
        </w:tc>
        <w:tc>
          <w:tcPr>
            <w:tcW w:w="200" w:type="dxa"/>
            <w:vAlign w:val="bottom"/>
            <w:shd w:val="clear" w:color="auto" w:fill="DBDBDB"/>
          </w:tcPr>
          <w:p>
            <w:pPr>
              <w:spacing w:after="0"/>
              <w:rPr>
                <w:sz w:val="11"/>
                <w:szCs w:val="11"/>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21,687</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19,721</w:t>
            </w:r>
          </w:p>
        </w:tc>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19,608</w:t>
            </w:r>
          </w:p>
        </w:tc>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16,763</w:t>
            </w:r>
          </w:p>
        </w:tc>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12,919</w:t>
            </w:r>
          </w:p>
        </w:tc>
        <w:tc>
          <w:tcPr>
            <w:tcW w:w="200" w:type="dxa"/>
            <w:vAlign w:val="bottom"/>
            <w:shd w:val="clear" w:color="auto" w:fill="DBDBDB"/>
          </w:tcPr>
          <w:p>
            <w:pPr>
              <w:spacing w:after="0"/>
              <w:rPr>
                <w:sz w:val="11"/>
                <w:szCs w:val="1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20,663</w:t>
            </w:r>
          </w:p>
        </w:tc>
        <w:tc>
          <w:tcPr>
            <w:tcW w:w="220" w:type="dxa"/>
            <w:vAlign w:val="bottom"/>
            <w:shd w:val="clear" w:color="auto" w:fill="DBDBDB"/>
          </w:tcPr>
          <w:p>
            <w:pPr>
              <w:spacing w:after="0"/>
              <w:rPr>
                <w:sz w:val="11"/>
                <w:szCs w:val="11"/>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11,246</w:t>
            </w:r>
          </w:p>
        </w:tc>
      </w:tr>
      <w:tr>
        <w:trPr>
          <w:trHeight w:val="396"/>
        </w:trPr>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4"/>
        </w:trPr>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9,333</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20,778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12,084</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15,200</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13,061</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48,372</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26,738</w:t>
            </w: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18,099</w:t>
            </w:r>
          </w:p>
        </w:tc>
      </w:tr>
      <w:tr>
        <w:trPr>
          <w:trHeight w:val="143"/>
        </w:trPr>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12,574</w:t>
            </w: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16,815</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21,171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12,474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9,548</w:t>
            </w:r>
          </w:p>
        </w:tc>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7,747</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12,468</w:t>
            </w:r>
          </w:p>
        </w:tc>
        <w:tc>
          <w:tcPr>
            <w:tcW w:w="2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11,539</w:t>
            </w:r>
          </w:p>
        </w:tc>
      </w:tr>
      <w:tr>
        <w:trPr>
          <w:trHeight w:val="145"/>
        </w:trPr>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(4,840)</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(5,878)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(3,837)</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(4,651)</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(5,721)</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(14,065)</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(5,058)</w:t>
            </w: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(4,659)</w:t>
            </w:r>
          </w:p>
        </w:tc>
      </w:tr>
      <w:tr>
        <w:trPr>
          <w:trHeight w:val="143"/>
        </w:trPr>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741</w:t>
            </w: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856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1,195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602</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375</w:t>
            </w:r>
          </w:p>
        </w:tc>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591</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353</w:t>
            </w:r>
          </w:p>
        </w:tc>
        <w:tc>
          <w:tcPr>
            <w:tcW w:w="2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224</w:t>
            </w:r>
          </w:p>
        </w:tc>
      </w:tr>
      <w:tr>
        <w:trPr>
          <w:trHeight w:val="145"/>
        </w:trPr>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(327)</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(377)</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(332)</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(255)</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(248)</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w:t>
            </w: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(96)</w:t>
            </w:r>
          </w:p>
        </w:tc>
      </w:tr>
      <w:tr>
        <w:trPr>
          <w:trHeight w:val="143"/>
        </w:trPr>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(2,828)</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(14,352)</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(14,229)</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(5,027)</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(1,399)</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(29,626)</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(18,971)</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(4,565)</w:t>
            </w:r>
          </w:p>
        </w:tc>
      </w:tr>
      <w:tr>
        <w:trPr>
          <w:trHeight w:val="134"/>
        </w:trPr>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14,653</w:t>
            </w:r>
          </w:p>
        </w:tc>
        <w:tc>
          <w:tcPr>
            <w:tcW w:w="200" w:type="dxa"/>
            <w:vAlign w:val="bottom"/>
            <w:shd w:val="clear" w:color="auto" w:fill="DBDBDB"/>
          </w:tcPr>
          <w:p>
            <w:pPr>
              <w:spacing w:after="0"/>
              <w:rPr>
                <w:sz w:val="11"/>
                <w:szCs w:val="11"/>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17,917</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16,007</w:t>
            </w:r>
          </w:p>
        </w:tc>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18,266</w:t>
            </w:r>
          </w:p>
        </w:tc>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15,609</w:t>
            </w:r>
          </w:p>
        </w:tc>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12,771</w:t>
            </w:r>
          </w:p>
        </w:tc>
        <w:tc>
          <w:tcPr>
            <w:tcW w:w="200" w:type="dxa"/>
            <w:vAlign w:val="bottom"/>
            <w:shd w:val="clear" w:color="auto" w:fill="DBDBDB"/>
          </w:tcPr>
          <w:p>
            <w:pPr>
              <w:spacing w:after="0"/>
              <w:rPr>
                <w:sz w:val="11"/>
                <w:szCs w:val="1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15,296</w:t>
            </w:r>
          </w:p>
        </w:tc>
        <w:tc>
          <w:tcPr>
            <w:tcW w:w="220" w:type="dxa"/>
            <w:vAlign w:val="bottom"/>
            <w:shd w:val="clear" w:color="auto" w:fill="DBDBDB"/>
          </w:tcPr>
          <w:p>
            <w:pPr>
              <w:spacing w:after="0"/>
              <w:rPr>
                <w:sz w:val="11"/>
                <w:szCs w:val="11"/>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20,542</w:t>
            </w:r>
          </w:p>
        </w:tc>
      </w:tr>
      <w:tr>
        <w:trPr>
          <w:trHeight w:val="180"/>
        </w:trPr>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9"/>
        </w:trPr>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37,172</w:t>
            </w: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39,604</w:t>
            </w: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35,728</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37,874</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32,372</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25,690</w:t>
            </w: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35,959</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31,788</w:t>
            </w:r>
          </w:p>
        </w:tc>
      </w:tr>
      <w:tr>
        <w:trPr>
          <w:trHeight w:val="630"/>
        </w:trPr>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4"/>
        </w:trPr>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9,414</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8,162</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1,273</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1,515</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(239)</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(284)</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1,181</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1,803</w:t>
            </w:r>
          </w:p>
        </w:tc>
      </w:tr>
      <w:tr>
        <w:trPr>
          <w:trHeight w:val="143"/>
        </w:trPr>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(14,653)</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(17,917)</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(16,007)</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(18,266)</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(15,609)</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(12,771)</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(15,296)</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(20,542)</w:t>
            </w:r>
          </w:p>
        </w:tc>
      </w:tr>
      <w:tr>
        <w:trPr>
          <w:trHeight w:val="134"/>
        </w:trPr>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(5,239)</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(9,755)</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(14,734)</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(16,751)</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(15,848)</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(13,055)</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(14,115)</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(18,739)</w:t>
            </w:r>
          </w:p>
        </w:tc>
      </w:tr>
    </w:tbl>
    <w:p>
      <w:pPr>
        <w:spacing w:after="0" w:line="200" w:lineRule="exact"/>
        <w:rPr>
          <w:sz w:val="20"/>
          <w:szCs w:val="20"/>
          <w:color w:val="auto"/>
        </w:rPr>
      </w:pPr>
    </w:p>
    <w:p>
      <w:pPr>
        <w:sectPr>
          <w:pgSz w:w="11900" w:h="16838" w:orient="portrait"/>
          <w:cols w:equalWidth="0" w:num="2">
            <w:col w:w="3060" w:space="720"/>
            <w:col w:w="7520"/>
          </w:cols>
          <w:pgMar w:left="300" w:top="130" w:right="299" w:bottom="1440" w:gutter="0" w:footer="0" w:header="0"/>
          <w:type w:val="continuous"/>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22</w:t>
            </w:r>
          </w:p>
        </w:tc>
      </w:tr>
    </w:tbl>
    <w:p>
      <w:pPr>
        <w:sectPr>
          <w:pgSz w:w="11900" w:h="16838" w:orient="portrait"/>
          <w:cols w:equalWidth="0" w:num="1">
            <w:col w:w="11300"/>
          </w:cols>
          <w:pgMar w:left="300" w:top="130" w:right="299" w:bottom="1440" w:gutter="0" w:footer="0" w:header="0"/>
          <w:type w:val="continuous"/>
        </w:sectPr>
      </w:pPr>
    </w:p>
    <w:bookmarkStart w:id="31" w:name="page32"/>
    <w:bookmarkEnd w:id="31"/>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34"/>
          <w:szCs w:val="34"/>
          <w:color w:val="3E5A99"/>
        </w:rPr>
        <w:t>Appendices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23</w:t>
            </w:r>
          </w:p>
        </w:tc>
      </w:tr>
    </w:tbl>
    <w:p>
      <w:pPr>
        <w:sectPr>
          <w:pgSz w:w="11900" w:h="16838" w:orient="portrait"/>
          <w:cols w:equalWidth="0" w:num="1">
            <w:col w:w="11300"/>
          </w:cols>
          <w:pgMar w:left="300" w:top="1440" w:right="299" w:bottom="1440" w:gutter="0" w:footer="0" w:header="0"/>
        </w:sectPr>
      </w:pPr>
    </w:p>
    <w:bookmarkStart w:id="32" w:name="page33"/>
    <w:bookmarkEnd w:id="32"/>
    <w:p>
      <w:pPr>
        <w:ind w:right="120"/>
        <w:spacing w:after="0" w:line="241" w:lineRule="auto"/>
        <w:rPr>
          <w:sz w:val="20"/>
          <w:szCs w:val="20"/>
          <w:color w:val="auto"/>
        </w:rPr>
      </w:pPr>
      <w:r>
        <w:rPr>
          <w:rFonts w:ascii="Arial" w:cs="Arial" w:eastAsia="Arial" w:hAnsi="Arial"/>
          <w:sz w:val="29"/>
          <w:szCs w:val="29"/>
          <w:color w:val="auto"/>
        </w:rPr>
        <w:t>Reconciliations of Digital IM FRE and Digital Operating Adjusted EBITDA to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78040"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60" w:type="dxa"/>
            <w:vAlign w:val="bottom"/>
            <w:tcBorders>
              <w:bottom w:val="single" w:sz="8" w:color="DBDBDB"/>
            </w:tcBorders>
          </w:tcPr>
          <w:p>
            <w:pPr>
              <w:spacing w:after="0"/>
              <w:rPr>
                <w:sz w:val="20"/>
                <w:szCs w:val="20"/>
                <w:color w:val="auto"/>
              </w:rPr>
            </w:pPr>
            <w:r>
              <w:rPr>
                <w:rFonts w:ascii="Arial" w:cs="Arial" w:eastAsia="Arial" w:hAnsi="Arial"/>
                <w:sz w:val="10"/>
                <w:szCs w:val="10"/>
                <w:i w:val="1"/>
                <w:iCs w:val="1"/>
                <w:color w:val="auto"/>
              </w:rPr>
              <w:t>($ in thousands)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2Q22</w:t>
            </w: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1Q22</w:t>
            </w: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4Q21</w:t>
            </w: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3Q21</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2Q21</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1Q21</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4Q20</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46"/>
              <w:spacing w:after="0"/>
              <w:rPr>
                <w:sz w:val="20"/>
                <w:szCs w:val="20"/>
                <w:color w:val="auto"/>
              </w:rPr>
            </w:pPr>
            <w:r>
              <w:rPr>
                <w:rFonts w:ascii="Arial" w:cs="Arial" w:eastAsia="Arial" w:hAnsi="Arial"/>
                <w:sz w:val="10"/>
                <w:szCs w:val="10"/>
                <w:b w:val="1"/>
                <w:bCs w:val="1"/>
                <w:color w:val="auto"/>
                <w:w w:val="97"/>
              </w:rPr>
              <w:t>3Q20</w:t>
            </w:r>
          </w:p>
        </w:tc>
        <w:tc>
          <w:tcPr>
            <w:tcW w:w="0" w:type="dxa"/>
            <w:vAlign w:val="bottom"/>
          </w:tcPr>
          <w:p>
            <w:pPr>
              <w:spacing w:after="0"/>
              <w:rPr>
                <w:sz w:val="1"/>
                <w:szCs w:val="1"/>
                <w:color w:val="auto"/>
              </w:rPr>
            </w:pPr>
          </w:p>
        </w:tc>
      </w:tr>
      <w:tr>
        <w:trPr>
          <w:trHeight w:val="133"/>
        </w:trPr>
        <w:tc>
          <w:tcPr>
            <w:tcW w:w="39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Digital IM net income (loss)</w:t>
            </w:r>
          </w:p>
        </w:tc>
        <w:tc>
          <w:tcPr>
            <w:tcW w:w="20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67,995</w:t>
            </w:r>
          </w:p>
        </w:tc>
        <w:tc>
          <w:tcPr>
            <w:tcW w:w="22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(9,143)</w:t>
            </w:r>
          </w:p>
        </w:tc>
        <w:tc>
          <w:tcPr>
            <w:tcW w:w="22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28,194</w:t>
            </w:r>
          </w:p>
        </w:tc>
        <w:tc>
          <w:tcPr>
            <w:tcW w:w="22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39,272</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15,786</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7,663</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2,702</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3,799</w:t>
            </w:r>
          </w:p>
        </w:tc>
        <w:tc>
          <w:tcPr>
            <w:tcW w:w="0" w:type="dxa"/>
            <w:vAlign w:val="bottom"/>
          </w:tcPr>
          <w:p>
            <w:pPr>
              <w:spacing w:after="0"/>
              <w:rPr>
                <w:sz w:val="1"/>
                <w:szCs w:val="1"/>
                <w:color w:val="auto"/>
              </w:rPr>
            </w:pPr>
          </w:p>
        </w:tc>
      </w:tr>
      <w:tr>
        <w:trPr>
          <w:trHeight w:val="143"/>
        </w:trPr>
        <w:tc>
          <w:tcPr>
            <w:tcW w:w="3960" w:type="dxa"/>
            <w:vAlign w:val="bottom"/>
          </w:tcPr>
          <w:p>
            <w:pPr>
              <w:spacing w:after="0"/>
              <w:rPr>
                <w:sz w:val="20"/>
                <w:szCs w:val="20"/>
                <w:color w:val="auto"/>
              </w:rPr>
            </w:pPr>
            <w:r>
              <w:rPr>
                <w:rFonts w:ascii="Arial" w:cs="Arial" w:eastAsia="Arial" w:hAnsi="Arial"/>
                <w:sz w:val="11"/>
                <w:szCs w:val="11"/>
                <w:color w:val="auto"/>
              </w:rPr>
              <w:t>Adjustments: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Interest expense (income)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2,771</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2,500</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2,499</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2,250</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Investment expense, net of reimbursement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204</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Depreciation and amortization</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5,375</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5,276</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5,928</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8,242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6,298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8,912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6,421</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10,259</w:t>
            </w:r>
          </w:p>
        </w:tc>
        <w:tc>
          <w:tcPr>
            <w:tcW w:w="0" w:type="dxa"/>
            <w:vAlign w:val="bottom"/>
          </w:tcPr>
          <w:p>
            <w:pPr>
              <w:spacing w:after="0"/>
              <w:rPr>
                <w:sz w:val="1"/>
                <w:szCs w:val="1"/>
                <w:color w:val="auto"/>
              </w:rPr>
            </w:pP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Compensation expense—equity-based</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3,361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3,191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2,011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2,046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1,786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1,533</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655</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Compensation expense—carried interest and incentive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49,069</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(20,352)</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25,921</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31,736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8,266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994</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912</w:t>
            </w:r>
          </w:p>
        </w:tc>
        <w:tc>
          <w:tcPr>
            <w:tcW w:w="0" w:type="dxa"/>
            <w:vAlign w:val="bottom"/>
          </w:tcPr>
          <w:p>
            <w:pPr>
              <w:spacing w:after="0"/>
              <w:rPr>
                <w:sz w:val="1"/>
                <w:szCs w:val="1"/>
                <w:color w:val="auto"/>
              </w:rPr>
            </w:pP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Administrative expenses—straight-line rent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74</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Administrative expenses—placement agent fee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880</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3,069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6,959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1,202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Transaction-related and restructuring charges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4,042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3,942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2,516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2,627</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51</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Incentive/performance fee income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(110,779)</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(5,720)</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(1,313)</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(4,489)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Equity method (earnings) losses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(1,016)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31,062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(31,608)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(59,196)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(11,203)</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195</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(6,744)</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(6,394)</w:t>
            </w: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Other (gain) loss, net</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424</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3,055</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(52)</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(461)</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(165)</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43"/>
        </w:trPr>
        <w:tc>
          <w:tcPr>
            <w:tcW w:w="396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Income tax (benefit) expense</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2,006</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2,374</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1,852</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3,089</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2,236</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(757)</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w:t>
            </w:r>
          </w:p>
        </w:tc>
        <w:tc>
          <w:tcPr>
            <w:tcW w:w="0" w:type="dxa"/>
            <w:vAlign w:val="bottom"/>
          </w:tcPr>
          <w:p>
            <w:pPr>
              <w:spacing w:after="0"/>
              <w:rPr>
                <w:sz w:val="1"/>
                <w:szCs w:val="1"/>
                <w:color w:val="auto"/>
              </w:rPr>
            </w:pPr>
          </w:p>
        </w:tc>
      </w:tr>
      <w:tr>
        <w:trPr>
          <w:trHeight w:val="134"/>
        </w:trPr>
        <w:tc>
          <w:tcPr>
            <w:tcW w:w="39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Digital IM Adjusted EBITDA</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23,124</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22,242</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32,484</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31,435</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25,621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18,200</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4,573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8,889</w:t>
            </w:r>
          </w:p>
        </w:tc>
        <w:tc>
          <w:tcPr>
            <w:tcW w:w="0" w:type="dxa"/>
            <w:vAlign w:val="bottom"/>
          </w:tcPr>
          <w:p>
            <w:pPr>
              <w:spacing w:after="0"/>
              <w:rPr>
                <w:sz w:val="1"/>
                <w:szCs w:val="1"/>
                <w:color w:val="auto"/>
              </w:rPr>
            </w:pPr>
          </w:p>
        </w:tc>
      </w:tr>
      <w:tr>
        <w:trPr>
          <w:trHeight w:val="143"/>
        </w:trPr>
        <w:tc>
          <w:tcPr>
            <w:tcW w:w="396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Exclude: Start-up FRE of certain new strategies</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2,335</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2,362</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2,306</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2,224</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2,059</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1,938</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1,842</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1,842</w:t>
            </w:r>
          </w:p>
        </w:tc>
        <w:tc>
          <w:tcPr>
            <w:tcW w:w="0" w:type="dxa"/>
            <w:vAlign w:val="bottom"/>
          </w:tcPr>
          <w:p>
            <w:pPr>
              <w:spacing w:after="0"/>
              <w:rPr>
                <w:sz w:val="1"/>
                <w:szCs w:val="1"/>
                <w:color w:val="auto"/>
              </w:rPr>
            </w:pPr>
          </w:p>
        </w:tc>
      </w:tr>
      <w:tr>
        <w:trPr>
          <w:trHeight w:val="154"/>
        </w:trPr>
        <w:tc>
          <w:tcPr>
            <w:tcW w:w="39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Digital IM FRE</w:t>
            </w: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25,459</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24,604</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34,790</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33,659</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27,680</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20,138</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6,415</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10,731</w:t>
            </w:r>
          </w:p>
        </w:tc>
        <w:tc>
          <w:tcPr>
            <w:tcW w:w="0" w:type="dxa"/>
            <w:vAlign w:val="bottom"/>
          </w:tcPr>
          <w:p>
            <w:pPr>
              <w:spacing w:after="0"/>
              <w:rPr>
                <w:sz w:val="1"/>
                <w:szCs w:val="1"/>
                <w:color w:val="auto"/>
              </w:rPr>
            </w:pPr>
          </w:p>
        </w:tc>
      </w:tr>
      <w:tr>
        <w:trPr>
          <w:trHeight w:val="139"/>
        </w:trPr>
        <w:tc>
          <w:tcPr>
            <w:tcW w:w="396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Wafra’s 31.5% ownership</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(4,700)</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(7,615)</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(11,033)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(10,737)</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(8,210)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(6,555)</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(2,522)</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(2,583)</w:t>
            </w:r>
          </w:p>
        </w:tc>
        <w:tc>
          <w:tcPr>
            <w:tcW w:w="0" w:type="dxa"/>
            <w:vAlign w:val="bottom"/>
          </w:tcPr>
          <w:p>
            <w:pPr>
              <w:spacing w:after="0"/>
              <w:rPr>
                <w:sz w:val="1"/>
                <w:szCs w:val="1"/>
                <w:color w:val="auto"/>
              </w:rPr>
            </w:pPr>
          </w:p>
        </w:tc>
      </w:tr>
      <w:tr>
        <w:trPr>
          <w:trHeight w:val="150"/>
        </w:trPr>
        <w:tc>
          <w:tcPr>
            <w:tcW w:w="39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DBRG OP share of Digital IM FRE</w:t>
            </w: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20,759</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16,989</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23,757</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22,922</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19,470</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13,583</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3,893</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8,148</w:t>
            </w:r>
          </w:p>
        </w:tc>
        <w:tc>
          <w:tcPr>
            <w:tcW w:w="0" w:type="dxa"/>
            <w:vAlign w:val="bottom"/>
          </w:tcPr>
          <w:p>
            <w:pPr>
              <w:spacing w:after="0"/>
              <w:rPr>
                <w:sz w:val="1"/>
                <w:szCs w:val="1"/>
                <w:color w:val="auto"/>
              </w:rPr>
            </w:pPr>
          </w:p>
        </w:tc>
      </w:tr>
      <w:tr>
        <w:trPr>
          <w:trHeight w:val="657"/>
        </w:trPr>
        <w:tc>
          <w:tcPr>
            <w:tcW w:w="3960" w:type="dxa"/>
            <w:vAlign w:val="bottom"/>
            <w:tcBorders>
              <w:bottom w:val="single" w:sz="8" w:color="DBDBDB"/>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2Q22</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1Q22</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4Q21</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3Q21</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2Q21</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1Q21</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4Q20</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ind w:right="146"/>
              <w:spacing w:after="0"/>
              <w:rPr>
                <w:sz w:val="20"/>
                <w:szCs w:val="20"/>
                <w:color w:val="auto"/>
              </w:rPr>
            </w:pPr>
            <w:r>
              <w:rPr>
                <w:rFonts w:ascii="Arial" w:cs="Arial" w:eastAsia="Arial" w:hAnsi="Arial"/>
                <w:sz w:val="10"/>
                <w:szCs w:val="10"/>
                <w:b w:val="1"/>
                <w:bCs w:val="1"/>
                <w:color w:val="auto"/>
                <w:w w:val="97"/>
              </w:rPr>
              <w:t>3Q20</w:t>
            </w:r>
          </w:p>
        </w:tc>
        <w:tc>
          <w:tcPr>
            <w:tcW w:w="0" w:type="dxa"/>
            <w:vAlign w:val="bottom"/>
          </w:tcPr>
          <w:p>
            <w:pPr>
              <w:spacing w:after="0"/>
              <w:rPr>
                <w:sz w:val="1"/>
                <w:szCs w:val="1"/>
                <w:color w:val="auto"/>
              </w:rPr>
            </w:pPr>
          </w:p>
        </w:tc>
      </w:tr>
      <w:tr>
        <w:trPr>
          <w:trHeight w:val="133"/>
        </w:trPr>
        <w:tc>
          <w:tcPr>
            <w:tcW w:w="39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Digital Operating net income (loss) from continuing operations</w:t>
            </w:r>
          </w:p>
        </w:tc>
        <w:tc>
          <w:tcPr>
            <w:tcW w:w="20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(85,428)</w:t>
            </w:r>
          </w:p>
        </w:tc>
        <w:tc>
          <w:tcPr>
            <w:tcW w:w="22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(74,141)</w:t>
            </w:r>
          </w:p>
        </w:tc>
        <w:tc>
          <w:tcPr>
            <w:tcW w:w="22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(83,909)</w:t>
            </w:r>
          </w:p>
        </w:tc>
        <w:tc>
          <w:tcPr>
            <w:tcW w:w="22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(71,822)</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(10,850)</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(64,260)</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(53,591)</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(38,795)</w:t>
            </w:r>
          </w:p>
        </w:tc>
        <w:tc>
          <w:tcPr>
            <w:tcW w:w="0" w:type="dxa"/>
            <w:vAlign w:val="bottom"/>
          </w:tcPr>
          <w:p>
            <w:pPr>
              <w:spacing w:after="0"/>
              <w:rPr>
                <w:sz w:val="1"/>
                <w:szCs w:val="1"/>
                <w:color w:val="auto"/>
              </w:rPr>
            </w:pPr>
          </w:p>
        </w:tc>
      </w:tr>
      <w:tr>
        <w:trPr>
          <w:trHeight w:val="143"/>
        </w:trPr>
        <w:tc>
          <w:tcPr>
            <w:tcW w:w="3960" w:type="dxa"/>
            <w:vAlign w:val="bottom"/>
          </w:tcPr>
          <w:p>
            <w:pPr>
              <w:spacing w:after="0"/>
              <w:rPr>
                <w:sz w:val="20"/>
                <w:szCs w:val="20"/>
                <w:color w:val="auto"/>
              </w:rPr>
            </w:pPr>
            <w:r>
              <w:rPr>
                <w:rFonts w:ascii="Arial" w:cs="Arial" w:eastAsia="Arial" w:hAnsi="Arial"/>
                <w:sz w:val="11"/>
                <w:szCs w:val="11"/>
                <w:color w:val="auto"/>
              </w:rPr>
              <w:t>Adjustments: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Interest expense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37,233</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36,184</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35,144</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29,839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29,272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31,132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41,815</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18,589</w:t>
            </w:r>
          </w:p>
        </w:tc>
        <w:tc>
          <w:tcPr>
            <w:tcW w:w="0" w:type="dxa"/>
            <w:vAlign w:val="bottom"/>
          </w:tcPr>
          <w:p>
            <w:pPr>
              <w:spacing w:after="0"/>
              <w:rPr>
                <w:sz w:val="1"/>
                <w:szCs w:val="1"/>
                <w:color w:val="auto"/>
              </w:rPr>
            </w:pP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Income tax (benefit) expense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(1,941)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1,922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(66,788)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(12,268)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(6,967)</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(6,091)</w:t>
            </w: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Depreciation and amortization</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145,817</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122,891</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126,436</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120,458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126,227</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122,221</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78,554</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73,032</w:t>
            </w:r>
          </w:p>
        </w:tc>
        <w:tc>
          <w:tcPr>
            <w:tcW w:w="0" w:type="dxa"/>
            <w:vAlign w:val="bottom"/>
          </w:tcPr>
          <w:p>
            <w:pPr>
              <w:spacing w:after="0"/>
              <w:rPr>
                <w:sz w:val="1"/>
                <w:szCs w:val="1"/>
                <w:color w:val="auto"/>
              </w:rPr>
            </w:pPr>
          </w:p>
        </w:tc>
      </w:tr>
      <w:tr>
        <w:trPr>
          <w:trHeight w:val="108"/>
        </w:trPr>
        <w:tc>
          <w:tcPr>
            <w:tcW w:w="3960" w:type="dxa"/>
            <w:vAlign w:val="bottom"/>
          </w:tcPr>
          <w:p>
            <w:pPr>
              <w:ind w:left="140"/>
              <w:spacing w:after="0" w:line="109" w:lineRule="exact"/>
              <w:rPr>
                <w:sz w:val="20"/>
                <w:szCs w:val="20"/>
                <w:color w:val="auto"/>
              </w:rPr>
            </w:pPr>
            <w:r>
              <w:rPr>
                <w:rFonts w:ascii="Arial" w:cs="Arial" w:eastAsia="Arial" w:hAnsi="Arial"/>
                <w:sz w:val="11"/>
                <w:szCs w:val="11"/>
                <w:color w:val="auto"/>
              </w:rPr>
              <w:t>Straight-line rent expenses and amortization of above- and below-market</w:t>
            </w:r>
          </w:p>
        </w:tc>
        <w:tc>
          <w:tcPr>
            <w:tcW w:w="2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(236)</w:t>
            </w:r>
          </w:p>
        </w:tc>
        <w:tc>
          <w:tcPr>
            <w:tcW w:w="2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(377)</w:t>
            </w:r>
          </w:p>
        </w:tc>
        <w:tc>
          <w:tcPr>
            <w:tcW w:w="2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370</w:t>
            </w:r>
          </w:p>
        </w:tc>
        <w:tc>
          <w:tcPr>
            <w:tcW w:w="2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482</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(98)</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(399)</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(2,607)</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(2,106)</w:t>
            </w:r>
          </w:p>
        </w:tc>
        <w:tc>
          <w:tcPr>
            <w:tcW w:w="0" w:type="dxa"/>
            <w:vAlign w:val="bottom"/>
          </w:tcPr>
          <w:p>
            <w:pPr>
              <w:spacing w:after="0"/>
              <w:rPr>
                <w:sz w:val="1"/>
                <w:szCs w:val="1"/>
                <w:color w:val="auto"/>
              </w:rPr>
            </w:pP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lease intangibles</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Compensation expense—equity-based</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752</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752</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1,918</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728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Installation services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2,097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(4,058)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576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880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429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Transaction-related and restructuring charges</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2,400</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4,636</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3,188</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4,042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2,999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4,670</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1,155</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420</w:t>
            </w:r>
          </w:p>
        </w:tc>
        <w:tc>
          <w:tcPr>
            <w:tcW w:w="0" w:type="dxa"/>
            <w:vAlign w:val="bottom"/>
          </w:tcPr>
          <w:p>
            <w:pPr>
              <w:spacing w:after="0"/>
              <w:rPr>
                <w:sz w:val="1"/>
                <w:szCs w:val="1"/>
                <w:color w:val="auto"/>
              </w:rPr>
            </w:pPr>
          </w:p>
        </w:tc>
      </w:tr>
      <w:tr>
        <w:trPr>
          <w:trHeight w:val="143"/>
        </w:trPr>
        <w:tc>
          <w:tcPr>
            <w:tcW w:w="396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Other gain/loss, net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534</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(956)</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1,226</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349</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50"/>
        </w:trPr>
        <w:tc>
          <w:tcPr>
            <w:tcW w:w="39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Digital Operating Adjusted EBITDA</w:t>
            </w: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101,233</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88,659</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84,529</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80,886</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81,995</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82,287</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59,716</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45,177</w:t>
            </w:r>
          </w:p>
        </w:tc>
        <w:tc>
          <w:tcPr>
            <w:tcW w:w="0" w:type="dxa"/>
            <w:vAlign w:val="bottom"/>
          </w:tcPr>
          <w:p>
            <w:pPr>
              <w:spacing w:after="0"/>
              <w:rPr>
                <w:sz w:val="1"/>
                <w:szCs w:val="1"/>
                <w:color w:val="auto"/>
              </w:rPr>
            </w:pPr>
          </w:p>
        </w:tc>
      </w:tr>
      <w:tr>
        <w:trPr>
          <w:trHeight w:val="396"/>
        </w:trPr>
        <w:tc>
          <w:tcPr>
            <w:tcW w:w="3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96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center"/>
              <w:ind w:right="166"/>
              <w:spacing w:after="0"/>
              <w:rPr>
                <w:sz w:val="20"/>
                <w:szCs w:val="20"/>
                <w:color w:val="auto"/>
              </w:rPr>
            </w:pPr>
            <w:r>
              <w:rPr>
                <w:rFonts w:ascii="Arial" w:cs="Arial" w:eastAsia="Arial" w:hAnsi="Arial"/>
                <w:sz w:val="10"/>
                <w:szCs w:val="10"/>
                <w:color w:val="auto"/>
                <w:w w:val="89"/>
              </w:rPr>
              <w:t>24</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0" w:right="299" w:bottom="1440" w:gutter="0" w:footer="0" w:header="0"/>
        </w:sectPr>
      </w:pPr>
    </w:p>
    <w:bookmarkStart w:id="33" w:name="page34"/>
    <w:bookmarkEnd w:id="33"/>
    <w:p>
      <w:pPr>
        <w:spacing w:after="0"/>
        <w:rPr>
          <w:sz w:val="20"/>
          <w:szCs w:val="20"/>
          <w:color w:val="auto"/>
        </w:rPr>
      </w:pPr>
      <w:r>
        <w:rPr>
          <w:rFonts w:ascii="Arial" w:cs="Arial" w:eastAsia="Arial" w:hAnsi="Arial"/>
          <w:sz w:val="29"/>
          <w:szCs w:val="29"/>
          <w:color w:val="auto"/>
        </w:rPr>
        <w:t>Reconciliations of DE and Adjusted EBITDA to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340" w:type="dxa"/>
            <w:vAlign w:val="bottom"/>
            <w:tcBorders>
              <w:bottom w:val="single" w:sz="8" w:color="DBDBDB"/>
            </w:tcBorders>
          </w:tcPr>
          <w:p>
            <w:pPr>
              <w:spacing w:after="0"/>
              <w:rPr>
                <w:sz w:val="20"/>
                <w:szCs w:val="20"/>
                <w:color w:val="auto"/>
              </w:rPr>
            </w:pPr>
            <w:r>
              <w:rPr>
                <w:rFonts w:ascii="Arial" w:cs="Arial" w:eastAsia="Arial" w:hAnsi="Arial"/>
                <w:sz w:val="10"/>
                <w:szCs w:val="10"/>
                <w:i w:val="1"/>
                <w:iCs w:val="1"/>
                <w:color w:val="auto"/>
              </w:rPr>
              <w:t>($ in thousands)</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2Q22</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1Q22</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4Q21</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3Q21</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2Q21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4Q20</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3Q20</w:t>
            </w:r>
          </w:p>
        </w:tc>
        <w:tc>
          <w:tcPr>
            <w:tcW w:w="0" w:type="dxa"/>
            <w:vAlign w:val="bottom"/>
          </w:tcPr>
          <w:p>
            <w:pPr>
              <w:spacing w:after="0"/>
              <w:rPr>
                <w:sz w:val="1"/>
                <w:szCs w:val="1"/>
                <w:color w:val="auto"/>
              </w:rPr>
            </w:pPr>
          </w:p>
        </w:tc>
      </w:tr>
      <w:tr>
        <w:trPr>
          <w:trHeight w:val="133"/>
        </w:trPr>
        <w:tc>
          <w:tcPr>
            <w:tcW w:w="4340" w:type="dxa"/>
            <w:vAlign w:val="bottom"/>
            <w:shd w:val="clear" w:color="auto" w:fill="DBDBDB"/>
          </w:tcPr>
          <w:p>
            <w:pPr>
              <w:spacing w:after="0"/>
              <w:rPr>
                <w:sz w:val="20"/>
                <w:szCs w:val="20"/>
                <w:color w:val="auto"/>
              </w:rPr>
            </w:pPr>
            <w:r>
              <w:rPr>
                <w:rFonts w:ascii="Arial" w:cs="Arial" w:eastAsia="Arial" w:hAnsi="Arial"/>
                <w:sz w:val="11"/>
                <w:szCs w:val="11"/>
                <w:color w:val="auto"/>
              </w:rPr>
              <w:t>Net income (loss) attributable to common stockholders</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(37,321)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(262,316)</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(20,686)</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41,036</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(141,260)</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(264,806)</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(140,575)</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(205,784)</w:t>
            </w:r>
          </w:p>
        </w:tc>
        <w:tc>
          <w:tcPr>
            <w:tcW w:w="0" w:type="dxa"/>
            <w:vAlign w:val="bottom"/>
          </w:tcPr>
          <w:p>
            <w:pPr>
              <w:spacing w:after="0"/>
              <w:rPr>
                <w:sz w:val="1"/>
                <w:szCs w:val="1"/>
                <w:color w:val="auto"/>
              </w:rPr>
            </w:pPr>
          </w:p>
        </w:tc>
      </w:tr>
      <w:tr>
        <w:trPr>
          <w:trHeight w:val="143"/>
        </w:trPr>
        <w:tc>
          <w:tcPr>
            <w:tcW w:w="43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Net income (loss) attributable to noncontrolling common interests in Operating Company</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(3,090)</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(22,862)</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(1,946)</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4,311</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(14,980)</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(27,896)</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(15,411)</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(22,651)</w:t>
            </w:r>
          </w:p>
        </w:tc>
        <w:tc>
          <w:tcPr>
            <w:tcW w:w="0" w:type="dxa"/>
            <w:vAlign w:val="bottom"/>
          </w:tcPr>
          <w:p>
            <w:pPr>
              <w:spacing w:after="0"/>
              <w:rPr>
                <w:sz w:val="1"/>
                <w:szCs w:val="1"/>
                <w:color w:val="auto"/>
              </w:rPr>
            </w:pPr>
          </w:p>
        </w:tc>
      </w:tr>
      <w:tr>
        <w:trPr>
          <w:trHeight w:val="89"/>
        </w:trPr>
        <w:tc>
          <w:tcPr>
            <w:tcW w:w="4340" w:type="dxa"/>
            <w:vAlign w:val="bottom"/>
            <w:shd w:val="clear" w:color="auto" w:fill="DBDBDB"/>
          </w:tcPr>
          <w:p>
            <w:pPr>
              <w:spacing w:after="0" w:line="90" w:lineRule="exact"/>
              <w:rPr>
                <w:sz w:val="20"/>
                <w:szCs w:val="20"/>
                <w:color w:val="auto"/>
              </w:rPr>
            </w:pPr>
            <w:r>
              <w:rPr>
                <w:rFonts w:ascii="Arial" w:cs="Arial" w:eastAsia="Arial" w:hAnsi="Arial"/>
                <w:sz w:val="10"/>
                <w:szCs w:val="10"/>
                <w:b w:val="1"/>
                <w:bCs w:val="1"/>
                <w:color w:val="auto"/>
              </w:rPr>
              <w:t>Net income (loss) attributable to common interests in Operating Company and</w:t>
            </w:r>
          </w:p>
        </w:tc>
        <w:tc>
          <w:tcPr>
            <w:tcW w:w="200" w:type="dxa"/>
            <w:vAlign w:val="bottom"/>
            <w:shd w:val="clear" w:color="auto" w:fill="DBDBDB"/>
          </w:tcPr>
          <w:p>
            <w:pPr>
              <w:spacing w:after="0"/>
              <w:rPr>
                <w:sz w:val="7"/>
                <w:szCs w:val="7"/>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(40,411)</w:t>
            </w:r>
          </w:p>
        </w:tc>
        <w:tc>
          <w:tcPr>
            <w:tcW w:w="200" w:type="dxa"/>
            <w:vAlign w:val="bottom"/>
            <w:shd w:val="clear" w:color="auto" w:fill="DBDBDB"/>
          </w:tcPr>
          <w:p>
            <w:pPr>
              <w:spacing w:after="0"/>
              <w:rPr>
                <w:sz w:val="7"/>
                <w:szCs w:val="7"/>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(285,178)</w:t>
            </w:r>
          </w:p>
        </w:tc>
        <w:tc>
          <w:tcPr>
            <w:tcW w:w="180" w:type="dxa"/>
            <w:vAlign w:val="bottom"/>
            <w:shd w:val="clear" w:color="auto" w:fill="DBDBDB"/>
          </w:tcPr>
          <w:p>
            <w:pPr>
              <w:spacing w:after="0"/>
              <w:rPr>
                <w:sz w:val="7"/>
                <w:szCs w:val="7"/>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(22,632)</w:t>
            </w:r>
          </w:p>
        </w:tc>
        <w:tc>
          <w:tcPr>
            <w:tcW w:w="200" w:type="dxa"/>
            <w:vAlign w:val="bottom"/>
            <w:shd w:val="clear" w:color="auto" w:fill="DBDBDB"/>
          </w:tcPr>
          <w:p>
            <w:pPr>
              <w:spacing w:after="0"/>
              <w:rPr>
                <w:sz w:val="7"/>
                <w:szCs w:val="7"/>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45,347</w:t>
            </w:r>
          </w:p>
        </w:tc>
        <w:tc>
          <w:tcPr>
            <w:tcW w:w="200" w:type="dxa"/>
            <w:vAlign w:val="bottom"/>
            <w:shd w:val="clear" w:color="auto" w:fill="DBDBDB"/>
          </w:tcPr>
          <w:p>
            <w:pPr>
              <w:spacing w:after="0"/>
              <w:rPr>
                <w:sz w:val="7"/>
                <w:szCs w:val="7"/>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(156,240)</w:t>
            </w:r>
          </w:p>
        </w:tc>
        <w:tc>
          <w:tcPr>
            <w:tcW w:w="200" w:type="dxa"/>
            <w:vAlign w:val="bottom"/>
            <w:shd w:val="clear" w:color="auto" w:fill="DBDBDB"/>
          </w:tcPr>
          <w:p>
            <w:pPr>
              <w:spacing w:after="0"/>
              <w:rPr>
                <w:sz w:val="7"/>
                <w:szCs w:val="7"/>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(292,702)</w:t>
            </w:r>
          </w:p>
        </w:tc>
        <w:tc>
          <w:tcPr>
            <w:tcW w:w="200" w:type="dxa"/>
            <w:vAlign w:val="bottom"/>
            <w:shd w:val="clear" w:color="auto" w:fill="DBDBDB"/>
          </w:tcPr>
          <w:p>
            <w:pPr>
              <w:spacing w:after="0"/>
              <w:rPr>
                <w:sz w:val="7"/>
                <w:szCs w:val="7"/>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(155,986)</w:t>
            </w:r>
          </w:p>
        </w:tc>
        <w:tc>
          <w:tcPr>
            <w:tcW w:w="180" w:type="dxa"/>
            <w:vAlign w:val="bottom"/>
            <w:shd w:val="clear" w:color="auto" w:fill="DBDBDB"/>
          </w:tcPr>
          <w:p>
            <w:pPr>
              <w:spacing w:after="0"/>
              <w:rPr>
                <w:sz w:val="7"/>
                <w:szCs w:val="7"/>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(228,435)</w:t>
            </w:r>
          </w:p>
        </w:tc>
        <w:tc>
          <w:tcPr>
            <w:tcW w:w="0" w:type="dxa"/>
            <w:vAlign w:val="bottom"/>
          </w:tcPr>
          <w:p>
            <w:pPr>
              <w:spacing w:after="0"/>
              <w:rPr>
                <w:sz w:val="1"/>
                <w:szCs w:val="1"/>
                <w:color w:val="auto"/>
              </w:rPr>
            </w:pPr>
          </w:p>
        </w:tc>
      </w:tr>
      <w:tr>
        <w:trPr>
          <w:trHeight w:val="144"/>
        </w:trPr>
        <w:tc>
          <w:tcPr>
            <w:tcW w:w="434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common stockholders</w:t>
            </w:r>
          </w:p>
        </w:tc>
        <w:tc>
          <w:tcPr>
            <w:tcW w:w="20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vMerge w:val="continue"/>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vMerge w:val="continue"/>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340" w:type="dxa"/>
            <w:vAlign w:val="bottom"/>
          </w:tcPr>
          <w:p>
            <w:pPr>
              <w:spacing w:after="0"/>
              <w:rPr>
                <w:sz w:val="20"/>
                <w:szCs w:val="20"/>
                <w:color w:val="auto"/>
              </w:rPr>
            </w:pPr>
            <w:r>
              <w:rPr>
                <w:rFonts w:ascii="Arial" w:cs="Arial" w:eastAsia="Arial" w:hAnsi="Arial"/>
                <w:sz w:val="11"/>
                <w:szCs w:val="11"/>
                <w:b w:val="1"/>
                <w:bCs w:val="1"/>
                <w:color w:val="auto"/>
              </w:rPr>
              <w:t>Adjustments for Distributable Earnings (DE):</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Transaction-related and restructuring charges</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29,300</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24,668</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29,977</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19,501</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5,174</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34,482</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21,887</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13,044</w:t>
            </w:r>
          </w:p>
        </w:tc>
        <w:tc>
          <w:tcPr>
            <w:tcW w:w="0" w:type="dxa"/>
            <w:vAlign w:val="bottom"/>
          </w:tcPr>
          <w:p>
            <w:pPr>
              <w:spacing w:after="0"/>
              <w:rPr>
                <w:sz w:val="1"/>
                <w:szCs w:val="1"/>
                <w:color w:val="auto"/>
              </w:rPr>
            </w:pPr>
          </w:p>
        </w:tc>
      </w:tr>
      <w:tr>
        <w:trPr>
          <w:trHeight w:val="108"/>
        </w:trPr>
        <w:tc>
          <w:tcPr>
            <w:tcW w:w="4340" w:type="dxa"/>
            <w:vAlign w:val="bottom"/>
          </w:tcPr>
          <w:p>
            <w:pPr>
              <w:ind w:left="140"/>
              <w:spacing w:after="0" w:line="109" w:lineRule="exact"/>
              <w:rPr>
                <w:sz w:val="20"/>
                <w:szCs w:val="20"/>
                <w:color w:val="auto"/>
              </w:rPr>
            </w:pPr>
            <w:r>
              <w:rPr>
                <w:rFonts w:ascii="Arial" w:cs="Arial" w:eastAsia="Arial" w:hAnsi="Arial"/>
                <w:sz w:val="11"/>
                <w:szCs w:val="11"/>
                <w:color w:val="auto"/>
              </w:rPr>
              <w:t>Non-real estate (gains) losses, excluding realized gains or losses of digital assets</w:t>
            </w:r>
          </w:p>
        </w:tc>
        <w:tc>
          <w:tcPr>
            <w:tcW w:w="2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13,433</w:t>
            </w:r>
          </w:p>
        </w:tc>
        <w:tc>
          <w:tcPr>
            <w:tcW w:w="2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130,224</w:t>
            </w:r>
          </w:p>
        </w:tc>
        <w:tc>
          <w:tcPr>
            <w:tcW w:w="1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(52,611)</w:t>
            </w:r>
          </w:p>
        </w:tc>
        <w:tc>
          <w:tcPr>
            <w:tcW w:w="2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11,319</w:t>
            </w:r>
          </w:p>
        </w:tc>
        <w:tc>
          <w:tcPr>
            <w:tcW w:w="2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(151,773)</w:t>
            </w: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267,812</w:t>
            </w:r>
          </w:p>
        </w:tc>
        <w:tc>
          <w:tcPr>
            <w:tcW w:w="2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193,948</w:t>
            </w:r>
          </w:p>
        </w:tc>
        <w:tc>
          <w:tcPr>
            <w:tcW w:w="18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84,995</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within the Corporate and Other segment</w:t>
            </w: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Net unrealized carried interest</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(58,775)</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13,078</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(7,375)</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(27,953)</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(6,485)</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189</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(5,734)</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(5,170)</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Equity-based compensation expense</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9,344</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18,720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19,416</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9,038</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11,642</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19,299</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8,288</w:t>
            </w:r>
          </w:p>
        </w:tc>
        <w:tc>
          <w:tcPr>
            <w:tcW w:w="1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7,879</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Depreciation and amortization</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155,909</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132,876</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147,137</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140,110</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170,454</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205,325</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141,130</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172,834</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Straight-line rent revenue and expense</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(2,956)</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(2,548)</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(1,986)</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(1,925)</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(2,309)</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17,225</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(6,403)</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(6,281)</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Amortization of acquired above- and below-market lease values, net</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(248)</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(333)</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(172)</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(1,498)</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6,005</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(1,229)</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(1,440)</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Impairment loss</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12,184</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23,799</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(40,732)</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(8,210)</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242,903</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106,077</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31,365</w:t>
            </w:r>
          </w:p>
        </w:tc>
        <w:tc>
          <w:tcPr>
            <w:tcW w:w="1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145,392</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Gain from sales of real estate</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(197)</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(514)</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(2,969)</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(38,102)</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(26,566)</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(12,332)</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Non-revenue enhancing capital expenditures</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(13,377)</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(1,372)</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(1,097)</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(1,349)</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(764)</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(226)</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(233)</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(300)</w:t>
            </w:r>
          </w:p>
        </w:tc>
        <w:tc>
          <w:tcPr>
            <w:tcW w:w="0" w:type="dxa"/>
            <w:vAlign w:val="bottom"/>
          </w:tcPr>
          <w:p>
            <w:pPr>
              <w:spacing w:after="0"/>
              <w:rPr>
                <w:sz w:val="1"/>
                <w:szCs w:val="1"/>
                <w:color w:val="auto"/>
              </w:rPr>
            </w:pPr>
          </w:p>
        </w:tc>
      </w:tr>
      <w:tr>
        <w:trPr>
          <w:trHeight w:val="109"/>
        </w:trPr>
        <w:tc>
          <w:tcPr>
            <w:tcW w:w="4340" w:type="dxa"/>
            <w:vAlign w:val="bottom"/>
            <w:shd w:val="clear" w:color="auto" w:fill="DBDBDB"/>
          </w:tcPr>
          <w:p>
            <w:pPr>
              <w:ind w:left="140"/>
              <w:spacing w:after="0" w:line="110" w:lineRule="exact"/>
              <w:rPr>
                <w:sz w:val="20"/>
                <w:szCs w:val="20"/>
                <w:color w:val="auto"/>
              </w:rPr>
            </w:pPr>
            <w:r>
              <w:rPr>
                <w:rFonts w:ascii="Arial" w:cs="Arial" w:eastAsia="Arial" w:hAnsi="Arial"/>
                <w:sz w:val="11"/>
                <w:szCs w:val="11"/>
                <w:color w:val="auto"/>
              </w:rPr>
              <w:t>Debt prepayment penalties and amortization of deferred financing costs and debt</w:t>
            </w:r>
          </w:p>
        </w:tc>
        <w:tc>
          <w:tcPr>
            <w:tcW w:w="200" w:type="dxa"/>
            <w:vAlign w:val="bottom"/>
            <w:shd w:val="clear" w:color="auto" w:fill="DBDBDB"/>
          </w:tcPr>
          <w:p>
            <w:pPr>
              <w:spacing w:after="0"/>
              <w:rPr>
                <w:sz w:val="9"/>
                <w:szCs w:val="9"/>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5,238</w:t>
            </w:r>
          </w:p>
        </w:tc>
        <w:tc>
          <w:tcPr>
            <w:tcW w:w="200" w:type="dxa"/>
            <w:vAlign w:val="bottom"/>
            <w:shd w:val="clear" w:color="auto" w:fill="DBDBDB"/>
          </w:tcPr>
          <w:p>
            <w:pPr>
              <w:spacing w:after="0"/>
              <w:rPr>
                <w:sz w:val="9"/>
                <w:szCs w:val="9"/>
                <w:color w:val="auto"/>
              </w:rPr>
            </w:pPr>
          </w:p>
        </w:tc>
        <w:tc>
          <w:tcPr>
            <w:tcW w:w="68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98,465</w:t>
            </w:r>
          </w:p>
        </w:tc>
        <w:tc>
          <w:tcPr>
            <w:tcW w:w="180" w:type="dxa"/>
            <w:vAlign w:val="bottom"/>
            <w:shd w:val="clear" w:color="auto" w:fill="DBDBDB"/>
          </w:tcPr>
          <w:p>
            <w:pPr>
              <w:spacing w:after="0"/>
              <w:rPr>
                <w:sz w:val="9"/>
                <w:szCs w:val="9"/>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36,685</w:t>
            </w:r>
          </w:p>
        </w:tc>
        <w:tc>
          <w:tcPr>
            <w:tcW w:w="200" w:type="dxa"/>
            <w:vAlign w:val="bottom"/>
            <w:shd w:val="clear" w:color="auto" w:fill="DBDBDB"/>
          </w:tcPr>
          <w:p>
            <w:pPr>
              <w:spacing w:after="0"/>
              <w:rPr>
                <w:sz w:val="9"/>
                <w:szCs w:val="9"/>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7,651</w:t>
            </w:r>
          </w:p>
        </w:tc>
        <w:tc>
          <w:tcPr>
            <w:tcW w:w="200" w:type="dxa"/>
            <w:vAlign w:val="bottom"/>
            <w:shd w:val="clear" w:color="auto" w:fill="DBDBDB"/>
          </w:tcPr>
          <w:p>
            <w:pPr>
              <w:spacing w:after="0"/>
              <w:rPr>
                <w:sz w:val="9"/>
                <w:szCs w:val="9"/>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10,196</w:t>
            </w:r>
          </w:p>
        </w:tc>
        <w:tc>
          <w:tcPr>
            <w:tcW w:w="200" w:type="dxa"/>
            <w:vAlign w:val="bottom"/>
            <w:shd w:val="clear" w:color="auto" w:fill="DBDBDB"/>
          </w:tcPr>
          <w:p>
            <w:pPr>
              <w:spacing w:after="0"/>
              <w:rPr>
                <w:sz w:val="9"/>
                <w:szCs w:val="9"/>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45,627</w:t>
            </w:r>
          </w:p>
        </w:tc>
        <w:tc>
          <w:tcPr>
            <w:tcW w:w="200" w:type="dxa"/>
            <w:vAlign w:val="bottom"/>
            <w:shd w:val="clear" w:color="auto" w:fill="DBDBDB"/>
          </w:tcPr>
          <w:p>
            <w:pPr>
              <w:spacing w:after="0"/>
              <w:rPr>
                <w:sz w:val="9"/>
                <w:szCs w:val="9"/>
                <w:color w:val="auto"/>
              </w:rPr>
            </w:pPr>
          </w:p>
        </w:tc>
        <w:tc>
          <w:tcPr>
            <w:tcW w:w="68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25,034</w:t>
            </w:r>
          </w:p>
        </w:tc>
        <w:tc>
          <w:tcPr>
            <w:tcW w:w="18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4,296</w:t>
            </w:r>
          </w:p>
        </w:tc>
        <w:tc>
          <w:tcPr>
            <w:tcW w:w="0" w:type="dxa"/>
            <w:vAlign w:val="bottom"/>
          </w:tcPr>
          <w:p>
            <w:pPr>
              <w:spacing w:after="0"/>
              <w:rPr>
                <w:sz w:val="1"/>
                <w:szCs w:val="1"/>
                <w:color w:val="auto"/>
              </w:rPr>
            </w:pPr>
          </w:p>
        </w:tc>
      </w:tr>
      <w:tr>
        <w:trPr>
          <w:trHeight w:val="144"/>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premiums and discounts</w:t>
            </w:r>
          </w:p>
        </w:tc>
        <w:tc>
          <w:tcPr>
            <w:tcW w:w="200" w:type="dxa"/>
            <w:vAlign w:val="bottom"/>
            <w:shd w:val="clear" w:color="auto" w:fill="DBDBDB"/>
          </w:tcPr>
          <w:p>
            <w:pPr>
              <w:spacing w:after="0"/>
              <w:rPr>
                <w:sz w:val="12"/>
                <w:szCs w:val="12"/>
                <w:color w:val="auto"/>
              </w:rPr>
            </w:pPr>
          </w:p>
        </w:tc>
        <w:tc>
          <w:tcPr>
            <w:tcW w:w="66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80" w:type="dxa"/>
            <w:vAlign w:val="bottom"/>
            <w:vMerge w:val="continue"/>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68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6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6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8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80" w:type="dxa"/>
            <w:vAlign w:val="bottom"/>
            <w:vMerge w:val="continue"/>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Adjustment to reflect BRSP cash dividend declared</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(4,660)</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(9,089)</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(28,243)</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9,478</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(40,165)</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55,648</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(22,999)</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(18,207)</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Preferred share redemption (gain) loss</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2,127</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2,865</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Income tax effect on certain of the foregoing adjustments</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(589)</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8,195</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1,663</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(42,536)</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(17,657)</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(8,764)</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(7,917)</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Adjustments attributable to noncontrolling interests in investment entities</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(91,676)</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(132,237)</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(105,150)</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(83,074)</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(15,334)</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(406,824)</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(223,136)</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(184,947)</w:t>
            </w:r>
          </w:p>
        </w:tc>
        <w:tc>
          <w:tcPr>
            <w:tcW w:w="0" w:type="dxa"/>
            <w:vAlign w:val="bottom"/>
          </w:tcPr>
          <w:p>
            <w:pPr>
              <w:spacing w:after="0"/>
              <w:rPr>
                <w:sz w:val="1"/>
                <w:szCs w:val="1"/>
                <w:color w:val="auto"/>
              </w:rPr>
            </w:pPr>
          </w:p>
        </w:tc>
      </w:tr>
      <w:tr>
        <w:trPr>
          <w:trHeight w:val="143"/>
        </w:trPr>
        <w:tc>
          <w:tcPr>
            <w:tcW w:w="434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DE from discontinued operations</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(9,003)</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11,467</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(123,075)</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(25,874)</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(12,391)</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4,025</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5,579</w:t>
            </w:r>
          </w:p>
        </w:tc>
        <w:tc>
          <w:tcPr>
            <w:tcW w:w="0" w:type="dxa"/>
            <w:vAlign w:val="bottom"/>
          </w:tcPr>
          <w:p>
            <w:pPr>
              <w:spacing w:after="0"/>
              <w:rPr>
                <w:sz w:val="1"/>
                <w:szCs w:val="1"/>
                <w:color w:val="auto"/>
              </w:rPr>
            </w:pPr>
          </w:p>
        </w:tc>
      </w:tr>
      <w:tr>
        <w:trPr>
          <w:trHeight w:val="134"/>
        </w:trPr>
        <w:tc>
          <w:tcPr>
            <w:tcW w:w="434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After-tax DE</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7,585</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1,569</w:t>
            </w:r>
          </w:p>
        </w:tc>
        <w:tc>
          <w:tcPr>
            <w:tcW w:w="1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(5,352)</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700</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(5,578)</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(10,213)</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(25,373)</w:t>
            </w:r>
          </w:p>
        </w:tc>
        <w:tc>
          <w:tcPr>
            <w:tcW w:w="1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(31,010)</w:t>
            </w:r>
          </w:p>
        </w:tc>
        <w:tc>
          <w:tcPr>
            <w:tcW w:w="0" w:type="dxa"/>
            <w:vAlign w:val="bottom"/>
          </w:tcPr>
          <w:p>
            <w:pPr>
              <w:spacing w:after="0"/>
              <w:rPr>
                <w:sz w:val="1"/>
                <w:szCs w:val="1"/>
                <w:color w:val="auto"/>
              </w:rPr>
            </w:pPr>
          </w:p>
        </w:tc>
      </w:tr>
      <w:tr>
        <w:trPr>
          <w:trHeight w:val="547"/>
        </w:trPr>
        <w:tc>
          <w:tcPr>
            <w:tcW w:w="4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34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ind w:right="366"/>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0" w:right="299" w:bottom="1440" w:gutter="0" w:footer="0" w:header="0"/>
        </w:sectPr>
      </w:pPr>
    </w:p>
    <w:bookmarkStart w:id="34" w:name="page35"/>
    <w:bookmarkEnd w:id="34"/>
    <w:p>
      <w:pPr>
        <w:spacing w:after="0"/>
        <w:rPr>
          <w:sz w:val="20"/>
          <w:szCs w:val="20"/>
          <w:color w:val="auto"/>
        </w:rPr>
      </w:pPr>
      <w:r>
        <w:rPr>
          <w:rFonts w:ascii="Arial" w:cs="Arial" w:eastAsia="Arial" w:hAnsi="Arial"/>
          <w:sz w:val="29"/>
          <w:szCs w:val="29"/>
          <w:color w:val="auto"/>
        </w:rPr>
        <w:t>Reconciliations of DE and Adjusted EBITDA to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140" w:type="dxa"/>
            <w:vAlign w:val="bottom"/>
            <w:tcBorders>
              <w:bottom w:val="single" w:sz="8" w:color="DBDBDB"/>
            </w:tcBorders>
          </w:tcPr>
          <w:p>
            <w:pPr>
              <w:spacing w:after="0"/>
              <w:rPr>
                <w:sz w:val="20"/>
                <w:szCs w:val="20"/>
                <w:color w:val="auto"/>
              </w:rPr>
            </w:pPr>
            <w:r>
              <w:rPr>
                <w:rFonts w:ascii="Arial" w:cs="Arial" w:eastAsia="Arial" w:hAnsi="Arial"/>
                <w:sz w:val="10"/>
                <w:szCs w:val="10"/>
                <w:i w:val="1"/>
                <w:iCs w:val="1"/>
                <w:color w:val="auto"/>
              </w:rPr>
              <w:t>($ in thousands)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2Q22</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1Q22</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4Q21</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3Q21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2Q21</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4Q20</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3Q20</w:t>
            </w:r>
          </w:p>
        </w:tc>
      </w:tr>
      <w:tr>
        <w:trPr>
          <w:trHeight w:val="133"/>
        </w:trPr>
        <w:tc>
          <w:tcPr>
            <w:tcW w:w="414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After-tax DE</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7,585</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1,569</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(5,352)</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700</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(5,578)</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(10,213)</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(25,373)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(31,010)</w:t>
            </w:r>
          </w:p>
        </w:tc>
      </w:tr>
      <w:tr>
        <w:trPr>
          <w:trHeight w:val="143"/>
        </w:trPr>
        <w:tc>
          <w:tcPr>
            <w:tcW w:w="4140" w:type="dxa"/>
            <w:vAlign w:val="bottom"/>
          </w:tcPr>
          <w:p>
            <w:pPr>
              <w:ind w:left="120"/>
              <w:spacing w:after="0"/>
              <w:rPr>
                <w:sz w:val="20"/>
                <w:szCs w:val="20"/>
                <w:color w:val="auto"/>
              </w:rPr>
            </w:pPr>
            <w:r>
              <w:rPr>
                <w:rFonts w:ascii="Arial" w:cs="Arial" w:eastAsia="Arial" w:hAnsi="Arial"/>
                <w:sz w:val="11"/>
                <w:szCs w:val="11"/>
                <w:color w:val="auto"/>
              </w:rPr>
              <w:t>Interest expense included in DE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14,142</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13,280</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13,775</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14,160</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11,834</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12,387</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11,972</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12,234</w:t>
            </w:r>
          </w:p>
        </w:tc>
      </w:tr>
      <w:tr>
        <w:trPr>
          <w:trHeight w:val="145"/>
        </w:trPr>
        <w:tc>
          <w:tcPr>
            <w:tcW w:w="41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Income tax expense (benefit) included in DE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(2,662)</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(6,849)</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631</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(12,638)</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(8,224)</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(5,613)</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(9,974)</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(5,310)</w:t>
            </w:r>
          </w:p>
        </w:tc>
      </w:tr>
      <w:tr>
        <w:trPr>
          <w:trHeight w:val="143"/>
        </w:trPr>
        <w:tc>
          <w:tcPr>
            <w:tcW w:w="4140" w:type="dxa"/>
            <w:vAlign w:val="bottom"/>
          </w:tcPr>
          <w:p>
            <w:pPr>
              <w:ind w:left="120"/>
              <w:spacing w:after="0"/>
              <w:rPr>
                <w:sz w:val="20"/>
                <w:szCs w:val="20"/>
                <w:color w:val="auto"/>
              </w:rPr>
            </w:pPr>
            <w:r>
              <w:rPr>
                <w:rFonts w:ascii="Arial" w:cs="Arial" w:eastAsia="Arial" w:hAnsi="Arial"/>
                <w:sz w:val="11"/>
                <w:szCs w:val="11"/>
                <w:color w:val="auto"/>
              </w:rPr>
              <w:t>Preferred dividends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15,759</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15,759</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16,139</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17,456</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18,516</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18,516</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18,516</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18,516</w:t>
            </w:r>
          </w:p>
        </w:tc>
      </w:tr>
      <w:tr>
        <w:trPr>
          <w:trHeight w:val="145"/>
        </w:trPr>
        <w:tc>
          <w:tcPr>
            <w:tcW w:w="41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Earnings of equity method investments</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(6,982)</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(6,691)</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(6,441)</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(5,784)</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(6,216)</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(4,440)</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r>
      <w:tr>
        <w:trPr>
          <w:trHeight w:val="143"/>
        </w:trPr>
        <w:tc>
          <w:tcPr>
            <w:tcW w:w="4140" w:type="dxa"/>
            <w:vAlign w:val="bottom"/>
          </w:tcPr>
          <w:p>
            <w:pPr>
              <w:ind w:left="120"/>
              <w:spacing w:after="0"/>
              <w:rPr>
                <w:sz w:val="20"/>
                <w:szCs w:val="20"/>
                <w:color w:val="auto"/>
              </w:rPr>
            </w:pPr>
            <w:r>
              <w:rPr>
                <w:rFonts w:ascii="Arial" w:cs="Arial" w:eastAsia="Arial" w:hAnsi="Arial"/>
                <w:sz w:val="11"/>
                <w:szCs w:val="11"/>
                <w:color w:val="auto"/>
              </w:rPr>
              <w:t>Placement fee expense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603</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2,102</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4,767</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823</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45"/>
        </w:trPr>
        <w:tc>
          <w:tcPr>
            <w:tcW w:w="41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Net realized carried interest and incentive fees</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1,172</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(1,092)</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(1,565)</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248</w:t>
            </w:r>
          </w:p>
        </w:tc>
      </w:tr>
      <w:tr>
        <w:trPr>
          <w:trHeight w:val="143"/>
        </w:trPr>
        <w:tc>
          <w:tcPr>
            <w:tcW w:w="4140" w:type="dxa"/>
            <w:vAlign w:val="bottom"/>
          </w:tcPr>
          <w:p>
            <w:pPr>
              <w:ind w:left="120"/>
              <w:spacing w:after="0"/>
              <w:rPr>
                <w:sz w:val="20"/>
                <w:szCs w:val="20"/>
                <w:color w:val="auto"/>
              </w:rPr>
            </w:pPr>
            <w:r>
              <w:rPr>
                <w:rFonts w:ascii="Arial" w:cs="Arial" w:eastAsia="Arial" w:hAnsi="Arial"/>
                <w:sz w:val="11"/>
                <w:szCs w:val="11"/>
                <w:color w:val="auto"/>
              </w:rPr>
              <w:t>Investment costs and non-revenue enhancing capital expenditures in DE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3,086</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2,023</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2,463</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1,402</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1,620</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1,649</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1,251</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554</w:t>
            </w:r>
          </w:p>
        </w:tc>
      </w:tr>
      <w:tr>
        <w:trPr>
          <w:trHeight w:val="145"/>
        </w:trPr>
        <w:tc>
          <w:tcPr>
            <w:tcW w:w="41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Non pro-rata allocation of income (loss) to noncontrolling interests</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231</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231</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231</w:t>
            </w: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223</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201</w:t>
            </w: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201</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(751)</w:t>
            </w:r>
          </w:p>
        </w:tc>
      </w:tr>
      <w:tr>
        <w:trPr>
          <w:trHeight w:val="137"/>
        </w:trPr>
        <w:tc>
          <w:tcPr>
            <w:tcW w:w="4140" w:type="dxa"/>
            <w:vAlign w:val="bottom"/>
          </w:tcPr>
          <w:p>
            <w:pPr>
              <w:spacing w:after="0"/>
              <w:rPr>
                <w:sz w:val="20"/>
                <w:szCs w:val="20"/>
                <w:color w:val="auto"/>
              </w:rPr>
            </w:pPr>
            <w:r>
              <w:rPr>
                <w:rFonts w:ascii="Arial" w:cs="Arial" w:eastAsia="Arial" w:hAnsi="Arial"/>
                <w:sz w:val="11"/>
                <w:szCs w:val="11"/>
                <w:b w:val="1"/>
                <w:bCs w:val="1"/>
                <w:color w:val="auto"/>
              </w:rPr>
              <w:t>Adjusted EBITDA</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30,928</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20,494</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20,957</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17,622</w:t>
            </w:r>
          </w:p>
        </w:tc>
        <w:tc>
          <w:tcPr>
            <w:tcW w:w="200" w:type="dxa"/>
            <w:vAlign w:val="bottom"/>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15,377</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12,538</w:t>
            </w:r>
          </w:p>
        </w:tc>
        <w:tc>
          <w:tcPr>
            <w:tcW w:w="200" w:type="dxa"/>
            <w:vAlign w:val="bottom"/>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(2,444)</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(5,519)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26</w:t>
            </w:r>
          </w:p>
        </w:tc>
      </w:tr>
    </w:tbl>
    <w:p>
      <w:pPr>
        <w:sectPr>
          <w:pgSz w:w="11900" w:h="16838" w:orient="portrait"/>
          <w:cols w:equalWidth="0" w:num="1">
            <w:col w:w="11300"/>
          </w:cols>
          <w:pgMar w:left="300" w:top="130" w:right="299" w:bottom="1440" w:gutter="0" w:footer="0" w:header="0"/>
        </w:sectPr>
      </w:pPr>
    </w:p>
    <w:bookmarkStart w:id="35" w:name="page36"/>
    <w:bookmarkEnd w:id="35"/>
    <w:p>
      <w:pPr>
        <w:ind w:left="8"/>
        <w:spacing w:after="0"/>
        <w:rPr>
          <w:sz w:val="20"/>
          <w:szCs w:val="20"/>
          <w:color w:val="auto"/>
        </w:rPr>
      </w:pPr>
      <w:r>
        <w:rPr>
          <w:rFonts w:ascii="Arial" w:cs="Arial" w:eastAsia="Arial" w:hAnsi="Arial"/>
          <w:sz w:val="29"/>
          <w:szCs w:val="29"/>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Assets Under Management (“AUM”)</w:t>
      </w:r>
    </w:p>
    <w:p>
      <w:pPr>
        <w:spacing w:after="0" w:line="21" w:lineRule="exact"/>
        <w:rPr>
          <w:sz w:val="20"/>
          <w:szCs w:val="20"/>
          <w:color w:val="auto"/>
        </w:rPr>
      </w:pPr>
    </w:p>
    <w:p>
      <w:pPr>
        <w:ind w:left="8" w:right="60"/>
        <w:spacing w:after="0" w:line="263" w:lineRule="auto"/>
        <w:rPr>
          <w:sz w:val="20"/>
          <w:szCs w:val="20"/>
          <w:color w:val="auto"/>
        </w:rPr>
      </w:pPr>
      <w:r>
        <w:rPr>
          <w:rFonts w:ascii="Arial" w:cs="Arial" w:eastAsia="Arial" w:hAnsi="Arial"/>
          <w:sz w:val="10"/>
          <w:szCs w:val="10"/>
          <w:color w:val="424242"/>
        </w:rPr>
        <w:t>Assets owned by the Company’s balance sheet and assets for which the Company and its affiliates provide investment management services, including assets for which the Company may or may not charge management fees and/or performance allocations. Balance sheet AUM is based on the undepreciated carrying value of digital investments and the impaired carrying value of non digital investments as of the report date. Investment management AUM is based on the cost basis of managed investments as reported by each underlying vehicle as of the report date. AUM further includes uncalled capital commitments, but excludes DBRG OP’s share of non wholly-owned real estate investment management platform’s AUM. The Company's calculations of AUM may differ from the calculations of other asset managers, and as a result, this measure may not be comparable to similar measures presented by other asset managers.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Contracted Revenue Growth (“Bookings”)</w:t>
      </w:r>
    </w:p>
    <w:p>
      <w:pPr>
        <w:spacing w:after="0" w:line="21" w:lineRule="exact"/>
        <w:rPr>
          <w:sz w:val="20"/>
          <w:szCs w:val="20"/>
          <w:color w:val="auto"/>
        </w:rPr>
      </w:pPr>
    </w:p>
    <w:p>
      <w:pPr>
        <w:jc w:val="both"/>
        <w:ind w:left="8"/>
        <w:spacing w:after="0" w:line="265" w:lineRule="auto"/>
        <w:rPr>
          <w:sz w:val="20"/>
          <w:szCs w:val="20"/>
          <w:color w:val="auto"/>
        </w:rPr>
      </w:pPr>
      <w:r>
        <w:rPr>
          <w:rFonts w:ascii="Arial" w:cs="Arial" w:eastAsia="Arial" w:hAnsi="Arial"/>
          <w:sz w:val="10"/>
          <w:szCs w:val="10"/>
          <w:color w:val="424242"/>
        </w:rPr>
        <w:t>The Company defines Bookings as either (1) a new data center customer contract for new or additional services over and above any services already being provided as well as (2) an increase in contracted rates on the same services when a contract renews. In both instances a booking is considered to be generated when a new contract is signed with the recognition of new revenue to occur when the new contract begins billing.</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Churn</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0"/>
          <w:szCs w:val="10"/>
          <w:color w:val="424242"/>
        </w:rPr>
        <w:t>The Company calculates Churn as the percentage of MRR lost during the period divided by the prior period’s MRR. Churn is intended to represent data center customer contracts which are terminated during the period and not renewed.</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DigitalBridge Operating Company, LLC (“DBRG OP”)</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0"/>
          <w:szCs w:val="10"/>
          <w:color w:val="424242"/>
        </w:rPr>
        <w:t>The operating partnership through which the Company conducts all of its activities and holds substantially all of its assets and liabilities. DBRG OP share excludes noncontrolling interests in investment entities.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Fee-Earning Equity Under Management (“FEEUM”)</w:t>
      </w:r>
    </w:p>
    <w:p>
      <w:pPr>
        <w:spacing w:after="0" w:line="21" w:lineRule="exact"/>
        <w:rPr>
          <w:sz w:val="20"/>
          <w:szCs w:val="20"/>
          <w:color w:val="auto"/>
        </w:rPr>
      </w:pPr>
    </w:p>
    <w:p>
      <w:pPr>
        <w:jc w:val="both"/>
        <w:ind w:left="8"/>
        <w:spacing w:after="0" w:line="264" w:lineRule="auto"/>
        <w:rPr>
          <w:sz w:val="20"/>
          <w:szCs w:val="20"/>
          <w:color w:val="auto"/>
        </w:rPr>
      </w:pPr>
      <w:r>
        <w:rPr>
          <w:rFonts w:ascii="Arial" w:cs="Arial" w:eastAsia="Arial" w:hAnsi="Arial"/>
          <w:sz w:val="10"/>
          <w:szCs w:val="10"/>
          <w:color w:val="424242"/>
        </w:rPr>
        <w:t>Equity for which the Company and its affiliates provides investment management services and derives management fees and/or performance allocations. FEEUM generally represents the basis used to derive fees, which may be based on invested equity, stockholders’ equity, or fair value pursuant to the terms of each underlying investment management agreement. The Company's calculations of FEEUM may differ materially from the calculations of other asset managers, and as a result, this measure may not be comparable to similar measures presented by other asset managers.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Non-revenue Enhancing Capital Expenditures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0"/>
          <w:szCs w:val="10"/>
          <w:color w:val="424242"/>
        </w:rPr>
        <w:t>Represents capitalized expenditures needed to maintain operating real estate which are not expected to generate incremental revenue.</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Revenue Enhancing Capital Expenditures</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0"/>
          <w:szCs w:val="10"/>
          <w:color w:val="424242"/>
        </w:rPr>
        <w:t>Represents capitalized expenditures including major capital improvements for expansions, transformations and incremental improvements to the operating portfolio intended to result in increased revenues and Adjusted EBITDA at the property.</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Max Critical I.T. Square Feet</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0"/>
          <w:szCs w:val="10"/>
          <w:color w:val="424242"/>
        </w:rPr>
        <w:t>Amount of total rentable square footage.</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Monthly Recurring Revenue (“MRR”)</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0"/>
          <w:szCs w:val="10"/>
          <w:color w:val="424242"/>
        </w:rPr>
        <w:t>The Company defines MRR as revenue from ongoing services that is generally fixed in price and contracted for longer than 30 days.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424242"/>
        </w:rPr>
        <w:t>UPB:</w:t>
      </w:r>
      <w:r>
        <w:rPr>
          <w:rFonts w:ascii="Arial" w:cs="Arial" w:eastAsia="Arial" w:hAnsi="Arial"/>
          <w:sz w:val="10"/>
          <w:szCs w:val="10"/>
          <w:b w:val="1"/>
          <w:bCs w:val="1"/>
          <w:color w:val="424242"/>
        </w:rPr>
        <w:t xml:space="preserve"> </w:t>
      </w:r>
      <w:r>
        <w:rPr>
          <w:rFonts w:ascii="Arial" w:cs="Arial" w:eastAsia="Arial" w:hAnsi="Arial"/>
          <w:sz w:val="10"/>
          <w:szCs w:val="10"/>
          <w:color w:val="424242"/>
        </w:rPr>
        <w:t>Unpaid Principal Balance</w:t>
      </w:r>
    </w:p>
    <w:p>
      <w:pPr>
        <w:spacing w:after="0" w:line="173" w:lineRule="exact"/>
        <w:rPr>
          <w:sz w:val="20"/>
          <w:szCs w:val="20"/>
          <w:color w:val="auto"/>
        </w:rPr>
      </w:pPr>
    </w:p>
    <w:p>
      <w:pPr>
        <w:ind w:left="128" w:hanging="128"/>
        <w:spacing w:after="0"/>
        <w:tabs>
          <w:tab w:leader="none" w:pos="128" w:val="left"/>
        </w:tabs>
        <w:numPr>
          <w:ilvl w:val="0"/>
          <w:numId w:val="20"/>
        </w:numPr>
        <w:rPr>
          <w:rFonts w:ascii="Arial" w:cs="Arial" w:eastAsia="Arial" w:hAnsi="Arial"/>
          <w:sz w:val="10"/>
          <w:szCs w:val="10"/>
          <w:b w:val="1"/>
          <w:bCs w:val="1"/>
          <w:u w:val="single" w:color="auto"/>
          <w:color w:val="424242"/>
        </w:rPr>
      </w:pPr>
      <w:r>
        <w:rPr>
          <w:rFonts w:ascii="Arial" w:cs="Arial" w:eastAsia="Arial" w:hAnsi="Arial"/>
          <w:sz w:val="10"/>
          <w:szCs w:val="10"/>
          <w:b w:val="1"/>
          <w:bCs w:val="1"/>
          <w:u w:val="single" w:color="auto"/>
          <w:color w:val="424242"/>
        </w:rPr>
        <w:t>Utilization Rate:</w:t>
      </w:r>
      <w:r>
        <w:rPr>
          <w:rFonts w:ascii="Arial" w:cs="Arial" w:eastAsia="Arial" w:hAnsi="Arial"/>
          <w:sz w:val="10"/>
          <w:szCs w:val="10"/>
          <w:b w:val="1"/>
          <w:bCs w:val="1"/>
          <w:color w:val="424242"/>
        </w:rPr>
        <w:t xml:space="preserve"> </w:t>
      </w:r>
      <w:r>
        <w:rPr>
          <w:rFonts w:ascii="Arial" w:cs="Arial" w:eastAsia="Arial" w:hAnsi="Arial"/>
          <w:sz w:val="10"/>
          <w:szCs w:val="10"/>
          <w:color w:val="424242"/>
        </w:rPr>
        <w:t>Amount of leased square feet divided by max critical I.T. square feet.</w:t>
      </w:r>
    </w:p>
    <w:p>
      <w:pPr>
        <w:spacing w:after="0" w:line="3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27</w:t>
            </w:r>
          </w:p>
        </w:tc>
      </w:tr>
    </w:tbl>
    <w:p>
      <w:pPr>
        <w:sectPr>
          <w:pgSz w:w="11900" w:h="16838" w:orient="portrait"/>
          <w:cols w:equalWidth="0" w:num="1">
            <w:col w:w="11308"/>
          </w:cols>
          <w:pgMar w:left="292" w:top="130" w:right="299" w:bottom="1440"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614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61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67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667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
      <w:numFmt w:val="bullet"/>
      <w:start w:val="1"/>
    </w:lvl>
    <w:lvl w:ilvl="1">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upperLetter"/>
      <w:start w:val="9"/>
    </w:lvl>
  </w:abstractNum>
  <w:abstractNum w:abstractNumId="5">
    <w:nsid w:val="3352255A"/>
    <w:multiLevelType w:val="hybridMultilevel"/>
    <w:lvl w:ilvl="0">
      <w:lvlJc w:val="left"/>
      <w:lvlText w:val="%1"/>
      <w:numFmt w:val="upperLetter"/>
      <w:start w:val="1"/>
    </w:lvl>
    <w:lvl w:ilvl="1">
      <w:lvlJc w:val="left"/>
      <w:lvlText w:val="%2."/>
      <w:numFmt w:val="lowerLetter"/>
      <w:start w:val="1"/>
    </w:lvl>
  </w:abstractNum>
  <w:abstractNum w:abstractNumId="6">
    <w:nsid w:val="109CF92E"/>
    <w:multiLevelType w:val="hybridMultilevel"/>
    <w:lvl w:ilvl="0">
      <w:lvlJc w:val="left"/>
      <w:lvlText w:val="%1"/>
      <w:numFmt w:val="upperLetter"/>
      <w:start w:val="1"/>
    </w:lvl>
    <w:lvl w:ilvl="1">
      <w:lvlJc w:val="left"/>
      <w:lvlText w:val="%2."/>
      <w:numFmt w:val="lowerLetter"/>
      <w:start w:val="1"/>
    </w:lvl>
  </w:abstractNum>
  <w:abstractNum w:abstractNumId="7">
    <w:nsid w:val="DED7263"/>
    <w:multiLevelType w:val="hybridMultilevel"/>
    <w:lvl w:ilvl="0">
      <w:lvlJc w:val="left"/>
      <w:lvlText w:val="%1."/>
      <w:numFmt w:val="upperLetter"/>
      <w:start w:val="61"/>
    </w:lvl>
    <w:lvl w:ilvl="1">
      <w:lvlJc w:val="left"/>
      <w:lvlText w:val="%2."/>
      <w:numFmt w:val="lowerLetter"/>
      <w:start w:val="1"/>
    </w:lvl>
  </w:abstractNum>
  <w:abstractNum w:abstractNumId="8">
    <w:nsid w:val="7FDCC233"/>
    <w:multiLevelType w:val="hybridMultilevel"/>
    <w:lvl w:ilvl="0">
      <w:lvlJc w:val="left"/>
      <w:lvlText w:val="%1."/>
      <w:numFmt w:val="upperLetter"/>
      <w:start w:val="22"/>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2022-08-04T07:35:00Z</dcterms:created>
  <dcterms:modified xsi:type="dcterms:W3CDTF">2022-08-04T07:35:00Z</dcterms:modified>
</cp:coreProperties>
</file>