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80" w:space="28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LANDMARK DIVIDEND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N. CONTINENTAL BLVD.</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EL SEGUNDO</w:t>
            </w:r>
          </w:p>
        </w:tc>
        <w:tc>
          <w:tcPr>
            <w:tcW w:w="880" w:type="dxa"/>
            <w:vAlign w:val="bottom"/>
          </w:tcPr>
          <w:p>
            <w:pPr>
              <w:ind w:left="6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90245</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Landmark Infrastructure Partners LP </w:t>
              </w:r>
            </w:hyperlink>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restart"/>
          </w:tcPr>
          <w:p>
            <w:pPr>
              <w:ind w:left="140"/>
              <w:spacing w:after="0" w:line="54" w:lineRule="exact"/>
              <w:rPr>
                <w:sz w:val="20"/>
                <w:szCs w:val="20"/>
                <w:color w:val="auto"/>
              </w:rPr>
            </w:pPr>
            <w:r>
              <w:rPr>
                <w:rFonts w:ascii="Arial" w:cs="Arial" w:eastAsia="Arial" w:hAnsi="Arial"/>
                <w:sz w:val="6"/>
                <w:szCs w:val="6"/>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1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LMRK </w:t>
              </w:r>
              <w:r>
                <w:rPr>
                  <w:rFonts w:ascii="Arial" w:cs="Arial" w:eastAsia="Arial" w:hAnsi="Arial"/>
                  <w:sz w:val="1"/>
                  <w:szCs w:val="1"/>
                  <w:color w:val="000000"/>
                </w:rPr>
                <w:t>]</w:t>
              </w:r>
            </w:hyperlink>
          </w:p>
        </w:tc>
        <w:tc>
          <w:tcPr>
            <w:tcW w:w="6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7"/>
        </w:trPr>
        <w:tc>
          <w:tcPr>
            <w:tcW w:w="80" w:type="dxa"/>
            <w:vAlign w:val="bottom"/>
            <w:tcBorders>
              <w:bottom w:val="single" w:sz="8" w:color="2C2C2C"/>
            </w:tcBorders>
          </w:tcPr>
          <w:p>
            <w:pPr>
              <w:spacing w:after="0"/>
              <w:rPr>
                <w:sz w:val="11"/>
                <w:szCs w:val="11"/>
                <w:color w:val="auto"/>
              </w:rPr>
            </w:pPr>
          </w:p>
        </w:tc>
        <w:tc>
          <w:tcPr>
            <w:tcW w:w="3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360" w:type="dxa"/>
            <w:vAlign w:val="bottom"/>
          </w:tcPr>
          <w:p>
            <w:pPr>
              <w:spacing w:after="0"/>
              <w:rPr>
                <w:sz w:val="11"/>
                <w:szCs w:val="11"/>
                <w:color w:val="auto"/>
              </w:rPr>
            </w:pPr>
          </w:p>
        </w:tc>
        <w:tc>
          <w:tcPr>
            <w:tcW w:w="124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220" w:type="dxa"/>
            <w:vAlign w:val="bottom"/>
            <w:gridSpan w:val="2"/>
          </w:tcPr>
          <w:p>
            <w:pPr>
              <w:ind w:left="80"/>
              <w:spacing w:after="0"/>
              <w:rPr>
                <w:sz w:val="20"/>
                <w:szCs w:val="20"/>
                <w:color w:val="auto"/>
              </w:rPr>
            </w:pPr>
            <w:r>
              <w:rPr>
                <w:rFonts w:ascii="Arial" w:cs="Arial" w:eastAsia="Arial" w:hAnsi="Arial"/>
                <w:sz w:val="17"/>
                <w:szCs w:val="17"/>
                <w:color w:val="0000FF"/>
              </w:rPr>
              <w:t>12/22/2021</w:t>
            </w: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31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21" w:lineRule="exact"/>
        <w:rPr>
          <w:sz w:val="20"/>
          <w:szCs w:val="20"/>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5"/>
          </w:tcPr>
          <w:p>
            <w:pPr>
              <w:ind w:left="22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3"/>
                <w:szCs w:val="13"/>
                <w:color w:val="auto"/>
              </w:rPr>
            </w:pP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20" w:type="dxa"/>
            <w:vAlign w:val="bottom"/>
            <w:gridSpan w:val="2"/>
          </w:tcPr>
          <w:p>
            <w:pPr>
              <w:ind w:left="3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jc w:val="right"/>
              <w:ind w:right="101"/>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2"/>
          </w:tcPr>
          <w:p>
            <w:pPr>
              <w:ind w:left="380"/>
              <w:spacing w:after="0" w:line="131"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 or</w:t>
            </w:r>
          </w:p>
        </w:tc>
        <w:tc>
          <w:tcPr>
            <w:tcW w:w="32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122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Indirect (I)</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4"/>
                <w:szCs w:val="14"/>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9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9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0"/>
                <w:szCs w:val="10"/>
                <w:color w:val="auto"/>
              </w:rPr>
            </w:pPr>
          </w:p>
        </w:tc>
        <w:tc>
          <w:tcPr>
            <w:tcW w:w="6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0"/>
                <w:szCs w:val="10"/>
                <w:color w:val="auto"/>
              </w:rPr>
            </w:pPr>
          </w:p>
        </w:tc>
        <w:tc>
          <w:tcPr>
            <w:tcW w:w="168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7"/>
                <w:szCs w:val="17"/>
                <w:color w:val="0000FF"/>
              </w:rPr>
              <w:t>Common Units (Limited Partner</w:t>
            </w:r>
          </w:p>
        </w:tc>
        <w:tc>
          <w:tcPr>
            <w:tcW w:w="1140" w:type="dxa"/>
            <w:vAlign w:val="bottom"/>
            <w:gridSpan w:val="3"/>
            <w:vMerge w:val="restart"/>
          </w:tcPr>
          <w:p>
            <w:pPr>
              <w:ind w:left="340"/>
              <w:spacing w:after="0"/>
              <w:rPr>
                <w:sz w:val="20"/>
                <w:szCs w:val="20"/>
                <w:color w:val="auto"/>
              </w:rPr>
            </w:pPr>
            <w:r>
              <w:rPr>
                <w:rFonts w:ascii="Arial" w:cs="Arial" w:eastAsia="Arial" w:hAnsi="Arial"/>
                <w:sz w:val="17"/>
                <w:szCs w:val="17"/>
                <w:color w:val="0000FF"/>
                <w:w w:val="91"/>
              </w:rPr>
              <w:t>12/22/2021</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vMerge w:val="restart"/>
          </w:tcPr>
          <w:p>
            <w:pPr>
              <w:jc w:val="center"/>
              <w:ind w:left="80"/>
              <w:spacing w:after="0"/>
              <w:rPr>
                <w:sz w:val="20"/>
                <w:szCs w:val="20"/>
                <w:color w:val="auto"/>
              </w:rPr>
            </w:pPr>
            <w:r>
              <w:rPr>
                <w:rFonts w:ascii="Arial" w:cs="Arial" w:eastAsia="Arial" w:hAnsi="Arial"/>
                <w:sz w:val="13"/>
                <w:szCs w:val="13"/>
                <w:color w:val="0000FF"/>
              </w:rPr>
              <w:t>D</w:t>
            </w:r>
          </w:p>
        </w:tc>
        <w:tc>
          <w:tcPr>
            <w:tcW w:w="480" w:type="dxa"/>
            <w:vAlign w:val="bottom"/>
          </w:tcPr>
          <w:p>
            <w:pPr>
              <w:spacing w:after="0"/>
              <w:rPr>
                <w:sz w:val="22"/>
                <w:szCs w:val="22"/>
                <w:color w:val="auto"/>
              </w:rPr>
            </w:pPr>
          </w:p>
        </w:tc>
        <w:tc>
          <w:tcPr>
            <w:tcW w:w="960" w:type="dxa"/>
            <w:vAlign w:val="bottom"/>
            <w:vMerge w:val="restart"/>
          </w:tcPr>
          <w:p>
            <w:pPr>
              <w:ind w:left="120"/>
              <w:spacing w:after="0"/>
              <w:rPr>
                <w:sz w:val="20"/>
                <w:szCs w:val="20"/>
                <w:color w:val="auto"/>
              </w:rPr>
            </w:pPr>
            <w:r>
              <w:rPr>
                <w:rFonts w:ascii="Arial" w:cs="Arial" w:eastAsia="Arial" w:hAnsi="Arial"/>
                <w:sz w:val="17"/>
                <w:szCs w:val="17"/>
                <w:color w:val="0000FF"/>
              </w:rPr>
              <w:t>5,066,408</w:t>
            </w:r>
          </w:p>
        </w:tc>
        <w:tc>
          <w:tcPr>
            <w:tcW w:w="42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600" w:type="dxa"/>
            <w:vAlign w:val="bottom"/>
            <w:vMerge w:val="restart"/>
          </w:tcPr>
          <w:p>
            <w:pPr>
              <w:jc w:val="right"/>
              <w:ind w:right="101"/>
              <w:spacing w:after="0"/>
              <w:rPr>
                <w:sz w:val="20"/>
                <w:szCs w:val="20"/>
                <w:color w:val="auto"/>
              </w:rPr>
            </w:pPr>
            <w:r>
              <w:rPr>
                <w:rFonts w:ascii="Arial" w:cs="Arial" w:eastAsia="Arial" w:hAnsi="Arial"/>
                <w:sz w:val="11"/>
                <w:szCs w:val="11"/>
                <w:color w:val="008000"/>
              </w:rPr>
              <w:t>(1)(2)</w:t>
            </w:r>
          </w:p>
        </w:tc>
        <w:tc>
          <w:tcPr>
            <w:tcW w:w="800" w:type="dxa"/>
            <w:vAlign w:val="bottom"/>
            <w:gridSpan w:val="2"/>
            <w:vMerge w:val="restart"/>
          </w:tcPr>
          <w:p>
            <w:pPr>
              <w:jc w:val="right"/>
              <w:ind w:right="82"/>
              <w:spacing w:after="0"/>
              <w:rPr>
                <w:sz w:val="20"/>
                <w:szCs w:val="20"/>
                <w:color w:val="auto"/>
              </w:rPr>
            </w:pP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900" w:type="dxa"/>
            <w:vAlign w:val="bottom"/>
            <w:vMerge w:val="restart"/>
          </w:tcPr>
          <w:p>
            <w:pPr>
              <w:ind w:left="74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2"/>
                <w:szCs w:val="22"/>
                <w:color w:val="auto"/>
              </w:rPr>
            </w:pPr>
          </w:p>
        </w:tc>
        <w:tc>
          <w:tcPr>
            <w:tcW w:w="420" w:type="dxa"/>
            <w:vAlign w:val="bottom"/>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3"/>
              </w:rPr>
              <w:t>Interests)</w:t>
            </w: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(4)(5)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tcBorders>
              <w:top w:val="single" w:sz="8" w:color="2C2C2C"/>
            </w:tcBorders>
            <w:gridSpan w:val="4"/>
          </w:tcPr>
          <w:p>
            <w:pPr>
              <w:ind w:left="60"/>
              <w:spacing w:after="0"/>
              <w:rPr>
                <w:sz w:val="20"/>
                <w:szCs w:val="20"/>
                <w:color w:val="auto"/>
              </w:rPr>
            </w:pPr>
            <w:r>
              <w:rPr>
                <w:rFonts w:ascii="Arial" w:cs="Arial" w:eastAsia="Arial" w:hAnsi="Arial"/>
                <w:sz w:val="17"/>
                <w:szCs w:val="17"/>
                <w:color w:val="0000FF"/>
              </w:rPr>
              <w:t>Common Units (Limited Partner</w:t>
            </w:r>
          </w:p>
        </w:tc>
        <w:tc>
          <w:tcPr>
            <w:tcW w:w="1140" w:type="dxa"/>
            <w:vAlign w:val="bottom"/>
            <w:tcBorders>
              <w:top w:val="single" w:sz="8" w:color="2C2C2C"/>
            </w:tcBorders>
            <w:gridSpan w:val="3"/>
            <w:vMerge w:val="restart"/>
          </w:tcPr>
          <w:p>
            <w:pPr>
              <w:ind w:left="340"/>
              <w:spacing w:after="0"/>
              <w:rPr>
                <w:sz w:val="20"/>
                <w:szCs w:val="20"/>
                <w:color w:val="auto"/>
              </w:rPr>
            </w:pPr>
            <w:r>
              <w:rPr>
                <w:rFonts w:ascii="Arial" w:cs="Arial" w:eastAsia="Arial" w:hAnsi="Arial"/>
                <w:sz w:val="17"/>
                <w:szCs w:val="17"/>
                <w:color w:val="0000FF"/>
                <w:w w:val="91"/>
              </w:rPr>
              <w:t>12/22/2021</w:t>
            </w:r>
          </w:p>
        </w:tc>
        <w:tc>
          <w:tcPr>
            <w:tcW w:w="4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jc w:val="center"/>
              <w:ind w:left="80"/>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(1)</w:t>
            </w:r>
          </w:p>
        </w:tc>
        <w:tc>
          <w:tcPr>
            <w:tcW w:w="48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0000FF"/>
              </w:rPr>
              <w:t>20,422,584</w:t>
            </w:r>
          </w:p>
        </w:tc>
        <w:tc>
          <w:tcPr>
            <w:tcW w:w="420" w:type="dxa"/>
            <w:vAlign w:val="bottom"/>
            <w:tcBorders>
              <w:top w:val="single" w:sz="8" w:color="2C2C2C"/>
            </w:tcBorders>
            <w:vMerge w:val="restart"/>
          </w:tcPr>
          <w:p>
            <w:pPr>
              <w:ind w:left="140"/>
              <w:spacing w:after="0"/>
              <w:rPr>
                <w:sz w:val="20"/>
                <w:szCs w:val="20"/>
                <w:color w:val="auto"/>
              </w:rPr>
            </w:pPr>
            <w:r>
              <w:rPr>
                <w:rFonts w:ascii="Arial" w:cs="Arial" w:eastAsia="Arial" w:hAnsi="Arial"/>
                <w:sz w:val="17"/>
                <w:szCs w:val="17"/>
                <w:color w:val="0000FF"/>
              </w:rPr>
              <w:t>A</w:t>
            </w:r>
          </w:p>
        </w:tc>
        <w:tc>
          <w:tcPr>
            <w:tcW w:w="600" w:type="dxa"/>
            <w:vAlign w:val="bottom"/>
            <w:tcBorders>
              <w:top w:val="single" w:sz="8" w:color="2C2C2C"/>
            </w:tcBorders>
            <w:vMerge w:val="restart"/>
          </w:tcPr>
          <w:p>
            <w:pPr>
              <w:jc w:val="right"/>
              <w:ind w:right="101"/>
              <w:spacing w:after="0"/>
              <w:rPr>
                <w:sz w:val="20"/>
                <w:szCs w:val="20"/>
                <w:color w:val="auto"/>
              </w:rPr>
            </w:pPr>
            <w:r>
              <w:rPr>
                <w:rFonts w:ascii="Arial" w:cs="Arial" w:eastAsia="Arial" w:hAnsi="Arial"/>
                <w:sz w:val="11"/>
                <w:szCs w:val="11"/>
                <w:color w:val="008000"/>
              </w:rPr>
              <w:t>(1)(2)</w:t>
            </w:r>
          </w:p>
        </w:tc>
        <w:tc>
          <w:tcPr>
            <w:tcW w:w="800" w:type="dxa"/>
            <w:vAlign w:val="bottom"/>
            <w:tcBorders>
              <w:top w:val="single" w:sz="8" w:color="2C2C2C"/>
            </w:tcBorders>
            <w:gridSpan w:val="2"/>
            <w:vMerge w:val="restart"/>
          </w:tcPr>
          <w:p>
            <w:pPr>
              <w:jc w:val="right"/>
              <w:ind w:right="82"/>
              <w:spacing w:after="0"/>
              <w:rPr>
                <w:sz w:val="20"/>
                <w:szCs w:val="20"/>
                <w:color w:val="auto"/>
              </w:rPr>
            </w:pP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900" w:type="dxa"/>
            <w:vAlign w:val="bottom"/>
            <w:tcBorders>
              <w:top w:val="single" w:sz="8" w:color="2C2C2C"/>
            </w:tcBorders>
            <w:vMerge w:val="restart"/>
          </w:tcPr>
          <w:p>
            <w:pPr>
              <w:ind w:left="74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3"/>
              </w:rPr>
              <w:t>Interests)</w:t>
            </w: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8"/>
              </w:rPr>
              <w:t>Footnotes</w:t>
            </w:r>
            <w:r>
              <w:rPr>
                <w:rFonts w:ascii="Arial" w:cs="Arial" w:eastAsia="Arial" w:hAnsi="Arial"/>
                <w:sz w:val="22"/>
                <w:szCs w:val="22"/>
                <w:color w:val="008000"/>
                <w:w w:val="98"/>
                <w:vertAlign w:val="superscript"/>
              </w:rPr>
              <w:t>(4)(5)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60" w:type="dxa"/>
            <w:vAlign w:val="bottom"/>
            <w:gridSpan w:val="18"/>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60" w:type="dxa"/>
            <w:vAlign w:val="bottom"/>
            <w:gridSpan w:val="15"/>
          </w:tcPr>
          <w:p>
            <w:pPr>
              <w:jc w:val="center"/>
              <w:ind w:right="40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4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6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LANDMARK DIVIDEND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400 N. CONTINENTAL BLVD.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EL SEGUNDO</w:t>
            </w:r>
          </w:p>
        </w:tc>
        <w:tc>
          <w:tcPr>
            <w:tcW w:w="118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90245</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-3531870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Digital LD Management / Non-REIT Holdings,</w:t>
        </w:r>
      </w:hyperlink>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LP</w:t>
        </w:r>
      </w:hyperlink>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750 PARK OF COMMERCE DRIVE, SUITE 210</w:t>
      </w:r>
    </w:p>
    <w:p>
      <w:pPr>
        <w:spacing w:after="0" w:line="35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BOCA RATON</w:t>
            </w:r>
          </w:p>
        </w:tc>
        <w:tc>
          <w:tcPr>
            <w:tcW w:w="1040" w:type="dxa"/>
            <w:vAlign w:val="bottom"/>
          </w:tcPr>
          <w:p>
            <w:pPr>
              <w:ind w:left="140"/>
              <w:spacing w:after="0"/>
              <w:rPr>
                <w:sz w:val="20"/>
                <w:szCs w:val="20"/>
                <w:color w:val="auto"/>
              </w:rPr>
            </w:pPr>
            <w:r>
              <w:rPr>
                <w:rFonts w:ascii="Arial" w:cs="Arial" w:eastAsia="Arial" w:hAnsi="Arial"/>
                <w:sz w:val="17"/>
                <w:szCs w:val="17"/>
                <w:color w:val="0000FF"/>
              </w:rPr>
              <w:t>FL</w:t>
            </w:r>
          </w:p>
        </w:tc>
        <w:tc>
          <w:tcPr>
            <w:tcW w:w="1860" w:type="dxa"/>
            <w:vAlign w:val="bottom"/>
          </w:tcPr>
          <w:p>
            <w:pPr>
              <w:ind w:left="500"/>
              <w:spacing w:after="0"/>
              <w:rPr>
                <w:sz w:val="20"/>
                <w:szCs w:val="20"/>
                <w:color w:val="auto"/>
              </w:rPr>
            </w:pPr>
            <w:r>
              <w:rPr>
                <w:rFonts w:ascii="Arial" w:cs="Arial" w:eastAsia="Arial" w:hAnsi="Arial"/>
                <w:sz w:val="17"/>
                <w:szCs w:val="17"/>
                <w:color w:val="0000FF"/>
              </w:rPr>
              <w:t>33487</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Digital LD GP, LLC</w:t>
        </w:r>
      </w:hyperlink>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750 PARK OF COMMERCE DRIVE, SUITE 210</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BOCA RATON</w:t>
            </w:r>
          </w:p>
        </w:tc>
        <w:tc>
          <w:tcPr>
            <w:tcW w:w="1040" w:type="dxa"/>
            <w:vAlign w:val="bottom"/>
          </w:tcPr>
          <w:p>
            <w:pPr>
              <w:ind w:left="140"/>
              <w:spacing w:after="0"/>
              <w:rPr>
                <w:sz w:val="20"/>
                <w:szCs w:val="20"/>
                <w:color w:val="auto"/>
              </w:rPr>
            </w:pPr>
            <w:r>
              <w:rPr>
                <w:rFonts w:ascii="Arial" w:cs="Arial" w:eastAsia="Arial" w:hAnsi="Arial"/>
                <w:sz w:val="17"/>
                <w:szCs w:val="17"/>
                <w:color w:val="0000FF"/>
              </w:rPr>
              <w:t>FL</w:t>
            </w:r>
          </w:p>
        </w:tc>
        <w:tc>
          <w:tcPr>
            <w:tcW w:w="1860" w:type="dxa"/>
            <w:vAlign w:val="bottom"/>
          </w:tcPr>
          <w:p>
            <w:pPr>
              <w:ind w:left="500"/>
              <w:spacing w:after="0"/>
              <w:rPr>
                <w:sz w:val="20"/>
                <w:szCs w:val="20"/>
                <w:color w:val="auto"/>
              </w:rPr>
            </w:pPr>
            <w:r>
              <w:rPr>
                <w:rFonts w:ascii="Arial" w:cs="Arial" w:eastAsia="Arial" w:hAnsi="Arial"/>
                <w:sz w:val="17"/>
                <w:szCs w:val="17"/>
                <w:color w:val="0000FF"/>
              </w:rPr>
              <w:t>33487</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DCP II LD Management / Non-REIT HoldCo,</w:t>
        </w:r>
      </w:hyperlink>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LP</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750 PARK OF COMMERCE DRIVE, SUITE 210</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BOCA RATON</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FL</w:t>
            </w:r>
          </w:p>
        </w:tc>
        <w:tc>
          <w:tcPr>
            <w:tcW w:w="1500" w:type="dxa"/>
            <w:vAlign w:val="bottom"/>
          </w:tcPr>
          <w:p>
            <w:pPr>
              <w:ind w:left="140"/>
              <w:spacing w:after="0"/>
              <w:rPr>
                <w:sz w:val="20"/>
                <w:szCs w:val="20"/>
                <w:color w:val="auto"/>
              </w:rPr>
            </w:pPr>
            <w:r>
              <w:rPr>
                <w:rFonts w:ascii="Arial" w:cs="Arial" w:eastAsia="Arial" w:hAnsi="Arial"/>
                <w:sz w:val="17"/>
                <w:szCs w:val="17"/>
                <w:color w:val="0000FF"/>
              </w:rPr>
              <w:t>33487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Digital LD HoldCo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750 PARK OF COMMERCE DRIVE, SUITE 210</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BOCA RATON</w:t>
            </w:r>
          </w:p>
        </w:tc>
        <w:tc>
          <w:tcPr>
            <w:tcW w:w="1520" w:type="dxa"/>
            <w:vAlign w:val="bottom"/>
            <w:gridSpan w:val="2"/>
          </w:tcPr>
          <w:p>
            <w:pPr>
              <w:ind w:left="140"/>
              <w:spacing w:after="0"/>
              <w:rPr>
                <w:sz w:val="20"/>
                <w:szCs w:val="20"/>
                <w:color w:val="auto"/>
              </w:rPr>
            </w:pPr>
            <w:r>
              <w:rPr>
                <w:rFonts w:ascii="Arial" w:cs="Arial" w:eastAsia="Arial" w:hAnsi="Arial"/>
                <w:sz w:val="17"/>
                <w:szCs w:val="17"/>
                <w:color w:val="0000FF"/>
              </w:rPr>
              <w:t>FL</w:t>
            </w:r>
          </w:p>
        </w:tc>
        <w:tc>
          <w:tcPr>
            <w:tcW w:w="1380" w:type="dxa"/>
            <w:vAlign w:val="bottom"/>
          </w:tcPr>
          <w:p>
            <w:pPr>
              <w:ind w:left="20"/>
              <w:spacing w:after="0"/>
              <w:rPr>
                <w:sz w:val="20"/>
                <w:szCs w:val="20"/>
                <w:color w:val="auto"/>
              </w:rPr>
            </w:pPr>
            <w:r>
              <w:rPr>
                <w:rFonts w:ascii="Arial" w:cs="Arial" w:eastAsia="Arial" w:hAnsi="Arial"/>
                <w:sz w:val="17"/>
                <w:szCs w:val="17"/>
                <w:color w:val="0000FF"/>
              </w:rPr>
              <w:t>33487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8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Digital Colony II (DE AIV),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750 PARK OF COMMERCE DRIVE, SUITE 210</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BOCA RATON</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FL</w:t>
            </w:r>
          </w:p>
        </w:tc>
        <w:tc>
          <w:tcPr>
            <w:tcW w:w="1500" w:type="dxa"/>
            <w:vAlign w:val="bottom"/>
          </w:tcPr>
          <w:p>
            <w:pPr>
              <w:ind w:left="140"/>
              <w:spacing w:after="0"/>
              <w:rPr>
                <w:sz w:val="20"/>
                <w:szCs w:val="20"/>
                <w:color w:val="auto"/>
              </w:rPr>
            </w:pPr>
            <w:r>
              <w:rPr>
                <w:rFonts w:ascii="Arial" w:cs="Arial" w:eastAsia="Arial" w:hAnsi="Arial"/>
                <w:sz w:val="17"/>
                <w:szCs w:val="17"/>
                <w:color w:val="0000FF"/>
              </w:rPr>
              <w:t>33487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2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Digital Colony II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750 PARK OF COMMERCE DRIVE, SUITE 210</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BOCA RATON</w:t>
            </w:r>
          </w:p>
        </w:tc>
        <w:tc>
          <w:tcPr>
            <w:tcW w:w="1420" w:type="dxa"/>
            <w:vAlign w:val="bottom"/>
            <w:gridSpan w:val="2"/>
          </w:tcPr>
          <w:p>
            <w:pPr>
              <w:ind w:left="140"/>
              <w:spacing w:after="0"/>
              <w:rPr>
                <w:sz w:val="20"/>
                <w:szCs w:val="20"/>
                <w:color w:val="auto"/>
              </w:rPr>
            </w:pPr>
            <w:r>
              <w:rPr>
                <w:rFonts w:ascii="Arial" w:cs="Arial" w:eastAsia="Arial" w:hAnsi="Arial"/>
                <w:sz w:val="17"/>
                <w:szCs w:val="17"/>
                <w:color w:val="0000FF"/>
              </w:rPr>
              <w:t>FL</w:t>
            </w:r>
          </w:p>
        </w:tc>
        <w:tc>
          <w:tcPr>
            <w:tcW w:w="1480" w:type="dxa"/>
            <w:vAlign w:val="bottom"/>
          </w:tcPr>
          <w:p>
            <w:pPr>
              <w:ind w:left="120"/>
              <w:spacing w:after="0"/>
              <w:rPr>
                <w:sz w:val="20"/>
                <w:szCs w:val="20"/>
                <w:color w:val="auto"/>
              </w:rPr>
            </w:pPr>
            <w:r>
              <w:rPr>
                <w:rFonts w:ascii="Arial" w:cs="Arial" w:eastAsia="Arial" w:hAnsi="Arial"/>
                <w:sz w:val="17"/>
                <w:szCs w:val="17"/>
                <w:color w:val="0000FF"/>
              </w:rPr>
              <w:t>33487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80" w:type="dxa"/>
            <w:vAlign w:val="bottom"/>
            <w:gridSpan w:val="3"/>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Colony DCP II HoldCo,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750 PARK OF COMMERCE DRIVE, SUITE 210</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BOCA RATON</w:t>
            </w:r>
          </w:p>
        </w:tc>
        <w:tc>
          <w:tcPr>
            <w:tcW w:w="1040" w:type="dxa"/>
            <w:vAlign w:val="bottom"/>
          </w:tcPr>
          <w:p>
            <w:pPr>
              <w:ind w:left="140"/>
              <w:spacing w:after="0"/>
              <w:rPr>
                <w:sz w:val="20"/>
                <w:szCs w:val="20"/>
                <w:color w:val="auto"/>
              </w:rPr>
            </w:pPr>
            <w:r>
              <w:rPr>
                <w:rFonts w:ascii="Arial" w:cs="Arial" w:eastAsia="Arial" w:hAnsi="Arial"/>
                <w:sz w:val="17"/>
                <w:szCs w:val="17"/>
                <w:color w:val="0000FF"/>
              </w:rPr>
              <w:t>FL</w:t>
            </w:r>
          </w:p>
        </w:tc>
        <w:tc>
          <w:tcPr>
            <w:tcW w:w="1860" w:type="dxa"/>
            <w:vAlign w:val="bottom"/>
          </w:tcPr>
          <w:p>
            <w:pPr>
              <w:ind w:left="500"/>
              <w:spacing w:after="0"/>
              <w:rPr>
                <w:sz w:val="20"/>
                <w:szCs w:val="20"/>
                <w:color w:val="auto"/>
              </w:rPr>
            </w:pPr>
            <w:r>
              <w:rPr>
                <w:rFonts w:ascii="Arial" w:cs="Arial" w:eastAsia="Arial" w:hAnsi="Arial"/>
                <w:sz w:val="17"/>
                <w:szCs w:val="17"/>
                <w:color w:val="0000FF"/>
              </w:rPr>
              <w:t>33487</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3">
        <w:r>
          <w:rPr>
            <w:rFonts w:ascii="Arial" w:cs="Arial" w:eastAsia="Arial" w:hAnsi="Arial"/>
            <w:sz w:val="21"/>
            <w:szCs w:val="21"/>
            <w:u w:val="single" w:color="auto"/>
            <w:color w:val="0000EE"/>
          </w:rPr>
          <w:t>DigitalBridge Operating Company, LLC</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9979"/>
          </w:cols>
          <w:pgMar w:left="480" w:top="179" w:right="1440" w:bottom="0" w:gutter="0" w:footer="0" w:header="0"/>
        </w:sectPr>
      </w:pPr>
    </w:p>
    <w:p>
      <w:pPr>
        <w:spacing w:after="0" w:line="69"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750 PARK OF COMMERCE DRIVE, SUITE 210</w:t>
      </w:r>
    </w:p>
    <w:p>
      <w:pPr>
        <w:sectPr>
          <w:pgSz w:w="11900" w:h="16838" w:orient="portrait"/>
          <w:cols w:equalWidth="0" w:num="1">
            <w:col w:w="9979"/>
          </w:cols>
          <w:pgMar w:left="480" w:top="179"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0"/>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BOCA RATON</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FL</w:t>
            </w:r>
          </w:p>
        </w:tc>
        <w:tc>
          <w:tcPr>
            <w:tcW w:w="1500" w:type="dxa"/>
            <w:vAlign w:val="bottom"/>
          </w:tcPr>
          <w:p>
            <w:pPr>
              <w:ind w:left="140"/>
              <w:spacing w:after="0"/>
              <w:rPr>
                <w:sz w:val="20"/>
                <w:szCs w:val="20"/>
                <w:color w:val="auto"/>
              </w:rPr>
            </w:pPr>
            <w:r>
              <w:rPr>
                <w:rFonts w:ascii="Arial" w:cs="Arial" w:eastAsia="Arial" w:hAnsi="Arial"/>
                <w:sz w:val="17"/>
                <w:szCs w:val="17"/>
                <w:color w:val="0000FF"/>
              </w:rPr>
              <w:t>33487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4">
              <w:r>
                <w:rPr>
                  <w:rFonts w:ascii="Arial" w:cs="Arial" w:eastAsia="Arial" w:hAnsi="Arial"/>
                  <w:sz w:val="21"/>
                  <w:szCs w:val="21"/>
                  <w:color w:val="0000EE"/>
                </w:rPr>
                <w:t>DigitalBridge Group, Inc.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289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2809240" cy="228917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0000FF"/>
        </w:rPr>
        <w:t>750 PARK OF COMMERCE DRIVE, SUITE 210</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BOCA RATON</w:t>
            </w:r>
          </w:p>
        </w:tc>
        <w:tc>
          <w:tcPr>
            <w:tcW w:w="1040" w:type="dxa"/>
            <w:vAlign w:val="bottom"/>
          </w:tcPr>
          <w:p>
            <w:pPr>
              <w:ind w:left="140"/>
              <w:spacing w:after="0"/>
              <w:rPr>
                <w:sz w:val="20"/>
                <w:szCs w:val="20"/>
                <w:color w:val="auto"/>
              </w:rPr>
            </w:pPr>
            <w:r>
              <w:rPr>
                <w:rFonts w:ascii="Arial" w:cs="Arial" w:eastAsia="Arial" w:hAnsi="Arial"/>
                <w:sz w:val="17"/>
                <w:szCs w:val="17"/>
                <w:color w:val="0000FF"/>
              </w:rPr>
              <w:t>FL</w:t>
            </w:r>
          </w:p>
        </w:tc>
        <w:tc>
          <w:tcPr>
            <w:tcW w:w="1860" w:type="dxa"/>
            <w:vAlign w:val="bottom"/>
          </w:tcPr>
          <w:p>
            <w:pPr>
              <w:ind w:left="500"/>
              <w:spacing w:after="0"/>
              <w:rPr>
                <w:sz w:val="20"/>
                <w:szCs w:val="20"/>
                <w:color w:val="auto"/>
              </w:rPr>
            </w:pPr>
            <w:r>
              <w:rPr>
                <w:rFonts w:ascii="Arial" w:cs="Arial" w:eastAsia="Arial" w:hAnsi="Arial"/>
                <w:sz w:val="17"/>
                <w:szCs w:val="17"/>
                <w:color w:val="0000FF"/>
              </w:rPr>
              <w:t>33487</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20" w:firstLine="7"/>
        <w:spacing w:after="0" w:line="241"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22, 2021, pursuant to that certain Transaction Agreement (as amended, the "Transaction Agreement") dated as of August 21, 2021, by and among the Issuer, its related parties thereto, and LM DV Infrastructure, LLC ("LM DV Infra"), LM Infra Acquisition Company, LLC ("LM Infra"), Digital LD MergerCo LLC ("Merger Sub"), and Digital LD MergerCo II LLC ("Merger Sub II"), LM Infra completed its previously announced acquisition of all of the assets of the Issuer through a series of transactions culminating in (a) Merger Sub II merging with and into the Issuer with the Issuer surviving and (b) the Issuer then merging with and into Merger Sub with Merger Sub surviving and becoming a wholly owned subsidiary of LM Infra (together, the "Merger"). In connection with the Merger, each Common Unit of the Issuer held by the public (other than Common Units of the Issuer held by Landmark Dividend LLC and its affiliates) automatically converted into the right to receive $16.50 in cash.</w:t>
      </w:r>
    </w:p>
    <w:p>
      <w:pPr>
        <w:spacing w:after="0" w:line="32" w:lineRule="exact"/>
        <w:rPr>
          <w:rFonts w:ascii="Arial" w:cs="Arial" w:eastAsia="Arial" w:hAnsi="Arial"/>
          <w:sz w:val="13"/>
          <w:szCs w:val="13"/>
          <w:color w:val="008000"/>
        </w:rPr>
      </w:pPr>
    </w:p>
    <w:p>
      <w:pPr>
        <w:ind w:left="20" w:right="2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connection with the Merger, each Common Unit of the Issuer held by Landmark Dividend LLC and all incentive distribution rights were converted into an equity sales note in the principal amount of $83,595,732, issued by LM DV Infra in favor of Landmark Infrastructure Inc. and REIT LLC (or their designees).</w:t>
      </w:r>
    </w:p>
    <w:p>
      <w:pPr>
        <w:spacing w:after="0" w:line="1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All of the Issuer's Common Units were canceled in the Merger.</w:t>
      </w:r>
    </w:p>
    <w:p>
      <w:pPr>
        <w:spacing w:after="0" w:line="50" w:lineRule="exact"/>
        <w:rPr>
          <w:rFonts w:ascii="Arial" w:cs="Arial" w:eastAsia="Arial" w:hAnsi="Arial"/>
          <w:sz w:val="13"/>
          <w:szCs w:val="13"/>
          <w:color w:val="008000"/>
        </w:rPr>
      </w:pPr>
    </w:p>
    <w:p>
      <w:pPr>
        <w:ind w:left="20" w:right="10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securities held by Landmark Dividend LLC and its affiliated entities. Landmark Dividend LLC is wholly owned by Digital LD Management / Non-REIT Holdings, LP. The general partner of Digital LD Management / Non-REIT Holdings, LP is Digital LD GP, LLC. Digital LD GP, LLC is wholly owned by DCP II LD Management / Non-REIT HoldCo, LP. The general partner of DCP II LD Management / Non-REIT HoldCo, LP is Digital LD HoldCo GP, LLC. Digital LD HoldCo GP, LLC is wholly owned by Digital Colony II (DE AIV), LP. The general partner of Digital Colony II (DE AIV), LP is Digital Colony II GP, LLC. Colony DCP II HoldCo, LLC is the sole owner of equity interests in Digital Colony II GP, LLC and DigitalBridge Operating Company, LLC is the sole owner of equity interests in Colony DCP II HoldCo, LLC. The managing member of DigitalBridge Operating Company, LLC is DigitalBridge Group, Inc.</w:t>
      </w:r>
    </w:p>
    <w:p>
      <w:pPr>
        <w:spacing w:after="0" w:line="29"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to the extent it directly holds securities reported herein) disclaims beneficial ownership of the securities held by the other Reporting Persons, except to the extent of such Reporting Person's pecuniary interest therein, and, pursuant to Rule 16a-1(a)(4) under the Securities Exchange Act of 1934, as amended (the "Exchange Act"), each of the Reporting Persons (other than to the extent it directly holds securities reported herein) states that the inclusion of these securities in this report shall not be deemed an admission of beneficial ownership of all of the reported securities for purposes of Section 16 or for any other purpose.</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right="20"/>
        <w:spacing w:after="0" w:line="266" w:lineRule="auto"/>
        <w:rPr>
          <w:sz w:val="20"/>
          <w:szCs w:val="20"/>
          <w:color w:val="auto"/>
        </w:rPr>
      </w:pPr>
      <w:r>
        <w:rPr>
          <w:rFonts w:ascii="Arial" w:cs="Arial" w:eastAsia="Arial" w:hAnsi="Arial"/>
          <w:sz w:val="13"/>
          <w:szCs w:val="13"/>
          <w:color w:val="008000"/>
        </w:rPr>
        <w:t>The Reporting Persons are jointly filing this Form 4 pursuant to Rule 16a-3(j) under the Exchange Act. Information with respect to each of the Reporting Persons is given solely by such Reporting Person, and no Reporting Person has responsibility for the accuracy or completeness of information supplied by another Reporting Person.</w:t>
      </w:r>
    </w:p>
    <w:p>
      <w:pPr>
        <w:sectPr>
          <w:pgSz w:w="11900" w:h="16838" w:orient="portrait"/>
          <w:cols w:equalWidth="0" w:num="1">
            <w:col w:w="10900"/>
          </w:cols>
          <w:pgMar w:left="480" w:top="140" w:right="519" w:bottom="0" w:gutter="0" w:footer="0" w:header="0"/>
        </w:sectPr>
      </w:pPr>
    </w:p>
    <w:p>
      <w:pPr>
        <w:spacing w:after="0" w:line="4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LANDMARK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00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LLC By: /s/ George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8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1988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Name: George Doyle,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DIGITAL 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6115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6115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MANAGEMENT /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50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REIT HOLDINGS,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92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192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Digital LD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72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33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Geoffrey Goldschein,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19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27190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Geoffrey Goldschein,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28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38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63817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DIGITAL LD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439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24396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Geoffrey Goldschein,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826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0826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Name: Geoffrey Goldschein,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19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27190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997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DCP II LD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106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5" w:lineRule="exact"/>
        <w:rPr>
          <w:sz w:val="20"/>
          <w:szCs w:val="20"/>
          <w:color w:val="auto"/>
        </w:rPr>
      </w:pPr>
    </w:p>
    <w:p>
      <w:pPr>
        <w:ind w:left="6560" w:right="60" w:firstLine="9"/>
        <w:spacing w:after="0" w:line="285" w:lineRule="auto"/>
        <w:tabs>
          <w:tab w:leader="none" w:pos="6651" w:val="left"/>
        </w:tabs>
        <w:numPr>
          <w:ilvl w:val="0"/>
          <w:numId w:val="3"/>
        </w:numPr>
        <w:rPr>
          <w:rFonts w:ascii="Arial" w:cs="Arial" w:eastAsia="Arial" w:hAnsi="Arial"/>
          <w:sz w:val="16"/>
          <w:szCs w:val="16"/>
          <w:color w:val="0000FF"/>
        </w:rPr>
      </w:pPr>
      <w:r>
        <w:rPr>
          <w:rFonts w:ascii="Arial" w:cs="Arial" w:eastAsia="Arial" w:hAnsi="Arial"/>
          <w:sz w:val="16"/>
          <w:szCs w:val="16"/>
          <w:color w:val="0000FF"/>
        </w:rPr>
        <w:t>NON-REIT HOLDCO, LP, By: Digital LD HoldCo GP, LLC, its general partner, By: /s/ Geoffrey Goldschein, Name: Geoffrey Goldschein, 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-720725</wp:posOffset>
            </wp:positionV>
            <wp:extent cx="12617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26174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-585470</wp:posOffset>
            </wp:positionV>
            <wp:extent cx="12255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22555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-450215</wp:posOffset>
            </wp:positionV>
            <wp:extent cx="12661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26619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-314960</wp:posOffset>
            </wp:positionV>
            <wp:extent cx="10826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08267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-179705</wp:posOffset>
            </wp:positionV>
            <wp:extent cx="12719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27190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-43815</wp:posOffset>
            </wp:positionV>
            <wp:extent cx="8997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DIGITAL LD HOLDCO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807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8079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LLC, By: /s/ Geoffrey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53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97536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Goldschein, Name: Geoffrey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19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27190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Goldschein, Title: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85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095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DIGITAL COLONY II (DE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344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AIV), LP, By: Digital Colony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right="20" w:firstLine="9"/>
        <w:spacing w:after="0" w:line="312" w:lineRule="auto"/>
        <w:tabs>
          <w:tab w:leader="none" w:pos="6719" w:val="left"/>
        </w:tabs>
        <w:numPr>
          <w:ilvl w:val="0"/>
          <w:numId w:val="4"/>
        </w:numPr>
        <w:rPr>
          <w:rFonts w:ascii="Arial" w:cs="Arial" w:eastAsia="Arial" w:hAnsi="Arial"/>
          <w:sz w:val="15"/>
          <w:szCs w:val="15"/>
          <w:color w:val="0000FF"/>
        </w:rPr>
      </w:pPr>
      <w:r>
        <w:rPr>
          <w:rFonts w:ascii="Arial" w:cs="Arial" w:eastAsia="Arial" w:hAnsi="Arial"/>
          <w:sz w:val="15"/>
          <w:szCs w:val="15"/>
          <w:color w:val="0000FF"/>
        </w:rPr>
        <w:t>GP, LLC, its general partner, By: /s/ Ronald M. Sanders, Name: Ronald M. Sanders, 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-457835</wp:posOffset>
            </wp:positionV>
            <wp:extent cx="10020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00203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-322580</wp:posOffset>
            </wp:positionV>
            <wp:extent cx="11506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15062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-187325</wp:posOffset>
            </wp:positionV>
            <wp:extent cx="11944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19443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-52070</wp:posOffset>
            </wp:positionV>
            <wp:extent cx="13030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DIGITAL COLONY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071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LLC, By: /s/ Ronald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09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Sanders, Name: Ronald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Sanders, 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030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67"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COLONY DCP II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138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LLC, By: /s/ Ronald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09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12/27/2021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12/27/2021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12/27/2021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12/27/2021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12/27/2021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12/27/2021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12/27/2021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0000FF"/>
        </w:rPr>
        <w:t>12/27/2021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640" w:space="120"/>
            <w:col w:w="2140"/>
          </w:cols>
          <w:pgMar w:left="480" w:top="140"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Sanders, Name: Ronald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4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Sanders, 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030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6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DIGITALBRIDGE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8464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OPERATING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18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LLC, By: /s/ Ronald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09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Sanders, Name: Ronald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Sanders, 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152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DIGITALBRIDGE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23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INC., By: /s/ Ronald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04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Sanders, Name: Ronald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Sanders, Title: Executive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3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President,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296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013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601345"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5"/>
          <w:szCs w:val="15"/>
          <w:color w:val="0000FF"/>
        </w:rPr>
        <w:t>12/27/2021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12/27/2021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0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upperLetter"/>
      <w:start w:val="35"/>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12" Type="http://schemas.openxmlformats.org/officeDocument/2006/relationships/hyperlink" Target="http://www.sec.gov/cgi-bin/browse-edgar?action=getcompany&amp;CIK=0001624358" TargetMode="External"/><Relationship Id="rId13" Type="http://schemas.openxmlformats.org/officeDocument/2006/relationships/hyperlink" Target="http://www.sec.gov/cgi-bin/browse-edgar?action=getcompany&amp;CIK=0001615346" TargetMode="External"/><Relationship Id="rId15" Type="http://schemas.openxmlformats.org/officeDocument/2006/relationships/hyperlink" Target="http://www.sec.gov/cgi-bin/browse-edgar?action=getcompany&amp;CIK=0001867191" TargetMode="External"/><Relationship Id="rId16" Type="http://schemas.openxmlformats.org/officeDocument/2006/relationships/hyperlink" Target="http://www.sec.gov/cgi-bin/browse-edgar?action=getcompany&amp;CIK=0001867194" TargetMode="External"/><Relationship Id="rId18" Type="http://schemas.openxmlformats.org/officeDocument/2006/relationships/hyperlink" Target="http://www.sec.gov/cgi-bin/browse-edgar?action=getcompany&amp;CIK=0001867198" TargetMode="External"/><Relationship Id="rId19" Type="http://schemas.openxmlformats.org/officeDocument/2006/relationships/hyperlink" Target="http://www.sec.gov/cgi-bin/browse-edgar?action=getcompany&amp;CIK=0001867193" TargetMode="External"/><Relationship Id="rId20" Type="http://schemas.openxmlformats.org/officeDocument/2006/relationships/hyperlink" Target="http://www.sec.gov/cgi-bin/browse-edgar?action=getcompany&amp;CIK=0001867197" TargetMode="External"/><Relationship Id="rId21" Type="http://schemas.openxmlformats.org/officeDocument/2006/relationships/hyperlink" Target="http://www.sec.gov/cgi-bin/browse-edgar?action=getcompany&amp;CIK=0001867195" TargetMode="External"/><Relationship Id="rId22" Type="http://schemas.openxmlformats.org/officeDocument/2006/relationships/hyperlink" Target="http://www.sec.gov/cgi-bin/browse-edgar?action=getcompany&amp;CIK=0001867271" TargetMode="External"/><Relationship Id="rId23" Type="http://schemas.openxmlformats.org/officeDocument/2006/relationships/hyperlink" Target="http://www.sec.gov/cgi-bin/browse-edgar?action=getcompany&amp;CIK=0001695854" TargetMode="External"/><Relationship Id="rId24" Type="http://schemas.openxmlformats.org/officeDocument/2006/relationships/hyperlink" Target="http://www.sec.gov/cgi-bin/browse-edgar?action=getcompany&amp;CIK=00016796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2021-12-27T15:33:43Z</dcterms:created>
  <dcterms:modified xsi:type="dcterms:W3CDTF">2021-12-27T15:33:43Z</dcterms:modified>
</cp:coreProperties>
</file>