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548640</wp:posOffset>
            </wp:positionV>
            <wp:extent cx="600900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09005" cy="317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612775</wp:posOffset>
            </wp:positionV>
            <wp:extent cx="60090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220"/>
        <w:spacing w:after="0"/>
        <w:rPr>
          <w:sz w:val="20"/>
          <w:szCs w:val="20"/>
          <w:color w:val="auto"/>
        </w:rPr>
      </w:pPr>
      <w:r>
        <w:rPr>
          <w:rFonts w:ascii="Arial" w:cs="Arial" w:eastAsia="Arial" w:hAnsi="Arial"/>
          <w:sz w:val="23"/>
          <w:szCs w:val="23"/>
          <w:b w:val="1"/>
          <w:bCs w:val="1"/>
          <w:color w:val="auto"/>
        </w:rPr>
        <w:t>UNITED STATES</w:t>
      </w:r>
    </w:p>
    <w:p>
      <w:pPr>
        <w:spacing w:after="0" w:line="36" w:lineRule="exact"/>
        <w:rPr>
          <w:sz w:val="24"/>
          <w:szCs w:val="24"/>
          <w:color w:val="auto"/>
        </w:rPr>
      </w:pPr>
    </w:p>
    <w:p>
      <w:pPr>
        <w:jc w:val="center"/>
        <w:ind w:right="-220"/>
        <w:spacing w:after="0"/>
        <w:rPr>
          <w:sz w:val="20"/>
          <w:szCs w:val="20"/>
          <w:color w:val="auto"/>
        </w:rPr>
      </w:pPr>
      <w:r>
        <w:rPr>
          <w:rFonts w:ascii="Arial" w:cs="Arial" w:eastAsia="Arial" w:hAnsi="Arial"/>
          <w:sz w:val="23"/>
          <w:szCs w:val="23"/>
          <w:b w:val="1"/>
          <w:bCs w:val="1"/>
          <w:color w:val="auto"/>
        </w:rPr>
        <w:t>SECURITIES AND EXCHANGE COMMISSION</w:t>
      </w:r>
    </w:p>
    <w:p>
      <w:pPr>
        <w:spacing w:after="0" w:line="85" w:lineRule="exact"/>
        <w:rPr>
          <w:sz w:val="24"/>
          <w:szCs w:val="24"/>
          <w:color w:val="auto"/>
        </w:rPr>
      </w:pPr>
    </w:p>
    <w:p>
      <w:pPr>
        <w:jc w:val="center"/>
        <w:ind w:right="-220"/>
        <w:spacing w:after="0"/>
        <w:rPr>
          <w:sz w:val="20"/>
          <w:szCs w:val="20"/>
          <w:color w:val="auto"/>
        </w:rPr>
      </w:pPr>
      <w:r>
        <w:rPr>
          <w:rFonts w:ascii="Arial" w:cs="Arial" w:eastAsia="Arial" w:hAnsi="Arial"/>
          <w:sz w:val="20"/>
          <w:szCs w:val="20"/>
          <w:b w:val="1"/>
          <w:bCs w:val="1"/>
          <w:color w:val="auto"/>
        </w:rPr>
        <w:t>Washington, D.C. 20549</w:t>
      </w:r>
    </w:p>
    <w:p>
      <w:pPr>
        <w:spacing w:after="0" w:line="100" w:lineRule="exact"/>
        <w:rPr>
          <w:sz w:val="24"/>
          <w:szCs w:val="24"/>
          <w:color w:val="auto"/>
        </w:rPr>
      </w:pPr>
    </w:p>
    <w:p>
      <w:pPr>
        <w:jc w:val="center"/>
        <w:ind w:right="-220"/>
        <w:spacing w:after="0"/>
        <w:rPr>
          <w:sz w:val="20"/>
          <w:szCs w:val="20"/>
          <w:color w:val="auto"/>
        </w:rPr>
      </w:pPr>
      <w:r>
        <w:rPr>
          <w:rFonts w:ascii="Arial" w:cs="Arial" w:eastAsia="Arial" w:hAnsi="Arial"/>
          <w:sz w:val="23"/>
          <w:szCs w:val="23"/>
          <w:b w:val="1"/>
          <w:bCs w:val="1"/>
          <w:color w:val="auto"/>
        </w:rPr>
        <w:t>SCHEDULE 14A</w:t>
      </w:r>
    </w:p>
    <w:p>
      <w:pPr>
        <w:spacing w:after="0" w:line="109" w:lineRule="exact"/>
        <w:rPr>
          <w:sz w:val="24"/>
          <w:szCs w:val="24"/>
          <w:color w:val="auto"/>
        </w:rPr>
      </w:pPr>
    </w:p>
    <w:p>
      <w:pPr>
        <w:jc w:val="center"/>
        <w:ind w:right="-220"/>
        <w:spacing w:after="0"/>
        <w:rPr>
          <w:sz w:val="20"/>
          <w:szCs w:val="20"/>
          <w:color w:val="auto"/>
        </w:rPr>
      </w:pPr>
      <w:r>
        <w:rPr>
          <w:rFonts w:ascii="Arial" w:cs="Arial" w:eastAsia="Arial" w:hAnsi="Arial"/>
          <w:sz w:val="20"/>
          <w:szCs w:val="20"/>
          <w:color w:val="auto"/>
        </w:rPr>
        <w:t>Proxy Statement Pursuant to Section 14(a) of</w:t>
      </w:r>
    </w:p>
    <w:p>
      <w:pPr>
        <w:spacing w:after="0" w:line="16" w:lineRule="exact"/>
        <w:rPr>
          <w:sz w:val="24"/>
          <w:szCs w:val="24"/>
          <w:color w:val="auto"/>
        </w:rPr>
      </w:pPr>
    </w:p>
    <w:p>
      <w:pPr>
        <w:jc w:val="center"/>
        <w:ind w:right="-220"/>
        <w:spacing w:after="0"/>
        <w:rPr>
          <w:sz w:val="20"/>
          <w:szCs w:val="20"/>
          <w:color w:val="auto"/>
        </w:rPr>
      </w:pPr>
      <w:r>
        <w:rPr>
          <w:rFonts w:ascii="Arial" w:cs="Arial" w:eastAsia="Arial" w:hAnsi="Arial"/>
          <w:sz w:val="20"/>
          <w:szCs w:val="20"/>
          <w:color w:val="auto"/>
        </w:rPr>
        <w:t>the Securities Exchange Act of 1934 (Amendment No.         )</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8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6" w:lineRule="exact"/>
        <w:rPr>
          <w:sz w:val="24"/>
          <w:szCs w:val="24"/>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8"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4"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44"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4"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94" w:lineRule="exact"/>
        <w:rPr>
          <w:sz w:val="24"/>
          <w:szCs w:val="24"/>
          <w:color w:val="auto"/>
        </w:rPr>
      </w:pPr>
    </w:p>
    <w:p>
      <w:pPr>
        <w:jc w:val="center"/>
        <w:ind w:right="-220"/>
        <w:spacing w:after="0"/>
        <w:rPr>
          <w:sz w:val="20"/>
          <w:szCs w:val="20"/>
          <w:color w:val="auto"/>
        </w:rPr>
      </w:pPr>
      <w:r>
        <w:rPr>
          <w:rFonts w:ascii="Arial" w:cs="Arial" w:eastAsia="Arial" w:hAnsi="Arial"/>
          <w:sz w:val="23"/>
          <w:szCs w:val="23"/>
          <w:b w:val="1"/>
          <w:bCs w:val="1"/>
          <w:color w:val="auto"/>
        </w:rPr>
        <w:t>DigitalBridge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29845</wp:posOffset>
            </wp:positionV>
            <wp:extent cx="60090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28"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259080</wp:posOffset>
            </wp:positionV>
            <wp:extent cx="60090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9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4" w:lineRule="exact"/>
        <w:rPr>
          <w:sz w:val="24"/>
          <w:szCs w:val="24"/>
          <w:color w:val="auto"/>
        </w:rPr>
      </w:pPr>
    </w:p>
    <w:p>
      <w:pPr>
        <w:ind w:left="340" w:hanging="333"/>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3" w:lineRule="exact"/>
        <w:rPr>
          <w:sz w:val="24"/>
          <w:szCs w:val="24"/>
          <w:color w:val="auto"/>
        </w:rPr>
      </w:pPr>
    </w:p>
    <w:p>
      <w:pPr>
        <w:ind w:left="340" w:hanging="333"/>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44" w:lineRule="exact"/>
        <w:rPr>
          <w:rFonts w:ascii="MS PGothic" w:cs="MS PGothic" w:eastAsia="MS PGothic" w:hAnsi="MS PGothic"/>
          <w:sz w:val="18"/>
          <w:szCs w:val="18"/>
          <w:color w:val="auto"/>
        </w:rPr>
      </w:pPr>
    </w:p>
    <w:p>
      <w:pPr>
        <w:ind w:left="340" w:hanging="333"/>
        <w:spacing w:after="0"/>
        <w:tabs>
          <w:tab w:leader="none" w:pos="3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662305</wp:posOffset>
            </wp:positionV>
            <wp:extent cx="6009005"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9005" cy="241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151765</wp:posOffset>
            </wp:positionV>
            <wp:extent cx="60090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191770</wp:posOffset>
            </wp:positionV>
            <wp:extent cx="6009005"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9005" cy="31750"/>
                    </a:xfrm>
                    <a:prstGeom prst="rect">
                      <a:avLst/>
                    </a:prstGeom>
                    <a:noFill/>
                  </pic:spPr>
                </pic:pic>
              </a:graphicData>
            </a:graphic>
          </wp:anchor>
        </w:drawing>
      </w:r>
    </w:p>
    <w:p>
      <w:pPr>
        <w:sectPr>
          <w:pgSz w:w="11900" w:h="16838" w:orient="portrait"/>
          <w:cols w:equalWidth="0" w:num="1">
            <w:col w:w="9259"/>
          </w:cols>
          <w:pgMar w:left="1200" w:top="625"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-17780</wp:posOffset>
            </wp:positionV>
            <wp:extent cx="6551295" cy="8769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1295" cy="8769350"/>
                    </a:xfrm>
                    <a:prstGeom prst="rect">
                      <a:avLst/>
                    </a:prstGeom>
                    <a:noFill/>
                  </pic:spPr>
                </pic:pic>
              </a:graphicData>
            </a:graphic>
          </wp:anchor>
        </w:drawing>
      </w:r>
    </w:p>
    <w:p>
      <w:pPr>
        <w:sectPr>
          <w:pgSz w:w="11900" w:h="16838" w:orient="portrait"/>
          <w:cols w:equalWidth="0" w:num="1">
            <w:col w:w="9259"/>
          </w:cols>
          <w:pgMar w:left="1200" w:top="487" w:right="1440"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100"/>
        <w:spacing w:after="0"/>
        <w:rPr>
          <w:sz w:val="20"/>
          <w:szCs w:val="20"/>
          <w:color w:val="auto"/>
        </w:rPr>
      </w:pPr>
      <w:r>
        <w:rPr>
          <w:rFonts w:ascii="Arial" w:cs="Arial" w:eastAsia="Arial" w:hAnsi="Arial"/>
          <w:sz w:val="15"/>
          <w:szCs w:val="15"/>
          <w:color w:val="auto"/>
        </w:rPr>
        <w:t>DigitalBridge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-100965</wp:posOffset>
            </wp:positionV>
            <wp:extent cx="1508125" cy="407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08125" cy="40703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5"/>
          <w:szCs w:val="15"/>
          <w:color w:val="auto"/>
        </w:rPr>
        <w:t>750 Park of Commerce Drive</w:t>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5"/>
          <w:szCs w:val="15"/>
          <w:color w:val="auto"/>
        </w:rPr>
        <w:t>Suite 210</w:t>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5"/>
          <w:szCs w:val="15"/>
          <w:color w:val="auto"/>
        </w:rPr>
        <w:t>Boca Raton, Florida 33487</w:t>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5"/>
          <w:szCs w:val="15"/>
          <w:color w:val="auto"/>
        </w:rPr>
        <w:t>(561) 570-4644</w:t>
      </w:r>
    </w:p>
    <w:p>
      <w:pPr>
        <w:spacing w:after="0" w:line="163" w:lineRule="exact"/>
        <w:rPr>
          <w:sz w:val="20"/>
          <w:szCs w:val="20"/>
          <w:color w:val="auto"/>
        </w:rPr>
      </w:pPr>
    </w:p>
    <w:p>
      <w:pPr>
        <w:spacing w:after="0"/>
        <w:rPr>
          <w:sz w:val="20"/>
          <w:szCs w:val="20"/>
          <w:color w:val="auto"/>
        </w:rPr>
      </w:pPr>
      <w:r>
        <w:rPr>
          <w:rFonts w:ascii="Arial" w:cs="Arial" w:eastAsia="Arial" w:hAnsi="Arial"/>
          <w:sz w:val="40"/>
          <w:szCs w:val="40"/>
          <w:color w:val="auto"/>
        </w:rPr>
        <w:t>MESSAGE FROM</w:t>
      </w:r>
    </w:p>
    <w:p>
      <w:pPr>
        <w:spacing w:after="0" w:line="50"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OUR CHAIRPERSON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194945</wp:posOffset>
            </wp:positionV>
            <wp:extent cx="478790" cy="641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8790" cy="6413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35"/>
          <w:szCs w:val="35"/>
          <w:b w:val="1"/>
          <w:bCs w:val="1"/>
          <w:color w:val="001544"/>
        </w:rPr>
        <w:t>To the Stockholders of DigitalBridge Group, Inc.:</w:t>
      </w:r>
    </w:p>
    <w:p>
      <w:pPr>
        <w:spacing w:after="0" w:line="2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It is our pleasure to invite you to the 2025 Annual Meeting of Stockholders (the “2025 Annual Meeting”) of DigitalBridge Group, Inc., a Maryland corporation. The 2025 Annual Meeting will be conducted virtually, via live audio webcast, on May 23, 2025, beginning at 9:00 a.m., Eastern Time. You will be able to attend the virtual 2025 Annual Meeting, vote your shares and submit questions during the meeting via live audio webcast by visiting </w:t>
      </w:r>
      <w:r>
        <w:rPr>
          <w:rFonts w:ascii="Arial" w:cs="Arial" w:eastAsia="Arial" w:hAnsi="Arial"/>
          <w:sz w:val="18"/>
          <w:szCs w:val="18"/>
          <w:color w:val="001544"/>
        </w:rPr>
        <w:t>https://web.lumiconnect.com/286413441</w:t>
      </w:r>
      <w:r>
        <w:rPr>
          <w:rFonts w:ascii="Arial" w:cs="Arial" w:eastAsia="Arial" w:hAnsi="Arial"/>
          <w:sz w:val="18"/>
          <w:szCs w:val="18"/>
          <w:color w:val="000000"/>
        </w:rPr>
        <w:t>, using the passcode and control number as discussed in the enclosed Notice of</w:t>
      </w:r>
      <w:r>
        <w:rPr>
          <w:rFonts w:ascii="Arial" w:cs="Arial" w:eastAsia="Arial" w:hAnsi="Arial"/>
          <w:sz w:val="18"/>
          <w:szCs w:val="18"/>
          <w:color w:val="001544"/>
        </w:rPr>
        <w:t xml:space="preserve"> </w:t>
      </w:r>
      <w:r>
        <w:rPr>
          <w:rFonts w:ascii="Arial" w:cs="Arial" w:eastAsia="Arial" w:hAnsi="Arial"/>
          <w:sz w:val="18"/>
          <w:szCs w:val="18"/>
          <w:color w:val="000000"/>
        </w:rPr>
        <w:t>Annual Meeting of Stockholders.</w:t>
      </w:r>
    </w:p>
    <w:p>
      <w:pPr>
        <w:spacing w:after="0" w:line="17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 sincerely hope that you will be able to attend and participate in the virtual meeting. Whether or not you plan to attend the annual meeting via the live webcast, please authorize a proxy to vote your shares as soon as possible. You may authorize a proxy to vote your shares by mail, telephone or Internet. The proxy card materials provide you with details on how to authorize a proxy to vote by these three methods.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receiving your proxy and thank you for your continued support.</w:t>
      </w:r>
    </w:p>
    <w:p>
      <w:pPr>
        <w:spacing w:after="0" w:line="20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131445</wp:posOffset>
            </wp:positionV>
            <wp:extent cx="1276985" cy="854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6985" cy="85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NANCY A. CURTIN</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Chairperson</w:t>
      </w:r>
    </w:p>
    <w:p>
      <w:pPr>
        <w:spacing w:after="0" w:line="17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April 17, 2025</w:t>
      </w:r>
    </w:p>
    <w:p>
      <w:pPr>
        <w:spacing w:after="0" w:line="1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Boca Raton,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560070</wp:posOffset>
            </wp:positionV>
            <wp:extent cx="6009005"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40"/>
          </w:cols>
          <w:pgMar w:left="1200" w:top="487" w:right="125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548640</wp:posOffset>
            </wp:positionV>
            <wp:extent cx="1508125" cy="407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8125" cy="40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0"/>
          <w:szCs w:val="40"/>
          <w:color w:val="auto"/>
        </w:rPr>
        <w:t>NOTICE OF</w:t>
      </w:r>
    </w:p>
    <w:p>
      <w:pPr>
        <w:spacing w:after="0" w:line="50"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521970</wp:posOffset>
            </wp:positionV>
            <wp:extent cx="382905" cy="335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2905" cy="335280"/>
                    </a:xfrm>
                    <a:prstGeom prst="rect">
                      <a:avLst/>
                    </a:prstGeom>
                    <a:noFill/>
                  </pic:spPr>
                </pic:pic>
              </a:graphicData>
            </a:graphic>
          </wp:anchor>
        </w:drawing>
        <w:drawing>
          <wp:anchor simplePos="0" relativeHeight="251657728" behindDoc="1" locked="0" layoutInCell="0" allowOverlap="1">
            <wp:simplePos x="0" y="0"/>
            <wp:positionH relativeFrom="column">
              <wp:posOffset>1635760</wp:posOffset>
            </wp:positionH>
            <wp:positionV relativeFrom="paragraph">
              <wp:posOffset>426085</wp:posOffset>
            </wp:positionV>
            <wp:extent cx="382905" cy="438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2905" cy="438785"/>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506095</wp:posOffset>
            </wp:positionV>
            <wp:extent cx="382905" cy="358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2905" cy="35877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194945</wp:posOffset>
            </wp:positionV>
            <wp:extent cx="478790" cy="641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8790" cy="64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80" w:type="dxa"/>
            <w:vAlign w:val="bottom"/>
            <w:gridSpan w:val="2"/>
          </w:tcPr>
          <w:p>
            <w:pPr>
              <w:ind w:left="200"/>
              <w:spacing w:after="0"/>
              <w:rPr>
                <w:sz w:val="20"/>
                <w:szCs w:val="20"/>
                <w:color w:val="auto"/>
              </w:rPr>
            </w:pPr>
            <w:r>
              <w:rPr>
                <w:rFonts w:ascii="Arial" w:cs="Arial" w:eastAsia="Arial" w:hAnsi="Arial"/>
                <w:sz w:val="16"/>
                <w:szCs w:val="16"/>
                <w:b w:val="1"/>
                <w:bCs w:val="1"/>
                <w:color w:val="001544"/>
              </w:rPr>
              <w:t>Virtual Meeting</w:t>
            </w: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001544"/>
              </w:rPr>
              <w:t>Date and Time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80" w:type="dxa"/>
            <w:vAlign w:val="bottom"/>
            <w:gridSpan w:val="2"/>
          </w:tcPr>
          <w:p>
            <w:pPr>
              <w:ind w:left="200"/>
              <w:spacing w:after="0"/>
              <w:rPr>
                <w:sz w:val="20"/>
                <w:szCs w:val="20"/>
                <w:color w:val="auto"/>
              </w:rPr>
            </w:pPr>
            <w:r>
              <w:rPr>
                <w:rFonts w:ascii="Arial" w:cs="Arial" w:eastAsia="Arial" w:hAnsi="Arial"/>
                <w:sz w:val="16"/>
                <w:szCs w:val="16"/>
                <w:b w:val="1"/>
                <w:bCs w:val="1"/>
                <w:color w:val="001544"/>
              </w:rPr>
              <w:t>via Live Audio Webcast</w:t>
            </w:r>
          </w:p>
        </w:tc>
        <w:tc>
          <w:tcPr>
            <w:tcW w:w="200" w:type="dxa"/>
            <w:vAlign w:val="bottom"/>
          </w:tcPr>
          <w:p>
            <w:pPr>
              <w:spacing w:after="0"/>
              <w:rPr>
                <w:sz w:val="18"/>
                <w:szCs w:val="18"/>
                <w:color w:val="auto"/>
              </w:rPr>
            </w:pPr>
          </w:p>
        </w:tc>
        <w:tc>
          <w:tcPr>
            <w:tcW w:w="3280" w:type="dxa"/>
            <w:vAlign w:val="bottom"/>
          </w:tcPr>
          <w:p>
            <w:pPr>
              <w:ind w:left="640"/>
              <w:spacing w:after="0"/>
              <w:rPr>
                <w:sz w:val="20"/>
                <w:szCs w:val="20"/>
                <w:color w:val="auto"/>
              </w:rPr>
            </w:pPr>
            <w:r>
              <w:rPr>
                <w:rFonts w:ascii="Arial" w:cs="Arial" w:eastAsia="Arial" w:hAnsi="Arial"/>
                <w:sz w:val="16"/>
                <w:szCs w:val="16"/>
                <w:b w:val="1"/>
                <w:bCs w:val="1"/>
                <w:color w:val="001544"/>
              </w:rPr>
              <w:t>Record Date</w:t>
            </w:r>
          </w:p>
        </w:tc>
        <w:tc>
          <w:tcPr>
            <w:tcW w:w="0" w:type="dxa"/>
            <w:vAlign w:val="bottom"/>
          </w:tcPr>
          <w:p>
            <w:pPr>
              <w:spacing w:after="0"/>
              <w:rPr>
                <w:sz w:val="1"/>
                <w:szCs w:val="1"/>
                <w:color w:val="auto"/>
              </w:rPr>
            </w:pPr>
          </w:p>
        </w:tc>
      </w:tr>
      <w:tr>
        <w:trPr>
          <w:trHeight w:val="43"/>
        </w:trPr>
        <w:tc>
          <w:tcPr>
            <w:tcW w:w="740" w:type="dxa"/>
            <w:vAlign w:val="bottom"/>
            <w:tcBorders>
              <w:bottom w:val="single" w:sz="8" w:color="001544"/>
            </w:tcBorders>
            <w:gridSpan w:val="2"/>
          </w:tcPr>
          <w:p>
            <w:pPr>
              <w:spacing w:after="0"/>
              <w:rPr>
                <w:sz w:val="3"/>
                <w:szCs w:val="3"/>
                <w:color w:val="auto"/>
              </w:rPr>
            </w:pPr>
          </w:p>
        </w:tc>
        <w:tc>
          <w:tcPr>
            <w:tcW w:w="1620" w:type="dxa"/>
            <w:vAlign w:val="bottom"/>
            <w:tcBorders>
              <w:bottom w:val="single" w:sz="8" w:color="001544"/>
            </w:tcBorders>
          </w:tcPr>
          <w:p>
            <w:pPr>
              <w:spacing w:after="0"/>
              <w:rPr>
                <w:sz w:val="3"/>
                <w:szCs w:val="3"/>
                <w:color w:val="auto"/>
              </w:rPr>
            </w:pPr>
          </w:p>
        </w:tc>
        <w:tc>
          <w:tcPr>
            <w:tcW w:w="200" w:type="dxa"/>
            <w:vAlign w:val="bottom"/>
          </w:tcPr>
          <w:p>
            <w:pPr>
              <w:spacing w:after="0"/>
              <w:rPr>
                <w:sz w:val="3"/>
                <w:szCs w:val="3"/>
                <w:color w:val="auto"/>
              </w:rPr>
            </w:pPr>
          </w:p>
        </w:tc>
        <w:tc>
          <w:tcPr>
            <w:tcW w:w="3420" w:type="dxa"/>
            <w:vAlign w:val="bottom"/>
            <w:tcBorders>
              <w:bottom w:val="single" w:sz="8" w:color="001544"/>
            </w:tcBorders>
            <w:gridSpan w:val="3"/>
          </w:tcPr>
          <w:p>
            <w:pPr>
              <w:spacing w:after="0"/>
              <w:rPr>
                <w:sz w:val="3"/>
                <w:szCs w:val="3"/>
                <w:color w:val="auto"/>
              </w:rPr>
            </w:pPr>
          </w:p>
        </w:tc>
        <w:tc>
          <w:tcPr>
            <w:tcW w:w="200" w:type="dxa"/>
            <w:vAlign w:val="bottom"/>
          </w:tcPr>
          <w:p>
            <w:pPr>
              <w:spacing w:after="0"/>
              <w:rPr>
                <w:sz w:val="3"/>
                <w:szCs w:val="3"/>
                <w:color w:val="auto"/>
              </w:rPr>
            </w:pPr>
          </w:p>
        </w:tc>
        <w:tc>
          <w:tcPr>
            <w:tcW w:w="3280" w:type="dxa"/>
            <w:vAlign w:val="bottom"/>
            <w:tcBorders>
              <w:bottom w:val="single" w:sz="8" w:color="001544"/>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360" w:type="dxa"/>
            <w:vAlign w:val="bottom"/>
            <w:gridSpan w:val="3"/>
            <w:shd w:val="clear" w:color="auto" w:fill="DBDFEA"/>
          </w:tcPr>
          <w:p>
            <w:pPr>
              <w:ind w:left="60"/>
              <w:spacing w:after="0"/>
              <w:rPr>
                <w:sz w:val="20"/>
                <w:szCs w:val="20"/>
                <w:color w:val="auto"/>
              </w:rPr>
            </w:pPr>
            <w:r>
              <w:rPr>
                <w:rFonts w:ascii="Arial" w:cs="Arial" w:eastAsia="Arial" w:hAnsi="Arial"/>
                <w:sz w:val="17"/>
                <w:szCs w:val="17"/>
                <w:color w:val="auto"/>
              </w:rPr>
              <w:t>May 23, 2025</w:t>
            </w:r>
          </w:p>
        </w:tc>
        <w:tc>
          <w:tcPr>
            <w:tcW w:w="200" w:type="dxa"/>
            <w:vAlign w:val="bottom"/>
          </w:tcPr>
          <w:p>
            <w:pPr>
              <w:spacing w:after="0"/>
              <w:rPr>
                <w:sz w:val="18"/>
                <w:szCs w:val="18"/>
                <w:color w:val="auto"/>
              </w:rPr>
            </w:pPr>
          </w:p>
        </w:tc>
        <w:tc>
          <w:tcPr>
            <w:tcW w:w="3420" w:type="dxa"/>
            <w:vAlign w:val="bottom"/>
            <w:gridSpan w:val="3"/>
            <w:shd w:val="clear" w:color="auto" w:fill="DBDFEA"/>
          </w:tcPr>
          <w:p>
            <w:pPr>
              <w:ind w:left="60"/>
              <w:spacing w:after="0"/>
              <w:rPr>
                <w:sz w:val="20"/>
                <w:szCs w:val="20"/>
                <w:color w:val="auto"/>
              </w:rPr>
            </w:pPr>
            <w:r>
              <w:rPr>
                <w:rFonts w:ascii="Arial" w:cs="Arial" w:eastAsia="Arial" w:hAnsi="Arial"/>
                <w:sz w:val="17"/>
                <w:szCs w:val="17"/>
                <w:color w:val="auto"/>
              </w:rPr>
              <w:t>https://web.lumiconnect.com/286413441</w:t>
            </w:r>
          </w:p>
        </w:tc>
        <w:tc>
          <w:tcPr>
            <w:tcW w:w="200" w:type="dxa"/>
            <w:vAlign w:val="bottom"/>
          </w:tcPr>
          <w:p>
            <w:pPr>
              <w:spacing w:after="0"/>
              <w:rPr>
                <w:sz w:val="18"/>
                <w:szCs w:val="18"/>
                <w:color w:val="auto"/>
              </w:rPr>
            </w:pPr>
          </w:p>
        </w:tc>
        <w:tc>
          <w:tcPr>
            <w:tcW w:w="3280" w:type="dxa"/>
            <w:vAlign w:val="bottom"/>
            <w:shd w:val="clear" w:color="auto" w:fill="DBDFEA"/>
          </w:tcPr>
          <w:p>
            <w:pPr>
              <w:ind w:left="60"/>
              <w:spacing w:after="0"/>
              <w:rPr>
                <w:sz w:val="20"/>
                <w:szCs w:val="20"/>
                <w:color w:val="auto"/>
              </w:rPr>
            </w:pPr>
            <w:r>
              <w:rPr>
                <w:rFonts w:ascii="Arial" w:cs="Arial" w:eastAsia="Arial" w:hAnsi="Arial"/>
                <w:sz w:val="17"/>
                <w:szCs w:val="17"/>
                <w:color w:val="auto"/>
              </w:rPr>
              <w:t>You can vote if you are a stockholder of</w:t>
            </w:r>
          </w:p>
        </w:tc>
        <w:tc>
          <w:tcPr>
            <w:tcW w:w="0" w:type="dxa"/>
            <w:vAlign w:val="bottom"/>
          </w:tcPr>
          <w:p>
            <w:pPr>
              <w:spacing w:after="0"/>
              <w:rPr>
                <w:sz w:val="1"/>
                <w:szCs w:val="1"/>
                <w:color w:val="auto"/>
              </w:rPr>
            </w:pPr>
          </w:p>
        </w:tc>
      </w:tr>
      <w:tr>
        <w:trPr>
          <w:trHeight w:val="236"/>
        </w:trPr>
        <w:tc>
          <w:tcPr>
            <w:tcW w:w="2360" w:type="dxa"/>
            <w:vAlign w:val="bottom"/>
            <w:tcBorders>
              <w:bottom w:val="single" w:sz="8" w:color="DBDFEA"/>
            </w:tcBorders>
            <w:gridSpan w:val="3"/>
            <w:shd w:val="clear" w:color="auto" w:fill="DBDFEA"/>
          </w:tcPr>
          <w:p>
            <w:pPr>
              <w:ind w:left="60"/>
              <w:spacing w:after="0"/>
              <w:rPr>
                <w:sz w:val="20"/>
                <w:szCs w:val="20"/>
                <w:color w:val="auto"/>
              </w:rPr>
            </w:pPr>
            <w:r>
              <w:rPr>
                <w:rFonts w:ascii="Arial" w:cs="Arial" w:eastAsia="Arial" w:hAnsi="Arial"/>
                <w:sz w:val="17"/>
                <w:szCs w:val="17"/>
                <w:color w:val="auto"/>
              </w:rPr>
              <w:t>9:00 a.m., Eastern Time</w:t>
            </w:r>
          </w:p>
        </w:tc>
        <w:tc>
          <w:tcPr>
            <w:tcW w:w="200" w:type="dxa"/>
            <w:vAlign w:val="bottom"/>
          </w:tcPr>
          <w:p>
            <w:pPr>
              <w:spacing w:after="0"/>
              <w:rPr>
                <w:sz w:val="20"/>
                <w:szCs w:val="20"/>
                <w:color w:val="auto"/>
              </w:rPr>
            </w:pPr>
          </w:p>
        </w:tc>
        <w:tc>
          <w:tcPr>
            <w:tcW w:w="3420" w:type="dxa"/>
            <w:vAlign w:val="bottom"/>
            <w:tcBorders>
              <w:bottom w:val="single" w:sz="8" w:color="DBDFEA"/>
            </w:tcBorders>
            <w:gridSpan w:val="3"/>
            <w:shd w:val="clear" w:color="auto" w:fill="DBDFEA"/>
          </w:tcPr>
          <w:p>
            <w:pPr>
              <w:ind w:left="60"/>
              <w:spacing w:after="0"/>
              <w:rPr>
                <w:sz w:val="20"/>
                <w:szCs w:val="20"/>
                <w:color w:val="auto"/>
              </w:rPr>
            </w:pPr>
            <w:r>
              <w:rPr>
                <w:rFonts w:ascii="Arial" w:cs="Arial" w:eastAsia="Arial" w:hAnsi="Arial"/>
                <w:sz w:val="17"/>
                <w:szCs w:val="17"/>
                <w:color w:val="auto"/>
              </w:rPr>
              <w:t>Webcast Passcode: digitalbridge2025</w:t>
            </w:r>
          </w:p>
        </w:tc>
        <w:tc>
          <w:tcPr>
            <w:tcW w:w="200" w:type="dxa"/>
            <w:vAlign w:val="bottom"/>
          </w:tcPr>
          <w:p>
            <w:pPr>
              <w:spacing w:after="0"/>
              <w:rPr>
                <w:sz w:val="20"/>
                <w:szCs w:val="20"/>
                <w:color w:val="auto"/>
              </w:rPr>
            </w:pPr>
          </w:p>
        </w:tc>
        <w:tc>
          <w:tcPr>
            <w:tcW w:w="3280" w:type="dxa"/>
            <w:vAlign w:val="bottom"/>
            <w:tcBorders>
              <w:bottom w:val="single" w:sz="8" w:color="DBDFEA"/>
            </w:tcBorders>
            <w:shd w:val="clear" w:color="auto" w:fill="DBDFEA"/>
          </w:tcPr>
          <w:p>
            <w:pPr>
              <w:ind w:left="60"/>
              <w:spacing w:after="0"/>
              <w:rPr>
                <w:sz w:val="20"/>
                <w:szCs w:val="20"/>
                <w:color w:val="auto"/>
              </w:rPr>
            </w:pPr>
            <w:r>
              <w:rPr>
                <w:rFonts w:ascii="Arial" w:cs="Arial" w:eastAsia="Arial" w:hAnsi="Arial"/>
                <w:sz w:val="17"/>
                <w:szCs w:val="17"/>
                <w:color w:val="auto"/>
              </w:rPr>
              <w:t>record on April 7, 2025.</w:t>
            </w:r>
          </w:p>
        </w:tc>
        <w:tc>
          <w:tcPr>
            <w:tcW w:w="0" w:type="dxa"/>
            <w:vAlign w:val="bottom"/>
          </w:tcPr>
          <w:p>
            <w:pPr>
              <w:spacing w:after="0"/>
              <w:rPr>
                <w:sz w:val="1"/>
                <w:szCs w:val="1"/>
                <w:color w:val="auto"/>
              </w:rPr>
            </w:pPr>
          </w:p>
        </w:tc>
      </w:tr>
      <w:tr>
        <w:trPr>
          <w:trHeight w:val="409"/>
        </w:trPr>
        <w:tc>
          <w:tcPr>
            <w:tcW w:w="2360" w:type="dxa"/>
            <w:vAlign w:val="bottom"/>
            <w:tcBorders>
              <w:bottom w:val="single" w:sz="8" w:color="001544"/>
            </w:tcBorders>
            <w:gridSpan w:val="3"/>
          </w:tcPr>
          <w:p>
            <w:pPr>
              <w:spacing w:after="0"/>
              <w:rPr>
                <w:sz w:val="20"/>
                <w:szCs w:val="20"/>
                <w:color w:val="auto"/>
              </w:rPr>
            </w:pPr>
            <w:r>
              <w:rPr>
                <w:rFonts w:ascii="Arial" w:cs="Arial" w:eastAsia="Arial" w:hAnsi="Arial"/>
                <w:sz w:val="14"/>
                <w:szCs w:val="14"/>
                <w:b w:val="1"/>
                <w:bCs w:val="1"/>
                <w:color w:val="auto"/>
              </w:rPr>
              <w:t>Items of Business</w:t>
            </w:r>
          </w:p>
        </w:tc>
        <w:tc>
          <w:tcPr>
            <w:tcW w:w="200" w:type="dxa"/>
            <w:vAlign w:val="bottom"/>
            <w:tcBorders>
              <w:bottom w:val="single" w:sz="8" w:color="001544"/>
            </w:tcBorders>
          </w:tcPr>
          <w:p>
            <w:pPr>
              <w:spacing w:after="0"/>
              <w:rPr>
                <w:sz w:val="24"/>
                <w:szCs w:val="24"/>
                <w:color w:val="auto"/>
              </w:rPr>
            </w:pPr>
          </w:p>
        </w:tc>
        <w:tc>
          <w:tcPr>
            <w:tcW w:w="440" w:type="dxa"/>
            <w:vAlign w:val="bottom"/>
            <w:tcBorders>
              <w:bottom w:val="single" w:sz="8" w:color="001544"/>
            </w:tcBorders>
          </w:tcPr>
          <w:p>
            <w:pPr>
              <w:spacing w:after="0"/>
              <w:rPr>
                <w:sz w:val="24"/>
                <w:szCs w:val="24"/>
                <w:color w:val="auto"/>
              </w:rPr>
            </w:pPr>
          </w:p>
        </w:tc>
        <w:tc>
          <w:tcPr>
            <w:tcW w:w="540" w:type="dxa"/>
            <w:vAlign w:val="bottom"/>
            <w:tcBorders>
              <w:bottom w:val="single" w:sz="8" w:color="001544"/>
            </w:tcBorders>
          </w:tcPr>
          <w:p>
            <w:pPr>
              <w:spacing w:after="0"/>
              <w:rPr>
                <w:sz w:val="24"/>
                <w:szCs w:val="24"/>
                <w:color w:val="auto"/>
              </w:rPr>
            </w:pPr>
          </w:p>
        </w:tc>
        <w:tc>
          <w:tcPr>
            <w:tcW w:w="2440" w:type="dxa"/>
            <w:vAlign w:val="bottom"/>
            <w:tcBorders>
              <w:bottom w:val="single" w:sz="8" w:color="001544"/>
            </w:tcBorders>
          </w:tcPr>
          <w:p>
            <w:pPr>
              <w:spacing w:after="0"/>
              <w:rPr>
                <w:sz w:val="24"/>
                <w:szCs w:val="24"/>
                <w:color w:val="auto"/>
              </w:rPr>
            </w:pPr>
          </w:p>
        </w:tc>
        <w:tc>
          <w:tcPr>
            <w:tcW w:w="200" w:type="dxa"/>
            <w:vAlign w:val="bottom"/>
            <w:tcBorders>
              <w:bottom w:val="single" w:sz="8" w:color="001544"/>
            </w:tcBorders>
          </w:tcPr>
          <w:p>
            <w:pPr>
              <w:spacing w:after="0"/>
              <w:rPr>
                <w:sz w:val="24"/>
                <w:szCs w:val="24"/>
                <w:color w:val="auto"/>
              </w:rPr>
            </w:pPr>
          </w:p>
        </w:tc>
        <w:tc>
          <w:tcPr>
            <w:tcW w:w="3280" w:type="dxa"/>
            <w:vAlign w:val="bottom"/>
            <w:tcBorders>
              <w:bottom w:val="single" w:sz="8" w:color="001544"/>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0" w:type="dxa"/>
            <w:vAlign w:val="bottom"/>
            <w:vMerge w:val="restart"/>
            <w:shd w:val="clear" w:color="auto" w:fill="DBDFEA"/>
          </w:tcPr>
          <w:p>
            <w:pPr>
              <w:jc w:val="right"/>
              <w:ind w:right="100"/>
              <w:spacing w:after="0"/>
              <w:rPr>
                <w:sz w:val="20"/>
                <w:szCs w:val="20"/>
                <w:color w:val="auto"/>
              </w:rPr>
            </w:pPr>
            <w:r>
              <w:rPr>
                <w:rFonts w:ascii="Arial" w:cs="Arial" w:eastAsia="Arial" w:hAnsi="Arial"/>
                <w:sz w:val="30"/>
                <w:szCs w:val="30"/>
                <w:color w:val="001544"/>
              </w:rPr>
              <w:t>1</w:t>
            </w:r>
          </w:p>
        </w:tc>
        <w:tc>
          <w:tcPr>
            <w:tcW w:w="160" w:type="dxa"/>
            <w:vAlign w:val="bottom"/>
            <w:shd w:val="clear" w:color="auto" w:fill="DBDFEA"/>
          </w:tcPr>
          <w:p>
            <w:pPr>
              <w:spacing w:after="0"/>
              <w:rPr>
                <w:sz w:val="19"/>
                <w:szCs w:val="19"/>
                <w:color w:val="auto"/>
              </w:rPr>
            </w:pPr>
          </w:p>
        </w:tc>
        <w:tc>
          <w:tcPr>
            <w:tcW w:w="1620" w:type="dxa"/>
            <w:vAlign w:val="bottom"/>
            <w:shd w:val="clear" w:color="auto" w:fill="DBDFEA"/>
          </w:tcPr>
          <w:p>
            <w:pPr>
              <w:spacing w:after="0"/>
              <w:rPr>
                <w:sz w:val="20"/>
                <w:szCs w:val="20"/>
                <w:color w:val="auto"/>
              </w:rPr>
            </w:pPr>
            <w:r>
              <w:rPr>
                <w:rFonts w:ascii="Arial" w:cs="Arial" w:eastAsia="Arial" w:hAnsi="Arial"/>
                <w:sz w:val="17"/>
                <w:szCs w:val="17"/>
                <w:color w:val="auto"/>
              </w:rPr>
              <w:t>Election of Directors</w:t>
            </w:r>
          </w:p>
        </w:tc>
        <w:tc>
          <w:tcPr>
            <w:tcW w:w="200" w:type="dxa"/>
            <w:vAlign w:val="bottom"/>
            <w:shd w:val="clear" w:color="auto" w:fill="DBDFEA"/>
          </w:tcPr>
          <w:p>
            <w:pPr>
              <w:spacing w:after="0"/>
              <w:rPr>
                <w:sz w:val="19"/>
                <w:szCs w:val="19"/>
                <w:color w:val="auto"/>
              </w:rPr>
            </w:pPr>
          </w:p>
        </w:tc>
        <w:tc>
          <w:tcPr>
            <w:tcW w:w="440" w:type="dxa"/>
            <w:vAlign w:val="bottom"/>
            <w:shd w:val="clear" w:color="auto" w:fill="DBDFEA"/>
          </w:tcPr>
          <w:p>
            <w:pPr>
              <w:spacing w:after="0"/>
              <w:rPr>
                <w:sz w:val="19"/>
                <w:szCs w:val="19"/>
                <w:color w:val="auto"/>
              </w:rPr>
            </w:pPr>
          </w:p>
        </w:tc>
        <w:tc>
          <w:tcPr>
            <w:tcW w:w="540" w:type="dxa"/>
            <w:vAlign w:val="bottom"/>
            <w:shd w:val="clear" w:color="auto" w:fill="DBDFEA"/>
          </w:tcPr>
          <w:p>
            <w:pPr>
              <w:spacing w:after="0"/>
              <w:rPr>
                <w:sz w:val="19"/>
                <w:szCs w:val="19"/>
                <w:color w:val="auto"/>
              </w:rPr>
            </w:pPr>
          </w:p>
        </w:tc>
        <w:tc>
          <w:tcPr>
            <w:tcW w:w="5920" w:type="dxa"/>
            <w:vAlign w:val="bottom"/>
            <w:gridSpan w:val="3"/>
            <w:shd w:val="clear" w:color="auto" w:fill="DBDFEA"/>
          </w:tcPr>
          <w:p>
            <w:pPr>
              <w:ind w:left="220"/>
              <w:spacing w:after="0"/>
              <w:rPr>
                <w:sz w:val="20"/>
                <w:szCs w:val="20"/>
                <w:color w:val="auto"/>
              </w:rPr>
            </w:pPr>
            <w:r>
              <w:rPr>
                <w:rFonts w:ascii="Arial" w:cs="Arial" w:eastAsia="Arial" w:hAnsi="Arial"/>
                <w:sz w:val="17"/>
                <w:szCs w:val="17"/>
                <w:color w:val="auto"/>
              </w:rPr>
              <w:t>To elect 9 directors nominated by our Board of Directors to serve until the</w:t>
            </w:r>
          </w:p>
        </w:tc>
        <w:tc>
          <w:tcPr>
            <w:tcW w:w="0" w:type="dxa"/>
            <w:vAlign w:val="bottom"/>
          </w:tcPr>
          <w:p>
            <w:pPr>
              <w:spacing w:after="0"/>
              <w:rPr>
                <w:sz w:val="1"/>
                <w:szCs w:val="1"/>
                <w:color w:val="auto"/>
              </w:rPr>
            </w:pPr>
          </w:p>
        </w:tc>
      </w:tr>
      <w:tr>
        <w:trPr>
          <w:trHeight w:val="188"/>
        </w:trPr>
        <w:tc>
          <w:tcPr>
            <w:tcW w:w="580" w:type="dxa"/>
            <w:vAlign w:val="bottom"/>
            <w:vMerge w:val="continue"/>
            <w:shd w:val="clear" w:color="auto" w:fill="DBDFEA"/>
          </w:tcPr>
          <w:p>
            <w:pPr>
              <w:spacing w:after="0"/>
              <w:rPr>
                <w:sz w:val="16"/>
                <w:szCs w:val="16"/>
                <w:color w:val="auto"/>
              </w:rPr>
            </w:pPr>
          </w:p>
        </w:tc>
        <w:tc>
          <w:tcPr>
            <w:tcW w:w="160" w:type="dxa"/>
            <w:vAlign w:val="bottom"/>
            <w:shd w:val="clear" w:color="auto" w:fill="DBDFEA"/>
          </w:tcPr>
          <w:p>
            <w:pPr>
              <w:spacing w:after="0"/>
              <w:rPr>
                <w:sz w:val="16"/>
                <w:szCs w:val="16"/>
                <w:color w:val="auto"/>
              </w:rPr>
            </w:pPr>
          </w:p>
        </w:tc>
        <w:tc>
          <w:tcPr>
            <w:tcW w:w="1620" w:type="dxa"/>
            <w:vAlign w:val="bottom"/>
            <w:shd w:val="clear" w:color="auto" w:fill="DBDFEA"/>
          </w:tcPr>
          <w:p>
            <w:pPr>
              <w:spacing w:after="0"/>
              <w:rPr>
                <w:sz w:val="16"/>
                <w:szCs w:val="16"/>
                <w:color w:val="auto"/>
              </w:rPr>
            </w:pPr>
          </w:p>
        </w:tc>
        <w:tc>
          <w:tcPr>
            <w:tcW w:w="200" w:type="dxa"/>
            <w:vAlign w:val="bottom"/>
            <w:shd w:val="clear" w:color="auto" w:fill="DBDFEA"/>
          </w:tcPr>
          <w:p>
            <w:pPr>
              <w:spacing w:after="0"/>
              <w:rPr>
                <w:sz w:val="16"/>
                <w:szCs w:val="16"/>
                <w:color w:val="auto"/>
              </w:rPr>
            </w:pPr>
          </w:p>
        </w:tc>
        <w:tc>
          <w:tcPr>
            <w:tcW w:w="440" w:type="dxa"/>
            <w:vAlign w:val="bottom"/>
            <w:shd w:val="clear" w:color="auto" w:fill="DBDFEA"/>
          </w:tcPr>
          <w:p>
            <w:pPr>
              <w:spacing w:after="0"/>
              <w:rPr>
                <w:sz w:val="16"/>
                <w:szCs w:val="16"/>
                <w:color w:val="auto"/>
              </w:rPr>
            </w:pPr>
          </w:p>
        </w:tc>
        <w:tc>
          <w:tcPr>
            <w:tcW w:w="540" w:type="dxa"/>
            <w:vAlign w:val="bottom"/>
            <w:shd w:val="clear" w:color="auto" w:fill="DBDFEA"/>
          </w:tcPr>
          <w:p>
            <w:pPr>
              <w:spacing w:after="0"/>
              <w:rPr>
                <w:sz w:val="16"/>
                <w:szCs w:val="16"/>
                <w:color w:val="auto"/>
              </w:rPr>
            </w:pPr>
          </w:p>
        </w:tc>
        <w:tc>
          <w:tcPr>
            <w:tcW w:w="5920" w:type="dxa"/>
            <w:vAlign w:val="bottom"/>
            <w:gridSpan w:val="3"/>
            <w:shd w:val="clear" w:color="auto" w:fill="DBDFEA"/>
          </w:tcPr>
          <w:p>
            <w:pPr>
              <w:ind w:left="220"/>
              <w:spacing w:after="0" w:line="189" w:lineRule="exact"/>
              <w:rPr>
                <w:sz w:val="20"/>
                <w:szCs w:val="20"/>
                <w:color w:val="auto"/>
              </w:rPr>
            </w:pPr>
            <w:r>
              <w:rPr>
                <w:rFonts w:ascii="Arial" w:cs="Arial" w:eastAsia="Arial" w:hAnsi="Arial"/>
                <w:sz w:val="17"/>
                <w:szCs w:val="17"/>
                <w:color w:val="auto"/>
              </w:rPr>
              <w:t>2026 Annual Meeting of Stockholders and until his or her successor is duly</w:t>
            </w:r>
          </w:p>
        </w:tc>
        <w:tc>
          <w:tcPr>
            <w:tcW w:w="0" w:type="dxa"/>
            <w:vAlign w:val="bottom"/>
          </w:tcPr>
          <w:p>
            <w:pPr>
              <w:spacing w:after="0"/>
              <w:rPr>
                <w:sz w:val="1"/>
                <w:szCs w:val="1"/>
                <w:color w:val="auto"/>
              </w:rPr>
            </w:pPr>
          </w:p>
        </w:tc>
      </w:tr>
      <w:tr>
        <w:trPr>
          <w:trHeight w:val="261"/>
        </w:trPr>
        <w:tc>
          <w:tcPr>
            <w:tcW w:w="580" w:type="dxa"/>
            <w:vAlign w:val="bottom"/>
            <w:tcBorders>
              <w:bottom w:val="single" w:sz="8" w:color="DBDFEA"/>
            </w:tcBorders>
            <w:shd w:val="clear" w:color="auto" w:fill="DBDFEA"/>
          </w:tcPr>
          <w:p>
            <w:pPr>
              <w:spacing w:after="0"/>
              <w:rPr>
                <w:sz w:val="22"/>
                <w:szCs w:val="22"/>
                <w:color w:val="auto"/>
              </w:rPr>
            </w:pPr>
          </w:p>
        </w:tc>
        <w:tc>
          <w:tcPr>
            <w:tcW w:w="160" w:type="dxa"/>
            <w:vAlign w:val="bottom"/>
            <w:tcBorders>
              <w:bottom w:val="single" w:sz="8" w:color="DBDFEA"/>
            </w:tcBorders>
            <w:shd w:val="clear" w:color="auto" w:fill="DBDFEA"/>
          </w:tcPr>
          <w:p>
            <w:pPr>
              <w:spacing w:after="0"/>
              <w:rPr>
                <w:sz w:val="22"/>
                <w:szCs w:val="22"/>
                <w:color w:val="auto"/>
              </w:rPr>
            </w:pPr>
          </w:p>
        </w:tc>
        <w:tc>
          <w:tcPr>
            <w:tcW w:w="1620" w:type="dxa"/>
            <w:vAlign w:val="bottom"/>
            <w:tcBorders>
              <w:bottom w:val="single" w:sz="8" w:color="DBDFEA"/>
            </w:tcBorders>
            <w:shd w:val="clear" w:color="auto" w:fill="DBDFEA"/>
          </w:tcPr>
          <w:p>
            <w:pPr>
              <w:spacing w:after="0"/>
              <w:rPr>
                <w:sz w:val="22"/>
                <w:szCs w:val="22"/>
                <w:color w:val="auto"/>
              </w:rPr>
            </w:pPr>
          </w:p>
        </w:tc>
        <w:tc>
          <w:tcPr>
            <w:tcW w:w="200" w:type="dxa"/>
            <w:vAlign w:val="bottom"/>
            <w:tcBorders>
              <w:bottom w:val="single" w:sz="8" w:color="DBDFEA"/>
            </w:tcBorders>
            <w:shd w:val="clear" w:color="auto" w:fill="DBDFEA"/>
          </w:tcPr>
          <w:p>
            <w:pPr>
              <w:spacing w:after="0"/>
              <w:rPr>
                <w:sz w:val="22"/>
                <w:szCs w:val="22"/>
                <w:color w:val="auto"/>
              </w:rPr>
            </w:pPr>
          </w:p>
        </w:tc>
        <w:tc>
          <w:tcPr>
            <w:tcW w:w="440" w:type="dxa"/>
            <w:vAlign w:val="bottom"/>
            <w:tcBorders>
              <w:bottom w:val="single" w:sz="8" w:color="DBDFEA"/>
            </w:tcBorders>
            <w:shd w:val="clear" w:color="auto" w:fill="DBDFEA"/>
          </w:tcPr>
          <w:p>
            <w:pPr>
              <w:spacing w:after="0"/>
              <w:rPr>
                <w:sz w:val="22"/>
                <w:szCs w:val="22"/>
                <w:color w:val="auto"/>
              </w:rPr>
            </w:pPr>
          </w:p>
        </w:tc>
        <w:tc>
          <w:tcPr>
            <w:tcW w:w="540" w:type="dxa"/>
            <w:vAlign w:val="bottom"/>
            <w:tcBorders>
              <w:bottom w:val="single" w:sz="8" w:color="DBDFEA"/>
            </w:tcBorders>
            <w:shd w:val="clear" w:color="auto" w:fill="DBDFEA"/>
          </w:tcPr>
          <w:p>
            <w:pPr>
              <w:spacing w:after="0"/>
              <w:rPr>
                <w:sz w:val="22"/>
                <w:szCs w:val="22"/>
                <w:color w:val="auto"/>
              </w:rPr>
            </w:pPr>
          </w:p>
        </w:tc>
        <w:tc>
          <w:tcPr>
            <w:tcW w:w="2440" w:type="dxa"/>
            <w:vAlign w:val="bottom"/>
            <w:tcBorders>
              <w:bottom w:val="single" w:sz="8" w:color="DBDFEA"/>
            </w:tcBorders>
            <w:shd w:val="clear" w:color="auto" w:fill="DBDFEA"/>
          </w:tcPr>
          <w:p>
            <w:pPr>
              <w:ind w:left="220"/>
              <w:spacing w:after="0"/>
              <w:rPr>
                <w:sz w:val="20"/>
                <w:szCs w:val="20"/>
                <w:color w:val="auto"/>
              </w:rPr>
            </w:pPr>
            <w:r>
              <w:rPr>
                <w:rFonts w:ascii="Arial" w:cs="Arial" w:eastAsia="Arial" w:hAnsi="Arial"/>
                <w:sz w:val="17"/>
                <w:szCs w:val="17"/>
                <w:color w:val="auto"/>
              </w:rPr>
              <w:t>elected and qualified;</w:t>
            </w:r>
          </w:p>
        </w:tc>
        <w:tc>
          <w:tcPr>
            <w:tcW w:w="200" w:type="dxa"/>
            <w:vAlign w:val="bottom"/>
            <w:tcBorders>
              <w:bottom w:val="single" w:sz="8" w:color="DBDFEA"/>
            </w:tcBorders>
            <w:shd w:val="clear" w:color="auto" w:fill="DBDFEA"/>
          </w:tcPr>
          <w:p>
            <w:pPr>
              <w:spacing w:after="0"/>
              <w:rPr>
                <w:sz w:val="22"/>
                <w:szCs w:val="22"/>
                <w:color w:val="auto"/>
              </w:rPr>
            </w:pPr>
          </w:p>
        </w:tc>
        <w:tc>
          <w:tcPr>
            <w:tcW w:w="3280" w:type="dxa"/>
            <w:vAlign w:val="bottom"/>
            <w:tcBorders>
              <w:bottom w:val="single" w:sz="8" w:color="DBDFEA"/>
            </w:tcBorders>
            <w:shd w:val="clear" w:color="auto" w:fill="DBDFEA"/>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80" w:type="dxa"/>
            <w:vAlign w:val="bottom"/>
            <w:tcBorders>
              <w:top w:val="single" w:sz="8" w:color="001544"/>
            </w:tcBorders>
            <w:vMerge w:val="restart"/>
          </w:tcPr>
          <w:p>
            <w:pPr>
              <w:jc w:val="right"/>
              <w:ind w:right="100"/>
              <w:spacing w:after="0"/>
              <w:rPr>
                <w:sz w:val="20"/>
                <w:szCs w:val="20"/>
                <w:color w:val="auto"/>
              </w:rPr>
            </w:pPr>
            <w:r>
              <w:rPr>
                <w:rFonts w:ascii="Arial" w:cs="Arial" w:eastAsia="Arial" w:hAnsi="Arial"/>
                <w:sz w:val="30"/>
                <w:szCs w:val="30"/>
                <w:color w:val="001544"/>
              </w:rPr>
              <w:t>2</w:t>
            </w:r>
          </w:p>
        </w:tc>
        <w:tc>
          <w:tcPr>
            <w:tcW w:w="160" w:type="dxa"/>
            <w:vAlign w:val="bottom"/>
            <w:tcBorders>
              <w:top w:val="single" w:sz="8" w:color="001544"/>
            </w:tcBorders>
            <w:shd w:val="clear" w:color="auto" w:fill="DBDFEA"/>
          </w:tcPr>
          <w:p>
            <w:pPr>
              <w:spacing w:after="0"/>
              <w:rPr>
                <w:sz w:val="18"/>
                <w:szCs w:val="18"/>
                <w:color w:val="auto"/>
              </w:rPr>
            </w:pPr>
          </w:p>
        </w:tc>
        <w:tc>
          <w:tcPr>
            <w:tcW w:w="2260" w:type="dxa"/>
            <w:vAlign w:val="bottom"/>
            <w:tcBorders>
              <w:top w:val="single" w:sz="8" w:color="001544"/>
            </w:tcBorders>
            <w:gridSpan w:val="3"/>
            <w:shd w:val="clear" w:color="auto" w:fill="DBDFEA"/>
          </w:tcPr>
          <w:p>
            <w:pPr>
              <w:spacing w:after="0"/>
              <w:rPr>
                <w:sz w:val="20"/>
                <w:szCs w:val="20"/>
                <w:color w:val="auto"/>
              </w:rPr>
            </w:pPr>
            <w:r>
              <w:rPr>
                <w:rFonts w:ascii="Arial" w:cs="Arial" w:eastAsia="Arial" w:hAnsi="Arial"/>
                <w:sz w:val="17"/>
                <w:szCs w:val="17"/>
                <w:color w:val="auto"/>
              </w:rPr>
              <w:t>Advisory Vote on Executive</w:t>
            </w:r>
          </w:p>
        </w:tc>
        <w:tc>
          <w:tcPr>
            <w:tcW w:w="540" w:type="dxa"/>
            <w:vAlign w:val="bottom"/>
            <w:tcBorders>
              <w:top w:val="single" w:sz="8" w:color="001544"/>
            </w:tcBorders>
            <w:shd w:val="clear" w:color="auto" w:fill="DBDFEA"/>
          </w:tcPr>
          <w:p>
            <w:pPr>
              <w:spacing w:after="0"/>
              <w:rPr>
                <w:sz w:val="18"/>
                <w:szCs w:val="18"/>
                <w:color w:val="auto"/>
              </w:rPr>
            </w:pPr>
          </w:p>
        </w:tc>
        <w:tc>
          <w:tcPr>
            <w:tcW w:w="5920" w:type="dxa"/>
            <w:vAlign w:val="bottom"/>
            <w:tcBorders>
              <w:top w:val="single" w:sz="8" w:color="001544"/>
            </w:tcBorders>
            <w:gridSpan w:val="3"/>
            <w:shd w:val="clear" w:color="auto" w:fill="DBDFEA"/>
          </w:tcPr>
          <w:p>
            <w:pPr>
              <w:ind w:left="220"/>
              <w:spacing w:after="0"/>
              <w:rPr>
                <w:sz w:val="20"/>
                <w:szCs w:val="20"/>
                <w:color w:val="auto"/>
              </w:rPr>
            </w:pPr>
            <w:r>
              <w:rPr>
                <w:rFonts w:ascii="Arial" w:cs="Arial" w:eastAsia="Arial" w:hAnsi="Arial"/>
                <w:sz w:val="17"/>
                <w:szCs w:val="17"/>
                <w:color w:val="auto"/>
              </w:rPr>
              <w:t>To approve, on a non-binding, advisory basis, named executive officer</w:t>
            </w:r>
          </w:p>
        </w:tc>
        <w:tc>
          <w:tcPr>
            <w:tcW w:w="0" w:type="dxa"/>
            <w:vAlign w:val="bottom"/>
          </w:tcPr>
          <w:p>
            <w:pPr>
              <w:spacing w:after="0"/>
              <w:rPr>
                <w:sz w:val="1"/>
                <w:szCs w:val="1"/>
                <w:color w:val="auto"/>
              </w:rPr>
            </w:pPr>
          </w:p>
        </w:tc>
      </w:tr>
      <w:tr>
        <w:trPr>
          <w:trHeight w:val="256"/>
        </w:trPr>
        <w:tc>
          <w:tcPr>
            <w:tcW w:w="580" w:type="dxa"/>
            <w:vAlign w:val="bottom"/>
            <w:vMerge w:val="continue"/>
          </w:tcPr>
          <w:p>
            <w:pPr>
              <w:spacing w:after="0"/>
              <w:rPr>
                <w:sz w:val="22"/>
                <w:szCs w:val="22"/>
                <w:color w:val="auto"/>
              </w:rPr>
            </w:pPr>
          </w:p>
        </w:tc>
        <w:tc>
          <w:tcPr>
            <w:tcW w:w="160" w:type="dxa"/>
            <w:vAlign w:val="bottom"/>
            <w:tcBorders>
              <w:bottom w:val="single" w:sz="8" w:color="DBDFEA"/>
            </w:tcBorders>
            <w:shd w:val="clear" w:color="auto" w:fill="DBDFEA"/>
          </w:tcPr>
          <w:p>
            <w:pPr>
              <w:spacing w:after="0"/>
              <w:rPr>
                <w:sz w:val="22"/>
                <w:szCs w:val="22"/>
                <w:color w:val="auto"/>
              </w:rPr>
            </w:pPr>
          </w:p>
        </w:tc>
        <w:tc>
          <w:tcPr>
            <w:tcW w:w="1620" w:type="dxa"/>
            <w:vAlign w:val="bottom"/>
            <w:tcBorders>
              <w:bottom w:val="single" w:sz="8" w:color="DBDFEA"/>
            </w:tcBorders>
            <w:shd w:val="clear" w:color="auto" w:fill="DBDFEA"/>
          </w:tcPr>
          <w:p>
            <w:pPr>
              <w:spacing w:after="0"/>
              <w:rPr>
                <w:sz w:val="20"/>
                <w:szCs w:val="20"/>
                <w:color w:val="auto"/>
              </w:rPr>
            </w:pPr>
            <w:r>
              <w:rPr>
                <w:rFonts w:ascii="Arial" w:cs="Arial" w:eastAsia="Arial" w:hAnsi="Arial"/>
                <w:sz w:val="17"/>
                <w:szCs w:val="17"/>
                <w:color w:val="auto"/>
              </w:rPr>
              <w:t>Compensation</w:t>
            </w:r>
          </w:p>
        </w:tc>
        <w:tc>
          <w:tcPr>
            <w:tcW w:w="200" w:type="dxa"/>
            <w:vAlign w:val="bottom"/>
            <w:tcBorders>
              <w:bottom w:val="single" w:sz="8" w:color="DBDFEA"/>
            </w:tcBorders>
            <w:shd w:val="clear" w:color="auto" w:fill="DBDFEA"/>
          </w:tcPr>
          <w:p>
            <w:pPr>
              <w:spacing w:after="0"/>
              <w:rPr>
                <w:sz w:val="22"/>
                <w:szCs w:val="22"/>
                <w:color w:val="auto"/>
              </w:rPr>
            </w:pPr>
          </w:p>
        </w:tc>
        <w:tc>
          <w:tcPr>
            <w:tcW w:w="440" w:type="dxa"/>
            <w:vAlign w:val="bottom"/>
            <w:tcBorders>
              <w:bottom w:val="single" w:sz="8" w:color="DBDFEA"/>
            </w:tcBorders>
            <w:shd w:val="clear" w:color="auto" w:fill="DBDFEA"/>
          </w:tcPr>
          <w:p>
            <w:pPr>
              <w:spacing w:after="0"/>
              <w:rPr>
                <w:sz w:val="22"/>
                <w:szCs w:val="22"/>
                <w:color w:val="auto"/>
              </w:rPr>
            </w:pPr>
          </w:p>
        </w:tc>
        <w:tc>
          <w:tcPr>
            <w:tcW w:w="540" w:type="dxa"/>
            <w:vAlign w:val="bottom"/>
            <w:tcBorders>
              <w:bottom w:val="single" w:sz="8" w:color="DBDFEA"/>
            </w:tcBorders>
            <w:shd w:val="clear" w:color="auto" w:fill="DBDFEA"/>
          </w:tcPr>
          <w:p>
            <w:pPr>
              <w:spacing w:after="0"/>
              <w:rPr>
                <w:sz w:val="22"/>
                <w:szCs w:val="22"/>
                <w:color w:val="auto"/>
              </w:rPr>
            </w:pPr>
          </w:p>
        </w:tc>
        <w:tc>
          <w:tcPr>
            <w:tcW w:w="2440" w:type="dxa"/>
            <w:vAlign w:val="bottom"/>
            <w:tcBorders>
              <w:bottom w:val="single" w:sz="8" w:color="DBDFEA"/>
            </w:tcBorders>
            <w:shd w:val="clear" w:color="auto" w:fill="DBDFEA"/>
          </w:tcPr>
          <w:p>
            <w:pPr>
              <w:ind w:left="220"/>
              <w:spacing w:after="0"/>
              <w:rPr>
                <w:sz w:val="20"/>
                <w:szCs w:val="20"/>
                <w:color w:val="auto"/>
              </w:rPr>
            </w:pPr>
            <w:r>
              <w:rPr>
                <w:rFonts w:ascii="Arial" w:cs="Arial" w:eastAsia="Arial" w:hAnsi="Arial"/>
                <w:sz w:val="17"/>
                <w:szCs w:val="17"/>
                <w:color w:val="auto"/>
              </w:rPr>
              <w:t>compensation;</w:t>
            </w:r>
          </w:p>
        </w:tc>
        <w:tc>
          <w:tcPr>
            <w:tcW w:w="200" w:type="dxa"/>
            <w:vAlign w:val="bottom"/>
            <w:tcBorders>
              <w:bottom w:val="single" w:sz="8" w:color="DBDFEA"/>
            </w:tcBorders>
            <w:shd w:val="clear" w:color="auto" w:fill="DBDFEA"/>
          </w:tcPr>
          <w:p>
            <w:pPr>
              <w:spacing w:after="0"/>
              <w:rPr>
                <w:sz w:val="22"/>
                <w:szCs w:val="22"/>
                <w:color w:val="auto"/>
              </w:rPr>
            </w:pPr>
          </w:p>
        </w:tc>
        <w:tc>
          <w:tcPr>
            <w:tcW w:w="3280" w:type="dxa"/>
            <w:vAlign w:val="bottom"/>
            <w:tcBorders>
              <w:bottom w:val="single" w:sz="8" w:color="DBDFEA"/>
            </w:tcBorders>
            <w:shd w:val="clear" w:color="auto" w:fill="DBDFEA"/>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80" w:type="dxa"/>
            <w:vAlign w:val="bottom"/>
            <w:tcBorders>
              <w:top w:val="single" w:sz="8" w:color="001544"/>
            </w:tcBorders>
            <w:vMerge w:val="restart"/>
          </w:tcPr>
          <w:p>
            <w:pPr>
              <w:jc w:val="right"/>
              <w:ind w:right="100"/>
              <w:spacing w:after="0"/>
              <w:rPr>
                <w:sz w:val="20"/>
                <w:szCs w:val="20"/>
                <w:color w:val="auto"/>
              </w:rPr>
            </w:pPr>
            <w:r>
              <w:rPr>
                <w:rFonts w:ascii="Arial" w:cs="Arial" w:eastAsia="Arial" w:hAnsi="Arial"/>
                <w:sz w:val="30"/>
                <w:szCs w:val="30"/>
                <w:color w:val="001544"/>
              </w:rPr>
              <w:t>3</w:t>
            </w:r>
          </w:p>
        </w:tc>
        <w:tc>
          <w:tcPr>
            <w:tcW w:w="160" w:type="dxa"/>
            <w:vAlign w:val="bottom"/>
            <w:tcBorders>
              <w:top w:val="single" w:sz="8" w:color="001544"/>
            </w:tcBorders>
          </w:tcPr>
          <w:p>
            <w:pPr>
              <w:spacing w:after="0"/>
              <w:rPr>
                <w:sz w:val="18"/>
                <w:szCs w:val="18"/>
                <w:color w:val="auto"/>
              </w:rPr>
            </w:pPr>
          </w:p>
        </w:tc>
        <w:tc>
          <w:tcPr>
            <w:tcW w:w="2260" w:type="dxa"/>
            <w:vAlign w:val="bottom"/>
            <w:tcBorders>
              <w:top w:val="single" w:sz="8" w:color="001544"/>
            </w:tcBorders>
            <w:gridSpan w:val="3"/>
            <w:shd w:val="clear" w:color="auto" w:fill="DBDFEA"/>
          </w:tcPr>
          <w:p>
            <w:pPr>
              <w:spacing w:after="0"/>
              <w:rPr>
                <w:sz w:val="20"/>
                <w:szCs w:val="20"/>
                <w:color w:val="auto"/>
              </w:rPr>
            </w:pPr>
            <w:r>
              <w:rPr>
                <w:rFonts w:ascii="Arial" w:cs="Arial" w:eastAsia="Arial" w:hAnsi="Arial"/>
                <w:sz w:val="17"/>
                <w:szCs w:val="17"/>
                <w:color w:val="auto"/>
              </w:rPr>
              <w:t>Ratification of Independent</w:t>
            </w:r>
          </w:p>
        </w:tc>
        <w:tc>
          <w:tcPr>
            <w:tcW w:w="540" w:type="dxa"/>
            <w:vAlign w:val="bottom"/>
            <w:tcBorders>
              <w:top w:val="single" w:sz="8" w:color="001544"/>
            </w:tcBorders>
            <w:shd w:val="clear" w:color="auto" w:fill="DBDFEA"/>
          </w:tcPr>
          <w:p>
            <w:pPr>
              <w:spacing w:after="0"/>
              <w:rPr>
                <w:sz w:val="18"/>
                <w:szCs w:val="18"/>
                <w:color w:val="auto"/>
              </w:rPr>
            </w:pPr>
          </w:p>
        </w:tc>
        <w:tc>
          <w:tcPr>
            <w:tcW w:w="5920" w:type="dxa"/>
            <w:vAlign w:val="bottom"/>
            <w:tcBorders>
              <w:top w:val="single" w:sz="8" w:color="001544"/>
            </w:tcBorders>
            <w:gridSpan w:val="3"/>
            <w:shd w:val="clear" w:color="auto" w:fill="DBDFEA"/>
          </w:tcPr>
          <w:p>
            <w:pPr>
              <w:ind w:left="220"/>
              <w:spacing w:after="0"/>
              <w:rPr>
                <w:sz w:val="20"/>
                <w:szCs w:val="20"/>
                <w:color w:val="auto"/>
              </w:rPr>
            </w:pPr>
            <w:r>
              <w:rPr>
                <w:rFonts w:ascii="Arial" w:cs="Arial" w:eastAsia="Arial" w:hAnsi="Arial"/>
                <w:sz w:val="17"/>
                <w:szCs w:val="17"/>
                <w:color w:val="auto"/>
              </w:rPr>
              <w:t>To ratify the appointment of Ernst &amp; Young LLP as our independent</w:t>
            </w:r>
          </w:p>
        </w:tc>
        <w:tc>
          <w:tcPr>
            <w:tcW w:w="0" w:type="dxa"/>
            <w:vAlign w:val="bottom"/>
          </w:tcPr>
          <w:p>
            <w:pPr>
              <w:spacing w:after="0"/>
              <w:rPr>
                <w:sz w:val="1"/>
                <w:szCs w:val="1"/>
                <w:color w:val="auto"/>
              </w:rPr>
            </w:pPr>
          </w:p>
        </w:tc>
      </w:tr>
      <w:tr>
        <w:trPr>
          <w:trHeight w:val="188"/>
        </w:trPr>
        <w:tc>
          <w:tcPr>
            <w:tcW w:w="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4"/>
            <w:shd w:val="clear" w:color="auto" w:fill="DBDFEA"/>
          </w:tcPr>
          <w:p>
            <w:pPr>
              <w:spacing w:after="0" w:line="189" w:lineRule="exact"/>
              <w:rPr>
                <w:sz w:val="20"/>
                <w:szCs w:val="20"/>
                <w:color w:val="auto"/>
              </w:rPr>
            </w:pPr>
            <w:r>
              <w:rPr>
                <w:rFonts w:ascii="Arial" w:cs="Arial" w:eastAsia="Arial" w:hAnsi="Arial"/>
                <w:sz w:val="17"/>
                <w:szCs w:val="17"/>
                <w:color w:val="auto"/>
              </w:rPr>
              <w:t>Registered Public Accounting Firm</w:t>
            </w:r>
          </w:p>
        </w:tc>
        <w:tc>
          <w:tcPr>
            <w:tcW w:w="5920" w:type="dxa"/>
            <w:vAlign w:val="bottom"/>
            <w:gridSpan w:val="3"/>
            <w:shd w:val="clear" w:color="auto" w:fill="DBDFEA"/>
          </w:tcPr>
          <w:p>
            <w:pPr>
              <w:ind w:left="220"/>
              <w:spacing w:after="0" w:line="189" w:lineRule="exact"/>
              <w:rPr>
                <w:sz w:val="20"/>
                <w:szCs w:val="20"/>
                <w:color w:val="auto"/>
              </w:rPr>
            </w:pPr>
            <w:r>
              <w:rPr>
                <w:rFonts w:ascii="Arial" w:cs="Arial" w:eastAsia="Arial" w:hAnsi="Arial"/>
                <w:sz w:val="17"/>
                <w:szCs w:val="17"/>
                <w:color w:val="auto"/>
              </w:rPr>
              <w:t>registered public accounting firm for the fiscal year ending December 31,</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Borders>
              <w:bottom w:val="single" w:sz="8" w:color="DBDFEA"/>
            </w:tcBorders>
            <w:shd w:val="clear" w:color="auto" w:fill="DBDFEA"/>
          </w:tcPr>
          <w:p>
            <w:pPr>
              <w:spacing w:after="0"/>
              <w:rPr>
                <w:sz w:val="22"/>
                <w:szCs w:val="22"/>
                <w:color w:val="auto"/>
              </w:rPr>
            </w:pPr>
          </w:p>
        </w:tc>
        <w:tc>
          <w:tcPr>
            <w:tcW w:w="200" w:type="dxa"/>
            <w:vAlign w:val="bottom"/>
            <w:tcBorders>
              <w:bottom w:val="single" w:sz="8" w:color="DBDFEA"/>
            </w:tcBorders>
            <w:shd w:val="clear" w:color="auto" w:fill="DBDFEA"/>
          </w:tcPr>
          <w:p>
            <w:pPr>
              <w:spacing w:after="0"/>
              <w:rPr>
                <w:sz w:val="22"/>
                <w:szCs w:val="22"/>
                <w:color w:val="auto"/>
              </w:rPr>
            </w:pPr>
          </w:p>
        </w:tc>
        <w:tc>
          <w:tcPr>
            <w:tcW w:w="440" w:type="dxa"/>
            <w:vAlign w:val="bottom"/>
            <w:tcBorders>
              <w:bottom w:val="single" w:sz="8" w:color="DBDFEA"/>
            </w:tcBorders>
            <w:shd w:val="clear" w:color="auto" w:fill="DBDFEA"/>
          </w:tcPr>
          <w:p>
            <w:pPr>
              <w:spacing w:after="0"/>
              <w:rPr>
                <w:sz w:val="22"/>
                <w:szCs w:val="22"/>
                <w:color w:val="auto"/>
              </w:rPr>
            </w:pPr>
          </w:p>
        </w:tc>
        <w:tc>
          <w:tcPr>
            <w:tcW w:w="540" w:type="dxa"/>
            <w:vAlign w:val="bottom"/>
            <w:tcBorders>
              <w:bottom w:val="single" w:sz="8" w:color="DBDFEA"/>
            </w:tcBorders>
            <w:shd w:val="clear" w:color="auto" w:fill="DBDFEA"/>
          </w:tcPr>
          <w:p>
            <w:pPr>
              <w:spacing w:after="0"/>
              <w:rPr>
                <w:sz w:val="22"/>
                <w:szCs w:val="22"/>
                <w:color w:val="auto"/>
              </w:rPr>
            </w:pPr>
          </w:p>
        </w:tc>
        <w:tc>
          <w:tcPr>
            <w:tcW w:w="2440" w:type="dxa"/>
            <w:vAlign w:val="bottom"/>
            <w:tcBorders>
              <w:bottom w:val="single" w:sz="8" w:color="DBDFEA"/>
            </w:tcBorders>
            <w:shd w:val="clear" w:color="auto" w:fill="DBDFEA"/>
          </w:tcPr>
          <w:p>
            <w:pPr>
              <w:ind w:left="220"/>
              <w:spacing w:after="0"/>
              <w:rPr>
                <w:sz w:val="20"/>
                <w:szCs w:val="20"/>
                <w:color w:val="auto"/>
              </w:rPr>
            </w:pPr>
            <w:r>
              <w:rPr>
                <w:rFonts w:ascii="Arial" w:cs="Arial" w:eastAsia="Arial" w:hAnsi="Arial"/>
                <w:sz w:val="17"/>
                <w:szCs w:val="17"/>
                <w:color w:val="auto"/>
              </w:rPr>
              <w:t>2025; and</w:t>
            </w:r>
          </w:p>
        </w:tc>
        <w:tc>
          <w:tcPr>
            <w:tcW w:w="200" w:type="dxa"/>
            <w:vAlign w:val="bottom"/>
            <w:tcBorders>
              <w:bottom w:val="single" w:sz="8" w:color="DBDFEA"/>
            </w:tcBorders>
            <w:shd w:val="clear" w:color="auto" w:fill="DBDFEA"/>
          </w:tcPr>
          <w:p>
            <w:pPr>
              <w:spacing w:after="0"/>
              <w:rPr>
                <w:sz w:val="22"/>
                <w:szCs w:val="22"/>
                <w:color w:val="auto"/>
              </w:rPr>
            </w:pPr>
          </w:p>
        </w:tc>
        <w:tc>
          <w:tcPr>
            <w:tcW w:w="3280" w:type="dxa"/>
            <w:vAlign w:val="bottom"/>
            <w:tcBorders>
              <w:bottom w:val="single" w:sz="8" w:color="DBDFEA"/>
            </w:tcBorders>
            <w:shd w:val="clear" w:color="auto" w:fill="DBDFEA"/>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80" w:type="dxa"/>
            <w:vAlign w:val="bottom"/>
            <w:tcBorders>
              <w:top w:val="single" w:sz="8" w:color="001544"/>
            </w:tcBorders>
            <w:vMerge w:val="restart"/>
          </w:tcPr>
          <w:p>
            <w:pPr>
              <w:jc w:val="right"/>
              <w:ind w:right="100"/>
              <w:spacing w:after="0"/>
              <w:rPr>
                <w:sz w:val="20"/>
                <w:szCs w:val="20"/>
                <w:color w:val="auto"/>
              </w:rPr>
            </w:pPr>
            <w:r>
              <w:rPr>
                <w:rFonts w:ascii="Arial" w:cs="Arial" w:eastAsia="Arial" w:hAnsi="Arial"/>
                <w:sz w:val="30"/>
                <w:szCs w:val="30"/>
                <w:color w:val="001544"/>
              </w:rPr>
              <w:t>4</w:t>
            </w:r>
          </w:p>
        </w:tc>
        <w:tc>
          <w:tcPr>
            <w:tcW w:w="160" w:type="dxa"/>
            <w:vAlign w:val="bottom"/>
            <w:tcBorders>
              <w:top w:val="single" w:sz="8" w:color="001544"/>
            </w:tcBorders>
          </w:tcPr>
          <w:p>
            <w:pPr>
              <w:spacing w:after="0"/>
              <w:rPr>
                <w:sz w:val="18"/>
                <w:szCs w:val="18"/>
                <w:color w:val="auto"/>
              </w:rPr>
            </w:pPr>
          </w:p>
        </w:tc>
        <w:tc>
          <w:tcPr>
            <w:tcW w:w="1620" w:type="dxa"/>
            <w:vAlign w:val="bottom"/>
            <w:tcBorders>
              <w:top w:val="single" w:sz="8" w:color="001544"/>
            </w:tcBorders>
          </w:tcPr>
          <w:p>
            <w:pPr>
              <w:spacing w:after="0"/>
              <w:rPr>
                <w:sz w:val="20"/>
                <w:szCs w:val="20"/>
                <w:color w:val="auto"/>
              </w:rPr>
            </w:pPr>
            <w:r>
              <w:rPr>
                <w:rFonts w:ascii="Arial" w:cs="Arial" w:eastAsia="Arial" w:hAnsi="Arial"/>
                <w:sz w:val="17"/>
                <w:szCs w:val="17"/>
                <w:color w:val="auto"/>
              </w:rPr>
              <w:t>Other Business</w:t>
            </w:r>
          </w:p>
        </w:tc>
        <w:tc>
          <w:tcPr>
            <w:tcW w:w="200" w:type="dxa"/>
            <w:vAlign w:val="bottom"/>
            <w:tcBorders>
              <w:top w:val="single" w:sz="8" w:color="001544"/>
            </w:tcBorders>
          </w:tcPr>
          <w:p>
            <w:pPr>
              <w:spacing w:after="0"/>
              <w:rPr>
                <w:sz w:val="18"/>
                <w:szCs w:val="18"/>
                <w:color w:val="auto"/>
              </w:rPr>
            </w:pPr>
          </w:p>
        </w:tc>
        <w:tc>
          <w:tcPr>
            <w:tcW w:w="440" w:type="dxa"/>
            <w:vAlign w:val="bottom"/>
            <w:tcBorders>
              <w:top w:val="single" w:sz="8" w:color="001544"/>
            </w:tcBorders>
          </w:tcPr>
          <w:p>
            <w:pPr>
              <w:spacing w:after="0"/>
              <w:rPr>
                <w:sz w:val="18"/>
                <w:szCs w:val="18"/>
                <w:color w:val="auto"/>
              </w:rPr>
            </w:pPr>
          </w:p>
        </w:tc>
        <w:tc>
          <w:tcPr>
            <w:tcW w:w="540" w:type="dxa"/>
            <w:vAlign w:val="bottom"/>
            <w:tcBorders>
              <w:top w:val="single" w:sz="8" w:color="001544"/>
            </w:tcBorders>
          </w:tcPr>
          <w:p>
            <w:pPr>
              <w:spacing w:after="0"/>
              <w:rPr>
                <w:sz w:val="18"/>
                <w:szCs w:val="18"/>
                <w:color w:val="auto"/>
              </w:rPr>
            </w:pPr>
          </w:p>
        </w:tc>
        <w:tc>
          <w:tcPr>
            <w:tcW w:w="5920" w:type="dxa"/>
            <w:vAlign w:val="bottom"/>
            <w:tcBorders>
              <w:top w:val="single" w:sz="8" w:color="001544"/>
            </w:tcBorders>
            <w:gridSpan w:val="3"/>
          </w:tcPr>
          <w:p>
            <w:pPr>
              <w:ind w:left="220"/>
              <w:spacing w:after="0"/>
              <w:rPr>
                <w:sz w:val="20"/>
                <w:szCs w:val="20"/>
                <w:color w:val="auto"/>
              </w:rPr>
            </w:pPr>
            <w:r>
              <w:rPr>
                <w:rFonts w:ascii="Arial" w:cs="Arial" w:eastAsia="Arial" w:hAnsi="Arial"/>
                <w:sz w:val="17"/>
                <w:szCs w:val="17"/>
                <w:color w:val="auto"/>
              </w:rPr>
              <w:t>Transact any other business that may properly come before the 2025</w:t>
            </w:r>
          </w:p>
        </w:tc>
        <w:tc>
          <w:tcPr>
            <w:tcW w:w="0" w:type="dxa"/>
            <w:vAlign w:val="bottom"/>
          </w:tcPr>
          <w:p>
            <w:pPr>
              <w:spacing w:after="0"/>
              <w:rPr>
                <w:sz w:val="1"/>
                <w:szCs w:val="1"/>
                <w:color w:val="auto"/>
              </w:rPr>
            </w:pPr>
          </w:p>
        </w:tc>
      </w:tr>
      <w:tr>
        <w:trPr>
          <w:trHeight w:val="204"/>
        </w:trPr>
        <w:tc>
          <w:tcPr>
            <w:tcW w:w="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920" w:type="dxa"/>
            <w:vAlign w:val="bottom"/>
            <w:gridSpan w:val="3"/>
          </w:tcPr>
          <w:p>
            <w:pPr>
              <w:ind w:left="220"/>
              <w:spacing w:after="0"/>
              <w:rPr>
                <w:sz w:val="20"/>
                <w:szCs w:val="20"/>
                <w:color w:val="auto"/>
              </w:rPr>
            </w:pPr>
            <w:r>
              <w:rPr>
                <w:rFonts w:ascii="Arial" w:cs="Arial" w:eastAsia="Arial" w:hAnsi="Arial"/>
                <w:sz w:val="17"/>
                <w:szCs w:val="17"/>
                <w:color w:val="auto"/>
              </w:rPr>
              <w:t>Annual Meeting or any postponement or adjournment of the 2025 Annual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-1450975</wp:posOffset>
            </wp:positionV>
            <wp:extent cx="6009005" cy="16040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9005" cy="1604010"/>
                    </a:xfrm>
                    <a:prstGeom prst="rect">
                      <a:avLst/>
                    </a:prstGeom>
                    <a:noFill/>
                  </pic:spPr>
                </pic:pic>
              </a:graphicData>
            </a:graphic>
          </wp:anchor>
        </w:drawing>
      </w:r>
    </w:p>
    <w:p>
      <w:pPr>
        <w:ind w:left="3780"/>
        <w:spacing w:after="0"/>
        <w:rPr>
          <w:sz w:val="20"/>
          <w:szCs w:val="20"/>
          <w:color w:val="auto"/>
        </w:rPr>
      </w:pPr>
      <w:r>
        <w:rPr>
          <w:rFonts w:ascii="Arial" w:cs="Arial" w:eastAsia="Arial" w:hAnsi="Arial"/>
          <w:sz w:val="17"/>
          <w:szCs w:val="17"/>
          <w:color w:val="auto"/>
        </w:rPr>
        <w:t>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594360</wp:posOffset>
            </wp:positionV>
            <wp:extent cx="600900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09005" cy="1587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27940</wp:posOffset>
            </wp:positionV>
            <wp:extent cx="60090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548640</wp:posOffset>
            </wp:positionV>
            <wp:extent cx="1508125" cy="407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08125" cy="40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Annual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Our 2024 Annual Report to Stockholders accompanies this Proxy Statement.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Proxy Voting</w:t>
      </w:r>
    </w:p>
    <w:p>
      <w:pPr>
        <w:spacing w:after="0" w:line="2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Your vote is very important. Whether or not you plan to attend the virtual 2025 Annual Meeting via live webcast, you are encouraged to read the proxy statement and submit your proxy card or voting instructions form as soon as possible to ensure that your shares are represented and voted at the 2025 Annual Meeting. If you hold your shares as a record holder, you may vote your shares by proxy via the phone or the Internet by following the instructions provided on the enclosed proxy card or by completing, signing, dating and returning your proxy card in the postage-paid envelope provided. If you hold your shares through a broker or other custodian, please follow the instructions you received from the holder of record to vote your shares.</w:t>
      </w:r>
    </w:p>
    <w:p>
      <w:pPr>
        <w:spacing w:after="0" w:line="184"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131445</wp:posOffset>
            </wp:positionV>
            <wp:extent cx="1684020" cy="398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84020" cy="39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001544"/>
        </w:rPr>
        <w:t>GEOFFREY GOLDSCHEIN</w:t>
      </w:r>
    </w:p>
    <w:p>
      <w:pPr>
        <w:spacing w:after="0" w:line="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Chief Legal Officer</w:t>
      </w:r>
    </w:p>
    <w:p>
      <w:pPr>
        <w:ind w:left="4760"/>
        <w:spacing w:after="0"/>
        <w:rPr>
          <w:sz w:val="20"/>
          <w:szCs w:val="20"/>
          <w:color w:val="auto"/>
        </w:rPr>
      </w:pPr>
      <w:r>
        <w:rPr>
          <w:rFonts w:ascii="Arial" w:cs="Arial" w:eastAsia="Arial" w:hAnsi="Arial"/>
          <w:sz w:val="18"/>
          <w:szCs w:val="18"/>
          <w:color w:val="auto"/>
        </w:rPr>
        <w:t>and Secretary</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17, 2025</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Boca Raton,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680085</wp:posOffset>
            </wp:positionV>
            <wp:extent cx="600900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ectPr>
          <w:pgSz w:w="11900" w:h="16838" w:orient="portrait"/>
          <w:cols w:equalWidth="0" w:num="1">
            <w:col w:w="9440"/>
          </w:cols>
          <w:pgMar w:left="1200" w:top="487" w:right="125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40"/>
          <w:szCs w:val="40"/>
          <w:color w:val="auto"/>
        </w:rPr>
        <w:t>TABLE OF</w:t>
      </w:r>
    </w:p>
    <w:p>
      <w:pPr>
        <w:spacing w:after="0" w:line="50"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130810</wp:posOffset>
            </wp:positionV>
            <wp:extent cx="478790" cy="641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8790" cy="64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00" w:hanging="889"/>
        <w:spacing w:after="0"/>
        <w:tabs>
          <w:tab w:leader="none" w:pos="900" w:val="left"/>
        </w:tabs>
        <w:numPr>
          <w:ilvl w:val="0"/>
          <w:numId w:val="4"/>
        </w:numPr>
        <w:rPr>
          <w:rFonts w:ascii="Arial" w:cs="Arial" w:eastAsia="Arial" w:hAnsi="Arial"/>
          <w:sz w:val="17"/>
          <w:szCs w:val="17"/>
          <w:b w:val="1"/>
          <w:bCs w:val="1"/>
          <w:color w:val="001544"/>
        </w:rPr>
      </w:pPr>
      <w:r>
        <w:rPr>
          <w:rFonts w:ascii="Arial" w:cs="Arial" w:eastAsia="Arial" w:hAnsi="Arial"/>
          <w:sz w:val="17"/>
          <w:szCs w:val="17"/>
          <w:b w:val="1"/>
          <w:bCs w:val="1"/>
          <w:u w:val="single" w:color="auto"/>
          <w:color w:val="001544"/>
        </w:rPr>
        <w:t>PROXY SUMMARY</w:t>
      </w:r>
    </w:p>
    <w:p>
      <w:pPr>
        <w:spacing w:after="0" w:line="21" w:lineRule="exact"/>
        <w:rPr>
          <w:rFonts w:ascii="Arial" w:cs="Arial" w:eastAsia="Arial" w:hAnsi="Arial"/>
          <w:sz w:val="17"/>
          <w:szCs w:val="17"/>
          <w:b w:val="1"/>
          <w:bCs w:val="1"/>
          <w:color w:val="001544"/>
        </w:rPr>
      </w:pPr>
    </w:p>
    <w:p>
      <w:pPr>
        <w:ind w:left="900" w:hanging="889"/>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0000EE"/>
        </w:rPr>
        <w:t>2025 Annual Meeting</w:t>
      </w:r>
    </w:p>
    <w:p>
      <w:pPr>
        <w:spacing w:after="0" w:line="6" w:lineRule="exact"/>
        <w:rPr>
          <w:sz w:val="20"/>
          <w:szCs w:val="20"/>
          <w:color w:val="auto"/>
        </w:rPr>
      </w:pPr>
    </w:p>
    <w:p>
      <w:pPr>
        <w:ind w:left="900" w:hanging="889"/>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0000EE"/>
        </w:rPr>
        <w:t>2024 Year in Review</w:t>
      </w:r>
    </w:p>
    <w:p>
      <w:pPr>
        <w:spacing w:after="0" w:line="6" w:lineRule="exact"/>
        <w:rPr>
          <w:sz w:val="20"/>
          <w:szCs w:val="20"/>
          <w:color w:val="auto"/>
        </w:rPr>
      </w:pPr>
    </w:p>
    <w:p>
      <w:pPr>
        <w:ind w:left="900" w:hanging="889"/>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0000EE"/>
        </w:rPr>
        <w:t>Corporate Governance Highlights</w:t>
      </w:r>
    </w:p>
    <w:p>
      <w:pPr>
        <w:spacing w:after="0" w:line="291" w:lineRule="exact"/>
        <w:rPr>
          <w:sz w:val="20"/>
          <w:szCs w:val="20"/>
          <w:color w:val="auto"/>
        </w:rPr>
      </w:pPr>
    </w:p>
    <w:p>
      <w:pPr>
        <w:ind w:left="900" w:right="820" w:hanging="889"/>
        <w:spacing w:after="0" w:line="248" w:lineRule="auto"/>
        <w:tabs>
          <w:tab w:leader="none" w:pos="900" w:val="left"/>
        </w:tabs>
        <w:numPr>
          <w:ilvl w:val="0"/>
          <w:numId w:val="7"/>
        </w:numPr>
        <w:rPr>
          <w:rFonts w:ascii="Arial" w:cs="Arial" w:eastAsia="Arial" w:hAnsi="Arial"/>
          <w:sz w:val="17"/>
          <w:szCs w:val="17"/>
          <w:b w:val="1"/>
          <w:bCs w:val="1"/>
          <w:color w:val="001544"/>
        </w:rPr>
      </w:pPr>
      <w:r>
        <w:rPr>
          <w:rFonts w:ascii="Arial" w:cs="Arial" w:eastAsia="Arial" w:hAnsi="Arial"/>
          <w:sz w:val="17"/>
          <w:szCs w:val="17"/>
          <w:b w:val="1"/>
          <w:bCs w:val="1"/>
          <w:u w:val="single" w:color="auto"/>
          <w:color w:val="001544"/>
        </w:rPr>
        <w:t>PROPOSAL NO. 1: ELECTION OF DIRECTORS</w:t>
      </w:r>
    </w:p>
    <w:p>
      <w:pPr>
        <w:spacing w:after="0" w:line="2" w:lineRule="exact"/>
        <w:rPr>
          <w:sz w:val="20"/>
          <w:szCs w:val="20"/>
          <w:color w:val="auto"/>
        </w:rPr>
      </w:pPr>
    </w:p>
    <w:p>
      <w:pPr>
        <w:ind w:left="900" w:hanging="889"/>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0000EE"/>
        </w:rPr>
        <w:t>Board of Directors</w:t>
      </w:r>
    </w:p>
    <w:p>
      <w:pPr>
        <w:spacing w:after="0" w:line="6" w:lineRule="exact"/>
        <w:rPr>
          <w:sz w:val="20"/>
          <w:szCs w:val="20"/>
          <w:color w:val="auto"/>
        </w:rPr>
      </w:pPr>
    </w:p>
    <w:p>
      <w:pPr>
        <w:ind w:left="900" w:hanging="889"/>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0000EE"/>
        </w:rPr>
        <w:t>Corporate Governance</w:t>
      </w:r>
    </w:p>
    <w:p>
      <w:pPr>
        <w:spacing w:after="0" w:line="6" w:lineRule="exact"/>
        <w:rPr>
          <w:sz w:val="20"/>
          <w:szCs w:val="20"/>
          <w:color w:val="auto"/>
        </w:rPr>
      </w:pPr>
    </w:p>
    <w:p>
      <w:pPr>
        <w:ind w:left="900" w:right="160" w:hanging="889"/>
        <w:spacing w:after="0" w:line="239"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0000EE"/>
        </w:rPr>
        <w:t>Information about our Board of Directors and its Committees</w:t>
      </w:r>
    </w:p>
    <w:p>
      <w:pPr>
        <w:ind w:left="900" w:hanging="889"/>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0000EE"/>
        </w:rPr>
        <w:t>Director Compensation</w:t>
      </w:r>
    </w:p>
    <w:p>
      <w:pPr>
        <w:spacing w:after="0" w:line="291" w:lineRule="exact"/>
        <w:rPr>
          <w:sz w:val="20"/>
          <w:szCs w:val="20"/>
          <w:color w:val="auto"/>
        </w:rPr>
      </w:pPr>
    </w:p>
    <w:p>
      <w:pPr>
        <w:ind w:left="900" w:hanging="889"/>
        <w:spacing w:after="0"/>
        <w:tabs>
          <w:tab w:leader="none" w:pos="900" w:val="left"/>
        </w:tabs>
        <w:numPr>
          <w:ilvl w:val="0"/>
          <w:numId w:val="12"/>
        </w:numPr>
        <w:rPr>
          <w:rFonts w:ascii="Arial" w:cs="Arial" w:eastAsia="Arial" w:hAnsi="Arial"/>
          <w:sz w:val="17"/>
          <w:szCs w:val="17"/>
          <w:b w:val="1"/>
          <w:bCs w:val="1"/>
          <w:color w:val="001544"/>
        </w:rPr>
      </w:pPr>
      <w:r>
        <w:rPr>
          <w:rFonts w:ascii="Arial" w:cs="Arial" w:eastAsia="Arial" w:hAnsi="Arial"/>
          <w:sz w:val="17"/>
          <w:szCs w:val="17"/>
          <w:b w:val="1"/>
          <w:bCs w:val="1"/>
          <w:u w:val="single" w:color="auto"/>
          <w:color w:val="001544"/>
        </w:rPr>
        <w:t>EXECUTIVE OFFICERS</w:t>
      </w:r>
    </w:p>
    <w:p>
      <w:pPr>
        <w:spacing w:after="0" w:line="307" w:lineRule="exact"/>
        <w:rPr>
          <w:sz w:val="20"/>
          <w:szCs w:val="20"/>
          <w:color w:val="auto"/>
        </w:rPr>
      </w:pPr>
    </w:p>
    <w:p>
      <w:pPr>
        <w:ind w:left="900" w:right="300" w:hanging="889"/>
        <w:spacing w:after="0" w:line="275" w:lineRule="auto"/>
        <w:tabs>
          <w:tab w:leader="none" w:pos="900" w:val="left"/>
        </w:tabs>
        <w:numPr>
          <w:ilvl w:val="0"/>
          <w:numId w:val="13"/>
        </w:numPr>
        <w:rPr>
          <w:rFonts w:ascii="Arial" w:cs="Arial" w:eastAsia="Arial" w:hAnsi="Arial"/>
          <w:sz w:val="16"/>
          <w:szCs w:val="16"/>
          <w:b w:val="1"/>
          <w:bCs w:val="1"/>
          <w:color w:val="001544"/>
        </w:rPr>
      </w:pPr>
      <w:r>
        <w:rPr>
          <w:rFonts w:ascii="Arial" w:cs="Arial" w:eastAsia="Arial" w:hAnsi="Arial"/>
          <w:sz w:val="16"/>
          <w:szCs w:val="16"/>
          <w:b w:val="1"/>
          <w:bCs w:val="1"/>
          <w:u w:val="single" w:color="auto"/>
          <w:color w:val="001544"/>
        </w:rPr>
        <w:t>PROPOSAL NO. 2: NON-BINDING, ADVISORY VOTE TO APPROVE NAMED EXECUTIVE OFFICER COMPENSATION</w:t>
      </w:r>
    </w:p>
    <w:p>
      <w:pPr>
        <w:spacing w:after="0" w:line="247" w:lineRule="exact"/>
        <w:rPr>
          <w:rFonts w:ascii="Arial" w:cs="Arial" w:eastAsia="Arial" w:hAnsi="Arial"/>
          <w:sz w:val="16"/>
          <w:szCs w:val="16"/>
          <w:b w:val="1"/>
          <w:bCs w:val="1"/>
          <w:color w:val="001544"/>
        </w:rPr>
      </w:pPr>
    </w:p>
    <w:p>
      <w:pPr>
        <w:ind w:left="900" w:hanging="889"/>
        <w:spacing w:after="0"/>
        <w:tabs>
          <w:tab w:leader="none" w:pos="900" w:val="left"/>
        </w:tabs>
        <w:numPr>
          <w:ilvl w:val="0"/>
          <w:numId w:val="13"/>
        </w:numPr>
        <w:rPr>
          <w:rFonts w:ascii="Arial" w:cs="Arial" w:eastAsia="Arial" w:hAnsi="Arial"/>
          <w:sz w:val="17"/>
          <w:szCs w:val="17"/>
          <w:b w:val="1"/>
          <w:bCs w:val="1"/>
          <w:color w:val="001544"/>
        </w:rPr>
      </w:pPr>
      <w:r>
        <w:rPr>
          <w:rFonts w:ascii="Arial" w:cs="Arial" w:eastAsia="Arial" w:hAnsi="Arial"/>
          <w:sz w:val="17"/>
          <w:szCs w:val="17"/>
          <w:b w:val="1"/>
          <w:bCs w:val="1"/>
          <w:u w:val="single" w:color="auto"/>
          <w:color w:val="001544"/>
        </w:rPr>
        <w:t>COMPENSATION COMMITTEE REPORT</w:t>
      </w:r>
    </w:p>
    <w:p>
      <w:pPr>
        <w:spacing w:after="0" w:line="307" w:lineRule="exact"/>
        <w:rPr>
          <w:rFonts w:ascii="Arial" w:cs="Arial" w:eastAsia="Arial" w:hAnsi="Arial"/>
          <w:sz w:val="17"/>
          <w:szCs w:val="17"/>
          <w:b w:val="1"/>
          <w:bCs w:val="1"/>
          <w:color w:val="001544"/>
        </w:rPr>
      </w:pPr>
    </w:p>
    <w:p>
      <w:pPr>
        <w:ind w:left="900" w:right="620" w:hanging="889"/>
        <w:spacing w:after="0" w:line="248" w:lineRule="auto"/>
        <w:tabs>
          <w:tab w:leader="none" w:pos="900" w:val="left"/>
        </w:tabs>
        <w:numPr>
          <w:ilvl w:val="0"/>
          <w:numId w:val="13"/>
        </w:numPr>
        <w:rPr>
          <w:rFonts w:ascii="Arial" w:cs="Arial" w:eastAsia="Arial" w:hAnsi="Arial"/>
          <w:sz w:val="17"/>
          <w:szCs w:val="17"/>
          <w:b w:val="1"/>
          <w:bCs w:val="1"/>
          <w:color w:val="001544"/>
        </w:rPr>
      </w:pPr>
      <w:r>
        <w:rPr>
          <w:rFonts w:ascii="Arial" w:cs="Arial" w:eastAsia="Arial" w:hAnsi="Arial"/>
          <w:sz w:val="17"/>
          <w:szCs w:val="17"/>
          <w:b w:val="1"/>
          <w:bCs w:val="1"/>
          <w:u w:val="single" w:color="auto"/>
          <w:color w:val="001544"/>
        </w:rPr>
        <w:t>COMPENSATION DISCUSSION AND ANALYSIS</w:t>
      </w:r>
    </w:p>
    <w:p>
      <w:pPr>
        <w:spacing w:after="0" w:line="1" w:lineRule="exact"/>
        <w:rPr>
          <w:rFonts w:ascii="Arial" w:cs="Arial" w:eastAsia="Arial" w:hAnsi="Arial"/>
          <w:sz w:val="17"/>
          <w:szCs w:val="17"/>
          <w:b w:val="1"/>
          <w:bCs w:val="1"/>
          <w:color w:val="001544"/>
        </w:rPr>
      </w:pPr>
    </w:p>
    <w:p>
      <w:pPr>
        <w:ind w:left="900" w:hanging="889"/>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0000EE"/>
        </w:rPr>
        <w:t>Executive Compensation Program</w:t>
      </w:r>
    </w:p>
    <w:p>
      <w:pPr>
        <w:spacing w:after="0" w:line="6" w:lineRule="exact"/>
        <w:rPr>
          <w:sz w:val="20"/>
          <w:szCs w:val="20"/>
          <w:color w:val="auto"/>
        </w:rPr>
      </w:pPr>
    </w:p>
    <w:p>
      <w:pPr>
        <w:ind w:left="900" w:hanging="889"/>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0000EE"/>
        </w:rPr>
        <w:t>Compensation Tables and Related Narrative</w:t>
      </w:r>
    </w:p>
    <w:p>
      <w:pPr>
        <w:spacing w:after="0" w:line="6" w:lineRule="exact"/>
        <w:rPr>
          <w:sz w:val="20"/>
          <w:szCs w:val="20"/>
          <w:color w:val="auto"/>
        </w:rPr>
      </w:pPr>
    </w:p>
    <w:p>
      <w:pPr>
        <w:ind w:left="900" w:right="260" w:hanging="889"/>
        <w:spacing w:after="0" w:line="239"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0000EE"/>
        </w:rPr>
        <w:t>Discussion of Summary Compensation and Grants of Plan-Based Awards Tables</w:t>
      </w:r>
    </w:p>
    <w:p>
      <w:pPr>
        <w:ind w:left="900" w:hanging="88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0000EE"/>
        </w:rPr>
        <w:t>Equity Compensation Plan Information</w:t>
      </w:r>
    </w:p>
    <w:p>
      <w:pPr>
        <w:spacing w:after="0" w:line="291" w:lineRule="exact"/>
        <w:rPr>
          <w:sz w:val="20"/>
          <w:szCs w:val="20"/>
          <w:color w:val="auto"/>
        </w:rPr>
      </w:pPr>
    </w:p>
    <w:p>
      <w:pPr>
        <w:ind w:left="900" w:hanging="889"/>
        <w:spacing w:after="0" w:line="264" w:lineRule="auto"/>
        <w:tabs>
          <w:tab w:leader="none" w:pos="900" w:val="left"/>
        </w:tabs>
        <w:numPr>
          <w:ilvl w:val="0"/>
          <w:numId w:val="17"/>
        </w:numPr>
        <w:rPr>
          <w:rFonts w:ascii="Arial" w:cs="Arial" w:eastAsia="Arial" w:hAnsi="Arial"/>
          <w:sz w:val="16"/>
          <w:szCs w:val="16"/>
          <w:b w:val="1"/>
          <w:bCs w:val="1"/>
          <w:color w:val="001544"/>
        </w:rPr>
      </w:pPr>
      <w:r>
        <w:rPr>
          <w:rFonts w:ascii="Arial" w:cs="Arial" w:eastAsia="Arial" w:hAnsi="Arial"/>
          <w:sz w:val="16"/>
          <w:szCs w:val="16"/>
          <w:b w:val="1"/>
          <w:bCs w:val="1"/>
          <w:u w:val="single" w:color="auto"/>
          <w:color w:val="001544"/>
        </w:rPr>
        <w:t>SECURITY OWNERSHIP OF CERTAIN BENEFICIAL OWNERS AND MANAGEMENT</w:t>
      </w:r>
    </w:p>
    <w:p>
      <w:pPr>
        <w:spacing w:after="0" w:line="1" w:lineRule="exact"/>
        <w:rPr>
          <w:sz w:val="20"/>
          <w:szCs w:val="20"/>
          <w:color w:val="auto"/>
        </w:rPr>
      </w:pPr>
    </w:p>
    <w:p>
      <w:pPr>
        <w:ind w:left="900" w:right="100" w:hanging="889"/>
        <w:spacing w:after="0" w:line="254"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0000EE"/>
        </w:rPr>
        <w:t>Ownership of Equity Securities of the Company by Directors and Executive Officers</w:t>
      </w:r>
    </w:p>
    <w:p>
      <w:pPr>
        <w:ind w:left="900" w:right="740" w:hanging="889"/>
        <w:spacing w:after="0" w:line="243"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0000EE"/>
        </w:rPr>
        <w:t>Ownership of Equity Securities of the Company by 5% Stockholders</w:t>
      </w:r>
    </w:p>
    <w:p>
      <w:pPr>
        <w:spacing w:after="0" w:line="279" w:lineRule="exact"/>
        <w:rPr>
          <w:rFonts w:ascii="Arial" w:cs="Arial" w:eastAsia="Arial" w:hAnsi="Arial"/>
          <w:sz w:val="17"/>
          <w:szCs w:val="17"/>
          <w:color w:val="auto"/>
        </w:rPr>
      </w:pPr>
    </w:p>
    <w:p>
      <w:pPr>
        <w:ind w:left="900" w:right="80" w:hanging="889"/>
        <w:spacing w:after="0" w:line="275" w:lineRule="auto"/>
        <w:tabs>
          <w:tab w:leader="none" w:pos="900" w:val="left"/>
        </w:tabs>
        <w:numPr>
          <w:ilvl w:val="0"/>
          <w:numId w:val="19"/>
        </w:numPr>
        <w:rPr>
          <w:rFonts w:ascii="Arial" w:cs="Arial" w:eastAsia="Arial" w:hAnsi="Arial"/>
          <w:sz w:val="16"/>
          <w:szCs w:val="16"/>
          <w:b w:val="1"/>
          <w:bCs w:val="1"/>
          <w:color w:val="001544"/>
        </w:rPr>
      </w:pPr>
      <w:r>
        <w:rPr>
          <w:rFonts w:ascii="Arial" w:cs="Arial" w:eastAsia="Arial" w:hAnsi="Arial"/>
          <w:sz w:val="16"/>
          <w:szCs w:val="16"/>
          <w:b w:val="1"/>
          <w:bCs w:val="1"/>
          <w:u w:val="single" w:color="auto"/>
          <w:color w:val="001544"/>
        </w:rPr>
        <w:t>PROPOSAL NO. 3: RATIFICATION OF APPOINTMENT OF OUR INDEPENDENT REGISTERED PUBLIC ACCOUNTING FIRM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01" w:hanging="901"/>
        <w:spacing w:after="0"/>
        <w:tabs>
          <w:tab w:leader="none" w:pos="901" w:val="left"/>
        </w:tabs>
        <w:numPr>
          <w:ilvl w:val="0"/>
          <w:numId w:val="20"/>
        </w:numPr>
        <w:rPr>
          <w:rFonts w:ascii="Arial" w:cs="Arial" w:eastAsia="Arial" w:hAnsi="Arial"/>
          <w:sz w:val="17"/>
          <w:szCs w:val="17"/>
          <w:b w:val="1"/>
          <w:bCs w:val="1"/>
          <w:color w:val="001544"/>
        </w:rPr>
      </w:pPr>
      <w:r>
        <w:rPr>
          <w:rFonts w:ascii="Arial" w:cs="Arial" w:eastAsia="Arial" w:hAnsi="Arial"/>
          <w:sz w:val="17"/>
          <w:szCs w:val="17"/>
          <w:b w:val="1"/>
          <w:bCs w:val="1"/>
          <w:u w:val="single" w:color="auto"/>
          <w:color w:val="001544"/>
        </w:rPr>
        <w:t>AUDIT COMMITTEE REPORT</w:t>
      </w:r>
    </w:p>
    <w:p>
      <w:pPr>
        <w:spacing w:after="0" w:line="200" w:lineRule="exact"/>
        <w:rPr>
          <w:rFonts w:ascii="Arial" w:cs="Arial" w:eastAsia="Arial" w:hAnsi="Arial"/>
          <w:sz w:val="17"/>
          <w:szCs w:val="17"/>
          <w:b w:val="1"/>
          <w:bCs w:val="1"/>
          <w:color w:val="001544"/>
        </w:rPr>
      </w:pPr>
    </w:p>
    <w:p>
      <w:pPr>
        <w:spacing w:after="0" w:line="207" w:lineRule="exact"/>
        <w:rPr>
          <w:rFonts w:ascii="Arial" w:cs="Arial" w:eastAsia="Arial" w:hAnsi="Arial"/>
          <w:sz w:val="17"/>
          <w:szCs w:val="17"/>
          <w:b w:val="1"/>
          <w:bCs w:val="1"/>
          <w:color w:val="001544"/>
        </w:rPr>
      </w:pPr>
    </w:p>
    <w:p>
      <w:pPr>
        <w:ind w:left="901" w:right="500" w:hanging="901"/>
        <w:spacing w:after="0" w:line="273" w:lineRule="auto"/>
        <w:tabs>
          <w:tab w:leader="none" w:pos="901" w:val="left"/>
        </w:tabs>
        <w:numPr>
          <w:ilvl w:val="0"/>
          <w:numId w:val="20"/>
        </w:numPr>
        <w:rPr>
          <w:rFonts w:ascii="Arial" w:cs="Arial" w:eastAsia="Arial" w:hAnsi="Arial"/>
          <w:sz w:val="17"/>
          <w:szCs w:val="17"/>
          <w:b w:val="1"/>
          <w:bCs w:val="1"/>
          <w:color w:val="001544"/>
        </w:rPr>
      </w:pPr>
      <w:r>
        <w:rPr>
          <w:rFonts w:ascii="Arial" w:cs="Arial" w:eastAsia="Arial" w:hAnsi="Arial"/>
          <w:sz w:val="17"/>
          <w:szCs w:val="17"/>
          <w:b w:val="1"/>
          <w:bCs w:val="1"/>
          <w:u w:val="single" w:color="auto"/>
          <w:color w:val="001544"/>
        </w:rPr>
        <w:t>INDEPENDENT REGISTERED PUBLIC ACCOUNTING FIRM’S FEES</w:t>
      </w:r>
    </w:p>
    <w:p>
      <w:pPr>
        <w:spacing w:after="0" w:line="346" w:lineRule="exact"/>
        <w:rPr>
          <w:rFonts w:ascii="Arial" w:cs="Arial" w:eastAsia="Arial" w:hAnsi="Arial"/>
          <w:sz w:val="17"/>
          <w:szCs w:val="17"/>
          <w:b w:val="1"/>
          <w:bCs w:val="1"/>
          <w:color w:val="001544"/>
        </w:rPr>
      </w:pPr>
    </w:p>
    <w:p>
      <w:pPr>
        <w:ind w:left="901" w:right="160" w:hanging="901"/>
        <w:spacing w:after="0" w:line="273" w:lineRule="auto"/>
        <w:tabs>
          <w:tab w:leader="none" w:pos="901" w:val="left"/>
        </w:tabs>
        <w:numPr>
          <w:ilvl w:val="0"/>
          <w:numId w:val="20"/>
        </w:numPr>
        <w:rPr>
          <w:rFonts w:ascii="Arial" w:cs="Arial" w:eastAsia="Arial" w:hAnsi="Arial"/>
          <w:sz w:val="17"/>
          <w:szCs w:val="17"/>
          <w:b w:val="1"/>
          <w:bCs w:val="1"/>
          <w:color w:val="001544"/>
        </w:rPr>
      </w:pPr>
      <w:r>
        <w:rPr>
          <w:rFonts w:ascii="Arial" w:cs="Arial" w:eastAsia="Arial" w:hAnsi="Arial"/>
          <w:sz w:val="17"/>
          <w:szCs w:val="17"/>
          <w:b w:val="1"/>
          <w:bCs w:val="1"/>
          <w:u w:val="single" w:color="auto"/>
          <w:color w:val="001544"/>
        </w:rPr>
        <w:t>CERTAIN RELATIONSHIPS AND RELATED TRANSACTIONS</w:t>
      </w:r>
    </w:p>
    <w:p>
      <w:pPr>
        <w:spacing w:after="0" w:line="45" w:lineRule="exact"/>
        <w:rPr>
          <w:sz w:val="20"/>
          <w:szCs w:val="20"/>
          <w:color w:val="auto"/>
        </w:rPr>
      </w:pPr>
    </w:p>
    <w:p>
      <w:pPr>
        <w:ind w:left="901" w:right="980" w:hanging="901"/>
        <w:spacing w:after="0" w:line="263" w:lineRule="auto"/>
        <w:tabs>
          <w:tab w:leader="none" w:pos="901"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0000EE"/>
        </w:rPr>
        <w:t>Policy for Review of Related Party Transactions</w:t>
      </w:r>
    </w:p>
    <w:p>
      <w:pPr>
        <w:spacing w:after="0" w:line="363" w:lineRule="exact"/>
        <w:rPr>
          <w:sz w:val="20"/>
          <w:szCs w:val="20"/>
          <w:color w:val="auto"/>
        </w:rPr>
      </w:pPr>
    </w:p>
    <w:p>
      <w:pPr>
        <w:ind w:left="901" w:right="320" w:hanging="901"/>
        <w:spacing w:after="0" w:line="273" w:lineRule="auto"/>
        <w:tabs>
          <w:tab w:leader="none" w:pos="901" w:val="left"/>
        </w:tabs>
        <w:numPr>
          <w:ilvl w:val="0"/>
          <w:numId w:val="22"/>
        </w:numPr>
        <w:rPr>
          <w:rFonts w:ascii="Arial" w:cs="Arial" w:eastAsia="Arial" w:hAnsi="Arial"/>
          <w:sz w:val="17"/>
          <w:szCs w:val="17"/>
          <w:b w:val="1"/>
          <w:bCs w:val="1"/>
          <w:color w:val="001544"/>
        </w:rPr>
      </w:pPr>
      <w:r>
        <w:rPr>
          <w:rFonts w:ascii="Arial" w:cs="Arial" w:eastAsia="Arial" w:hAnsi="Arial"/>
          <w:sz w:val="17"/>
          <w:szCs w:val="17"/>
          <w:b w:val="1"/>
          <w:bCs w:val="1"/>
          <w:u w:val="single" w:color="auto"/>
          <w:color w:val="001544"/>
        </w:rPr>
        <w:t>FREQUENTLY ASKED QUESTIONS AND ANSWERS</w:t>
      </w:r>
    </w:p>
    <w:p>
      <w:pPr>
        <w:spacing w:after="0" w:line="45" w:lineRule="exact"/>
        <w:rPr>
          <w:sz w:val="20"/>
          <w:szCs w:val="20"/>
          <w:color w:val="auto"/>
        </w:rPr>
      </w:pPr>
    </w:p>
    <w:p>
      <w:pPr>
        <w:ind w:left="901" w:hanging="901"/>
        <w:spacing w:after="0" w:line="263" w:lineRule="auto"/>
        <w:tabs>
          <w:tab w:leader="none" w:pos="901"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0000EE"/>
        </w:rPr>
        <w:t>Questions and Answers about the 2025 Annual Meeting and Voting</w:t>
      </w:r>
    </w:p>
    <w:p>
      <w:pPr>
        <w:spacing w:after="0" w:line="62" w:lineRule="exact"/>
        <w:rPr>
          <w:sz w:val="20"/>
          <w:szCs w:val="20"/>
          <w:color w:val="auto"/>
        </w:rPr>
      </w:pPr>
    </w:p>
    <w:p>
      <w:pPr>
        <w:ind w:left="901" w:right="880" w:hanging="901"/>
        <w:spacing w:after="0" w:line="263" w:lineRule="auto"/>
        <w:tabs>
          <w:tab w:leader="none" w:pos="901"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0000EE"/>
        </w:rPr>
        <w:t>Attend Our 2025 Annual Meeting of Stockholders</w:t>
      </w:r>
    </w:p>
    <w:p>
      <w:pPr>
        <w:spacing w:after="0" w:line="363" w:lineRule="exact"/>
        <w:rPr>
          <w:sz w:val="20"/>
          <w:szCs w:val="20"/>
          <w:color w:val="auto"/>
        </w:rPr>
      </w:pPr>
    </w:p>
    <w:p>
      <w:pPr>
        <w:ind w:left="901" w:hanging="901"/>
        <w:spacing w:after="0"/>
        <w:tabs>
          <w:tab w:leader="none" w:pos="901" w:val="left"/>
        </w:tabs>
        <w:numPr>
          <w:ilvl w:val="0"/>
          <w:numId w:val="25"/>
        </w:numPr>
        <w:rPr>
          <w:rFonts w:ascii="Arial" w:cs="Arial" w:eastAsia="Arial" w:hAnsi="Arial"/>
          <w:sz w:val="17"/>
          <w:szCs w:val="17"/>
          <w:b w:val="1"/>
          <w:bCs w:val="1"/>
          <w:color w:val="001544"/>
        </w:rPr>
      </w:pPr>
      <w:r>
        <w:rPr>
          <w:rFonts w:ascii="Arial" w:cs="Arial" w:eastAsia="Arial" w:hAnsi="Arial"/>
          <w:sz w:val="17"/>
          <w:szCs w:val="17"/>
          <w:b w:val="1"/>
          <w:bCs w:val="1"/>
          <w:u w:val="single" w:color="auto"/>
          <w:color w:val="001544"/>
        </w:rPr>
        <w:t>OTHER INFORMATION</w:t>
      </w:r>
    </w:p>
    <w:p>
      <w:pPr>
        <w:spacing w:after="0" w:line="106" w:lineRule="exact"/>
        <w:rPr>
          <w:sz w:val="20"/>
          <w:szCs w:val="20"/>
          <w:color w:val="auto"/>
        </w:rPr>
      </w:pPr>
    </w:p>
    <w:p>
      <w:pPr>
        <w:ind w:left="901" w:right="880" w:hanging="901"/>
        <w:spacing w:after="0" w:line="263" w:lineRule="auto"/>
        <w:tabs>
          <w:tab w:leader="none" w:pos="901"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0000EE"/>
        </w:rPr>
        <w:t>Stockholder Proposals and Director Nominations for 2026</w:t>
      </w:r>
    </w:p>
    <w:p>
      <w:pPr>
        <w:spacing w:after="0" w:line="62" w:lineRule="exact"/>
        <w:rPr>
          <w:sz w:val="20"/>
          <w:szCs w:val="20"/>
          <w:color w:val="auto"/>
        </w:rPr>
      </w:pPr>
    </w:p>
    <w:p>
      <w:pPr>
        <w:ind w:left="901" w:hanging="901"/>
        <w:spacing w:after="0"/>
        <w:tabs>
          <w:tab w:leader="none" w:pos="901"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0000EE"/>
        </w:rPr>
        <w:t>Annual Report</w:t>
      </w:r>
    </w:p>
    <w:p>
      <w:pPr>
        <w:spacing w:after="0" w:line="106" w:lineRule="exact"/>
        <w:rPr>
          <w:rFonts w:ascii="Arial" w:cs="Arial" w:eastAsia="Arial" w:hAnsi="Arial"/>
          <w:sz w:val="17"/>
          <w:szCs w:val="17"/>
          <w:color w:val="auto"/>
        </w:rPr>
      </w:pPr>
    </w:p>
    <w:p>
      <w:pPr>
        <w:ind w:left="901" w:hanging="901"/>
        <w:spacing w:after="0"/>
        <w:tabs>
          <w:tab w:leader="none" w:pos="901"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0000EE"/>
        </w:rPr>
        <w:t>Where You Can Find More Information</w:t>
      </w:r>
    </w:p>
    <w:p>
      <w:pPr>
        <w:spacing w:after="0" w:line="106" w:lineRule="exact"/>
        <w:rPr>
          <w:sz w:val="20"/>
          <w:szCs w:val="20"/>
          <w:color w:val="auto"/>
        </w:rPr>
      </w:pPr>
    </w:p>
    <w:p>
      <w:pPr>
        <w:ind w:left="901" w:hanging="901"/>
        <w:spacing w:after="0"/>
        <w:tabs>
          <w:tab w:leader="none" w:pos="901"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0000EE"/>
        </w:rPr>
        <w:t>Eliminating Duplicate Mailings</w:t>
      </w:r>
    </w:p>
    <w:p>
      <w:pPr>
        <w:spacing w:after="0" w:line="106" w:lineRule="exact"/>
        <w:rPr>
          <w:sz w:val="20"/>
          <w:szCs w:val="20"/>
          <w:color w:val="auto"/>
        </w:rPr>
      </w:pPr>
    </w:p>
    <w:p>
      <w:pPr>
        <w:ind w:left="901" w:hanging="901"/>
        <w:spacing w:after="0"/>
        <w:tabs>
          <w:tab w:leader="none" w:pos="901"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0000EE"/>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1594485</wp:posOffset>
            </wp:positionV>
            <wp:extent cx="600900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ectPr>
          <w:pgSz w:w="11900" w:h="16838" w:orient="portrait"/>
          <w:cols w:equalWidth="0" w:num="2">
            <w:col w:w="4380" w:space="699"/>
            <w:col w:w="4401"/>
          </w:cols>
          <w:pgMar w:left="1200" w:top="487" w:right="121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100"/>
        <w:spacing w:after="0"/>
        <w:rPr>
          <w:sz w:val="20"/>
          <w:szCs w:val="20"/>
          <w:color w:val="auto"/>
        </w:rPr>
      </w:pPr>
      <w:r>
        <w:rPr>
          <w:rFonts w:ascii="Arial" w:cs="Arial" w:eastAsia="Arial" w:hAnsi="Arial"/>
          <w:sz w:val="15"/>
          <w:szCs w:val="15"/>
          <w:color w:val="auto"/>
        </w:rPr>
        <w:t>DigitalBridge Group, Inc.</w:t>
      </w:r>
    </w:p>
    <w:p>
      <w:pPr>
        <w:spacing w:after="0" w:line="17" w:lineRule="exact"/>
        <w:rPr>
          <w:sz w:val="20"/>
          <w:szCs w:val="20"/>
          <w:color w:val="auto"/>
        </w:rPr>
      </w:pPr>
    </w:p>
    <w:p>
      <w:pPr>
        <w:ind w:left="7100"/>
        <w:spacing w:after="0"/>
        <w:rPr>
          <w:sz w:val="20"/>
          <w:szCs w:val="20"/>
          <w:color w:val="auto"/>
        </w:rPr>
      </w:pPr>
      <w:r>
        <w:rPr>
          <w:rFonts w:ascii="Arial" w:cs="Arial" w:eastAsia="Arial" w:hAnsi="Arial"/>
          <w:sz w:val="15"/>
          <w:szCs w:val="15"/>
          <w:color w:val="auto"/>
        </w:rPr>
        <w:t>750 Park of Commerce Drive</w:t>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5"/>
          <w:szCs w:val="15"/>
          <w:color w:val="auto"/>
        </w:rPr>
        <w:t>Suite 210</w:t>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5"/>
          <w:szCs w:val="15"/>
          <w:color w:val="auto"/>
        </w:rPr>
        <w:t>Boca Raton, Florida 33487</w:t>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5"/>
          <w:szCs w:val="15"/>
          <w:color w:val="auto"/>
        </w:rPr>
        <w:t>(561) 570-4644</w:t>
      </w:r>
    </w:p>
    <w:p>
      <w:pPr>
        <w:spacing w:after="0" w:line="176" w:lineRule="exact"/>
        <w:rPr>
          <w:sz w:val="20"/>
          <w:szCs w:val="20"/>
          <w:color w:val="auto"/>
        </w:rPr>
      </w:pPr>
    </w:p>
    <w:p>
      <w:pPr>
        <w:spacing w:after="0"/>
        <w:rPr>
          <w:sz w:val="20"/>
          <w:szCs w:val="20"/>
          <w:color w:val="auto"/>
        </w:rPr>
      </w:pPr>
      <w:r>
        <w:rPr>
          <w:rFonts w:ascii="Arial" w:cs="Arial" w:eastAsia="Arial" w:hAnsi="Arial"/>
          <w:sz w:val="40"/>
          <w:szCs w:val="40"/>
          <w:color w:val="auto"/>
        </w:rPr>
        <w:t>PROXY</w:t>
      </w:r>
    </w:p>
    <w:p>
      <w:pPr>
        <w:spacing w:after="0" w:line="50"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194945</wp:posOffset>
            </wp:positionV>
            <wp:extent cx="478790" cy="641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8790" cy="6413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i w:val="1"/>
          <w:iCs w:val="1"/>
          <w:color w:val="auto"/>
        </w:rPr>
        <w:t>This summary highlights information contained elsewhere in this Proxy Statement. This summary does not contain all of the information that you should consider, and you should read the entire Proxy Statement carefully before voting. This Proxy Statement and the enclosed form of proxy are first being mailed to stockholders of DigitalBridge Group, Inc., a Maryland corporation (the “Company,” “DigitalBridge,” “DBRG,” “we,” “our” or “us”), on or about April 17, 2025.</w:t>
      </w:r>
    </w:p>
    <w:p>
      <w:pPr>
        <w:spacing w:after="0" w:line="141"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i w:val="1"/>
          <w:iCs w:val="1"/>
          <w:color w:val="auto"/>
        </w:rPr>
        <w:t>Throughout this Proxy Statement, common stock share and per share information, including units of DigitalBridge Operating Company, LLC, our operating company, and stock award units have been revised for all periods presented to give effect to the one-for-four reverse stock split effected in August 2022.</w:t>
      </w:r>
    </w:p>
    <w:p>
      <w:pPr>
        <w:spacing w:after="0" w:line="124" w:lineRule="exact"/>
        <w:rPr>
          <w:sz w:val="20"/>
          <w:szCs w:val="20"/>
          <w:color w:val="auto"/>
        </w:rPr>
      </w:pPr>
    </w:p>
    <w:p>
      <w:pPr>
        <w:spacing w:after="0"/>
        <w:rPr>
          <w:sz w:val="20"/>
          <w:szCs w:val="20"/>
          <w:color w:val="auto"/>
        </w:rPr>
      </w:pPr>
      <w:r>
        <w:rPr>
          <w:rFonts w:ascii="Arial" w:cs="Arial" w:eastAsia="Arial" w:hAnsi="Arial"/>
          <w:sz w:val="35"/>
          <w:szCs w:val="35"/>
          <w:b w:val="1"/>
          <w:bCs w:val="1"/>
          <w:color w:val="001544"/>
        </w:rPr>
        <w:t>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256540</wp:posOffset>
            </wp:positionV>
            <wp:extent cx="382905"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2905" cy="342900"/>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153035</wp:posOffset>
            </wp:positionV>
            <wp:extent cx="382905" cy="447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2905" cy="44704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40" w:type="dxa"/>
            <w:vAlign w:val="bottom"/>
          </w:tcPr>
          <w:p>
            <w:pPr>
              <w:ind w:left="940"/>
              <w:spacing w:after="0"/>
              <w:rPr>
                <w:sz w:val="20"/>
                <w:szCs w:val="20"/>
                <w:color w:val="auto"/>
              </w:rPr>
            </w:pPr>
            <w:r>
              <w:rPr>
                <w:rFonts w:ascii="Arial" w:cs="Arial" w:eastAsia="Arial" w:hAnsi="Arial"/>
                <w:sz w:val="16"/>
                <w:szCs w:val="16"/>
                <w:b w:val="1"/>
                <w:bCs w:val="1"/>
                <w:color w:val="001544"/>
              </w:rPr>
              <w:t>Place</w:t>
            </w:r>
          </w:p>
        </w:tc>
      </w:tr>
      <w:tr>
        <w:trPr>
          <w:trHeight w:val="218"/>
        </w:trPr>
        <w:tc>
          <w:tcPr>
            <w:tcW w:w="4620" w:type="dxa"/>
            <w:vAlign w:val="bottom"/>
          </w:tcPr>
          <w:p>
            <w:pPr>
              <w:ind w:left="940"/>
              <w:spacing w:after="0"/>
              <w:rPr>
                <w:sz w:val="20"/>
                <w:szCs w:val="20"/>
                <w:color w:val="auto"/>
              </w:rPr>
            </w:pPr>
            <w:r>
              <w:rPr>
                <w:rFonts w:ascii="Arial" w:cs="Arial" w:eastAsia="Arial" w:hAnsi="Arial"/>
                <w:sz w:val="16"/>
                <w:szCs w:val="16"/>
                <w:b w:val="1"/>
                <w:bCs w:val="1"/>
                <w:color w:val="001544"/>
              </w:rPr>
              <w:t>Date and Time</w:t>
            </w:r>
          </w:p>
        </w:tc>
        <w:tc>
          <w:tcPr>
            <w:tcW w:w="200" w:type="dxa"/>
            <w:vAlign w:val="bottom"/>
          </w:tcPr>
          <w:p>
            <w:pPr>
              <w:spacing w:after="0"/>
              <w:rPr>
                <w:sz w:val="18"/>
                <w:szCs w:val="18"/>
                <w:color w:val="auto"/>
              </w:rPr>
            </w:pPr>
          </w:p>
        </w:tc>
        <w:tc>
          <w:tcPr>
            <w:tcW w:w="4640" w:type="dxa"/>
            <w:vAlign w:val="bottom"/>
          </w:tcPr>
          <w:p>
            <w:pPr>
              <w:ind w:left="940"/>
              <w:spacing w:after="0"/>
              <w:rPr>
                <w:sz w:val="20"/>
                <w:szCs w:val="20"/>
                <w:color w:val="auto"/>
              </w:rPr>
            </w:pPr>
            <w:r>
              <w:rPr>
                <w:rFonts w:ascii="Arial" w:cs="Arial" w:eastAsia="Arial" w:hAnsi="Arial"/>
                <w:sz w:val="16"/>
                <w:szCs w:val="16"/>
                <w:b w:val="1"/>
                <w:bCs w:val="1"/>
                <w:color w:val="001544"/>
              </w:rPr>
              <w:t>via Live Audio Webcast</w:t>
            </w:r>
          </w:p>
        </w:tc>
      </w:tr>
      <w:tr>
        <w:trPr>
          <w:trHeight w:val="55"/>
        </w:trPr>
        <w:tc>
          <w:tcPr>
            <w:tcW w:w="4620" w:type="dxa"/>
            <w:vAlign w:val="bottom"/>
            <w:tcBorders>
              <w:bottom w:val="single" w:sz="8" w:color="001544"/>
            </w:tcBorders>
          </w:tcPr>
          <w:p>
            <w:pPr>
              <w:spacing w:after="0"/>
              <w:rPr>
                <w:sz w:val="4"/>
                <w:szCs w:val="4"/>
                <w:color w:val="auto"/>
              </w:rPr>
            </w:pPr>
          </w:p>
        </w:tc>
        <w:tc>
          <w:tcPr>
            <w:tcW w:w="200" w:type="dxa"/>
            <w:vAlign w:val="bottom"/>
          </w:tcPr>
          <w:p>
            <w:pPr>
              <w:spacing w:after="0"/>
              <w:rPr>
                <w:sz w:val="4"/>
                <w:szCs w:val="4"/>
                <w:color w:val="auto"/>
              </w:rPr>
            </w:pPr>
          </w:p>
        </w:tc>
        <w:tc>
          <w:tcPr>
            <w:tcW w:w="4640" w:type="dxa"/>
            <w:vAlign w:val="bottom"/>
            <w:tcBorders>
              <w:bottom w:val="single" w:sz="8" w:color="001544"/>
            </w:tcBorders>
          </w:tcPr>
          <w:p>
            <w:pPr>
              <w:spacing w:after="0"/>
              <w:rPr>
                <w:sz w:val="4"/>
                <w:szCs w:val="4"/>
                <w:color w:val="auto"/>
              </w:rPr>
            </w:pPr>
          </w:p>
        </w:tc>
      </w:tr>
      <w:tr>
        <w:trPr>
          <w:trHeight w:val="215"/>
        </w:trPr>
        <w:tc>
          <w:tcPr>
            <w:tcW w:w="4620" w:type="dxa"/>
            <w:vAlign w:val="bottom"/>
            <w:shd w:val="clear" w:color="auto" w:fill="DBDFEA"/>
          </w:tcPr>
          <w:p>
            <w:pPr>
              <w:ind w:left="60"/>
              <w:spacing w:after="0"/>
              <w:rPr>
                <w:sz w:val="20"/>
                <w:szCs w:val="20"/>
                <w:color w:val="auto"/>
              </w:rPr>
            </w:pPr>
            <w:r>
              <w:rPr>
                <w:rFonts w:ascii="Arial" w:cs="Arial" w:eastAsia="Arial" w:hAnsi="Arial"/>
                <w:sz w:val="17"/>
                <w:szCs w:val="17"/>
                <w:color w:val="auto"/>
              </w:rPr>
              <w:t>May 23, 2025,</w:t>
            </w:r>
          </w:p>
        </w:tc>
        <w:tc>
          <w:tcPr>
            <w:tcW w:w="200" w:type="dxa"/>
            <w:vAlign w:val="bottom"/>
          </w:tcPr>
          <w:p>
            <w:pPr>
              <w:spacing w:after="0"/>
              <w:rPr>
                <w:sz w:val="18"/>
                <w:szCs w:val="18"/>
                <w:color w:val="auto"/>
              </w:rPr>
            </w:pPr>
          </w:p>
        </w:tc>
        <w:tc>
          <w:tcPr>
            <w:tcW w:w="4640" w:type="dxa"/>
            <w:vAlign w:val="bottom"/>
            <w:shd w:val="clear" w:color="auto" w:fill="DBDFEA"/>
          </w:tcPr>
          <w:p>
            <w:pPr>
              <w:ind w:left="60"/>
              <w:spacing w:after="0"/>
              <w:rPr>
                <w:sz w:val="20"/>
                <w:szCs w:val="20"/>
                <w:color w:val="auto"/>
              </w:rPr>
            </w:pPr>
            <w:r>
              <w:rPr>
                <w:rFonts w:ascii="Arial" w:cs="Arial" w:eastAsia="Arial" w:hAnsi="Arial"/>
                <w:sz w:val="17"/>
                <w:szCs w:val="17"/>
                <w:color w:val="auto"/>
              </w:rPr>
              <w:t>https://web.lumiconnect.com/286413441;</w:t>
            </w:r>
          </w:p>
        </w:tc>
      </w:tr>
      <w:tr>
        <w:trPr>
          <w:trHeight w:val="188"/>
        </w:trPr>
        <w:tc>
          <w:tcPr>
            <w:tcW w:w="4620" w:type="dxa"/>
            <w:vAlign w:val="bottom"/>
            <w:shd w:val="clear" w:color="auto" w:fill="DBDFEA"/>
          </w:tcPr>
          <w:p>
            <w:pPr>
              <w:ind w:left="60"/>
              <w:spacing w:after="0" w:line="189" w:lineRule="exact"/>
              <w:rPr>
                <w:sz w:val="20"/>
                <w:szCs w:val="20"/>
                <w:color w:val="auto"/>
              </w:rPr>
            </w:pPr>
            <w:r>
              <w:rPr>
                <w:rFonts w:ascii="Arial" w:cs="Arial" w:eastAsia="Arial" w:hAnsi="Arial"/>
                <w:sz w:val="17"/>
                <w:szCs w:val="17"/>
                <w:color w:val="auto"/>
              </w:rPr>
              <w:t>at 9:00 a.m., Eastern Time</w:t>
            </w:r>
          </w:p>
        </w:tc>
        <w:tc>
          <w:tcPr>
            <w:tcW w:w="200" w:type="dxa"/>
            <w:vAlign w:val="bottom"/>
          </w:tcPr>
          <w:p>
            <w:pPr>
              <w:spacing w:after="0"/>
              <w:rPr>
                <w:sz w:val="16"/>
                <w:szCs w:val="16"/>
                <w:color w:val="auto"/>
              </w:rPr>
            </w:pPr>
          </w:p>
        </w:tc>
        <w:tc>
          <w:tcPr>
            <w:tcW w:w="4640" w:type="dxa"/>
            <w:vAlign w:val="bottom"/>
            <w:shd w:val="clear" w:color="auto" w:fill="DBDFEA"/>
          </w:tcPr>
          <w:p>
            <w:pPr>
              <w:ind w:left="60"/>
              <w:spacing w:after="0" w:line="189" w:lineRule="exact"/>
              <w:rPr>
                <w:sz w:val="20"/>
                <w:szCs w:val="20"/>
                <w:color w:val="auto"/>
              </w:rPr>
            </w:pPr>
            <w:r>
              <w:rPr>
                <w:rFonts w:ascii="Arial" w:cs="Arial" w:eastAsia="Arial" w:hAnsi="Arial"/>
                <w:sz w:val="17"/>
                <w:szCs w:val="17"/>
                <w:color w:val="auto"/>
              </w:rPr>
              <w:t>passcode: digitalbridge2025 (unique 11-digit control number</w:t>
            </w:r>
          </w:p>
        </w:tc>
      </w:tr>
      <w:tr>
        <w:trPr>
          <w:trHeight w:val="236"/>
        </w:trPr>
        <w:tc>
          <w:tcPr>
            <w:tcW w:w="4620" w:type="dxa"/>
            <w:vAlign w:val="bottom"/>
            <w:tcBorders>
              <w:bottom w:val="single" w:sz="8" w:color="DBDFEA"/>
            </w:tcBorders>
            <w:shd w:val="clear" w:color="auto" w:fill="DBDFEA"/>
          </w:tcPr>
          <w:p>
            <w:pPr>
              <w:spacing w:after="0"/>
              <w:rPr>
                <w:sz w:val="20"/>
                <w:szCs w:val="20"/>
                <w:color w:val="auto"/>
              </w:rPr>
            </w:pPr>
          </w:p>
        </w:tc>
        <w:tc>
          <w:tcPr>
            <w:tcW w:w="200" w:type="dxa"/>
            <w:vAlign w:val="bottom"/>
          </w:tcPr>
          <w:p>
            <w:pPr>
              <w:spacing w:after="0"/>
              <w:rPr>
                <w:sz w:val="20"/>
                <w:szCs w:val="20"/>
                <w:color w:val="auto"/>
              </w:rPr>
            </w:pPr>
          </w:p>
        </w:tc>
        <w:tc>
          <w:tcPr>
            <w:tcW w:w="4640" w:type="dxa"/>
            <w:vAlign w:val="bottom"/>
            <w:tcBorders>
              <w:bottom w:val="single" w:sz="8" w:color="DBDFEA"/>
            </w:tcBorders>
            <w:shd w:val="clear" w:color="auto" w:fill="DBDFEA"/>
          </w:tcPr>
          <w:p>
            <w:pPr>
              <w:ind w:left="60"/>
              <w:spacing w:after="0"/>
              <w:rPr>
                <w:sz w:val="20"/>
                <w:szCs w:val="20"/>
                <w:color w:val="auto"/>
              </w:rPr>
            </w:pPr>
            <w:r>
              <w:rPr>
                <w:rFonts w:ascii="Arial" w:cs="Arial" w:eastAsia="Arial" w:hAnsi="Arial"/>
                <w:sz w:val="17"/>
                <w:szCs w:val="17"/>
                <w:color w:val="auto"/>
              </w:rPr>
              <w:t>required)</w:t>
            </w:r>
          </w:p>
        </w:tc>
      </w:tr>
      <w:tr>
        <w:trPr>
          <w:trHeight w:val="581"/>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40" w:type="dxa"/>
            <w:vAlign w:val="bottom"/>
          </w:tcPr>
          <w:p>
            <w:pPr>
              <w:ind w:left="940"/>
              <w:spacing w:after="0"/>
              <w:rPr>
                <w:sz w:val="20"/>
                <w:szCs w:val="20"/>
                <w:color w:val="auto"/>
              </w:rPr>
            </w:pPr>
            <w:r>
              <w:rPr>
                <w:rFonts w:ascii="Arial" w:cs="Arial" w:eastAsia="Arial" w:hAnsi="Arial"/>
                <w:sz w:val="16"/>
                <w:szCs w:val="16"/>
                <w:b w:val="1"/>
                <w:bCs w:val="1"/>
                <w:color w:val="001544"/>
              </w:rPr>
              <w:t>Technical Support</w:t>
            </w:r>
          </w:p>
        </w:tc>
      </w:tr>
      <w:tr>
        <w:trPr>
          <w:trHeight w:val="218"/>
        </w:trPr>
        <w:tc>
          <w:tcPr>
            <w:tcW w:w="4620" w:type="dxa"/>
            <w:vAlign w:val="bottom"/>
          </w:tcPr>
          <w:p>
            <w:pPr>
              <w:ind w:left="940"/>
              <w:spacing w:after="0"/>
              <w:rPr>
                <w:sz w:val="20"/>
                <w:szCs w:val="20"/>
                <w:color w:val="auto"/>
              </w:rPr>
            </w:pPr>
            <w:r>
              <w:rPr>
                <w:rFonts w:ascii="Arial" w:cs="Arial" w:eastAsia="Arial" w:hAnsi="Arial"/>
                <w:sz w:val="16"/>
                <w:szCs w:val="16"/>
                <w:b w:val="1"/>
                <w:bCs w:val="1"/>
                <w:color w:val="001544"/>
              </w:rPr>
              <w:t>Voting</w:t>
            </w:r>
          </w:p>
        </w:tc>
        <w:tc>
          <w:tcPr>
            <w:tcW w:w="200" w:type="dxa"/>
            <w:vAlign w:val="bottom"/>
          </w:tcPr>
          <w:p>
            <w:pPr>
              <w:spacing w:after="0"/>
              <w:rPr>
                <w:sz w:val="18"/>
                <w:szCs w:val="18"/>
                <w:color w:val="auto"/>
              </w:rPr>
            </w:pPr>
          </w:p>
        </w:tc>
        <w:tc>
          <w:tcPr>
            <w:tcW w:w="4640" w:type="dxa"/>
            <w:vAlign w:val="bottom"/>
          </w:tcPr>
          <w:p>
            <w:pPr>
              <w:ind w:left="940"/>
              <w:spacing w:after="0"/>
              <w:rPr>
                <w:sz w:val="20"/>
                <w:szCs w:val="20"/>
                <w:color w:val="auto"/>
              </w:rPr>
            </w:pPr>
            <w:r>
              <w:rPr>
                <w:rFonts w:ascii="Arial" w:cs="Arial" w:eastAsia="Arial" w:hAnsi="Arial"/>
                <w:sz w:val="16"/>
                <w:szCs w:val="16"/>
                <w:b w:val="1"/>
                <w:bCs w:val="1"/>
                <w:color w:val="001544"/>
              </w:rPr>
              <w:t>for the 2025 Annual 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-387350</wp:posOffset>
            </wp:positionV>
            <wp:extent cx="6009005" cy="1811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09005" cy="1811655"/>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p>
      <w:pPr>
        <w:spacing w:after="0" w:line="101" w:lineRule="exact"/>
        <w:rPr>
          <w:sz w:val="20"/>
          <w:szCs w:val="20"/>
          <w:color w:val="auto"/>
        </w:rPr>
      </w:pPr>
    </w:p>
    <w:p>
      <w:pPr>
        <w:ind w:left="80"/>
        <w:spacing w:after="0" w:line="235" w:lineRule="auto"/>
        <w:rPr>
          <w:sz w:val="20"/>
          <w:szCs w:val="20"/>
          <w:color w:val="auto"/>
        </w:rPr>
      </w:pPr>
      <w:r>
        <w:rPr>
          <w:rFonts w:ascii="Arial" w:cs="Arial" w:eastAsia="Arial" w:hAnsi="Arial"/>
          <w:sz w:val="17"/>
          <w:szCs w:val="17"/>
          <w:color w:val="auto"/>
        </w:rPr>
        <w:t>Only holders of record of the Company’s Class A common stock, $0.01 par value per share (“Class A common stock”) and Class B common stock, $0.01 par value per share (“Class B common stock,” and together with Class A common stock, our “common stock”), as of the close of business on April 7, 2025, the record date, will be entitled to notice of and to vote at the 2025 Annual Meeting of Stockholders (the “2025 Annual Meeting”). Each share of Class A common stock entitles its holder to one vote. Each share of Class B common stock entitles its holder to 36.5 votes.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320"/>
        <w:spacing w:after="0" w:line="247" w:lineRule="auto"/>
        <w:rPr>
          <w:sz w:val="20"/>
          <w:szCs w:val="20"/>
          <w:color w:val="auto"/>
        </w:rPr>
      </w:pPr>
      <w:r>
        <w:rPr>
          <w:rFonts w:ascii="Arial" w:cs="Arial" w:eastAsia="Arial" w:hAnsi="Arial"/>
          <w:sz w:val="17"/>
          <w:szCs w:val="17"/>
          <w:color w:val="auto"/>
        </w:rPr>
        <w:t>If you have difficulty accessing the virtual 2025 Annual Meeting, technicians will be available to assist you via the following toll free phone number (800) 937-5449.</w:t>
      </w:r>
    </w:p>
    <w:p>
      <w:pPr>
        <w:spacing w:after="0" w:line="1701" w:lineRule="exact"/>
        <w:rPr>
          <w:sz w:val="20"/>
          <w:szCs w:val="20"/>
          <w:color w:val="auto"/>
        </w:rPr>
      </w:pPr>
    </w:p>
    <w:p>
      <w:pPr>
        <w:sectPr>
          <w:pgSz w:w="11900" w:h="16838" w:orient="portrait"/>
          <w:cols w:equalWidth="0" w:num="2">
            <w:col w:w="4500" w:space="400"/>
            <w:col w:w="4580"/>
          </w:cols>
          <w:pgMar w:left="1200" w:top="487" w:right="121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B1B4B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60090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Proposals and Board Recommendations</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5160" w:type="dxa"/>
            <w:vAlign w:val="bottom"/>
            <w:tcBorders>
              <w:bottom w:val="single" w:sz="8" w:color="001544"/>
            </w:tcBorders>
            <w:gridSpan w:val="2"/>
          </w:tcPr>
          <w:p>
            <w:pPr>
              <w:spacing w:after="0"/>
              <w:rPr>
                <w:sz w:val="20"/>
                <w:szCs w:val="20"/>
                <w:color w:val="auto"/>
              </w:rPr>
            </w:pPr>
            <w:r>
              <w:rPr>
                <w:rFonts w:ascii="Arial" w:cs="Arial" w:eastAsia="Arial" w:hAnsi="Arial"/>
                <w:sz w:val="16"/>
                <w:szCs w:val="16"/>
                <w:b w:val="1"/>
                <w:bCs w:val="1"/>
                <w:color w:val="001544"/>
              </w:rPr>
              <w:t>Proposal</w:t>
            </w:r>
          </w:p>
        </w:tc>
        <w:tc>
          <w:tcPr>
            <w:tcW w:w="2360" w:type="dxa"/>
            <w:vAlign w:val="bottom"/>
            <w:tcBorders>
              <w:bottom w:val="single" w:sz="8" w:color="001544"/>
            </w:tcBorders>
          </w:tcPr>
          <w:p>
            <w:pPr>
              <w:ind w:left="80"/>
              <w:spacing w:after="0"/>
              <w:rPr>
                <w:sz w:val="20"/>
                <w:szCs w:val="20"/>
                <w:color w:val="auto"/>
              </w:rPr>
            </w:pPr>
            <w:r>
              <w:rPr>
                <w:rFonts w:ascii="Arial" w:cs="Arial" w:eastAsia="Arial" w:hAnsi="Arial"/>
                <w:sz w:val="16"/>
                <w:szCs w:val="16"/>
                <w:b w:val="1"/>
                <w:bCs w:val="1"/>
                <w:color w:val="001544"/>
              </w:rPr>
              <w:t>Board Recommendation</w:t>
            </w:r>
          </w:p>
        </w:tc>
        <w:tc>
          <w:tcPr>
            <w:tcW w:w="1940" w:type="dxa"/>
            <w:vAlign w:val="bottom"/>
            <w:tcBorders>
              <w:bottom w:val="single" w:sz="8" w:color="001544"/>
            </w:tcBorders>
          </w:tcPr>
          <w:p>
            <w:pPr>
              <w:jc w:val="center"/>
              <w:ind w:left="60"/>
              <w:spacing w:after="0"/>
              <w:rPr>
                <w:sz w:val="20"/>
                <w:szCs w:val="20"/>
                <w:color w:val="auto"/>
              </w:rPr>
            </w:pPr>
            <w:r>
              <w:rPr>
                <w:rFonts w:ascii="Arial" w:cs="Arial" w:eastAsia="Arial" w:hAnsi="Arial"/>
                <w:sz w:val="16"/>
                <w:szCs w:val="16"/>
                <w:b w:val="1"/>
                <w:bCs w:val="1"/>
                <w:color w:val="001544"/>
                <w:w w:val="99"/>
              </w:rPr>
              <w:t>For More Information</w:t>
            </w:r>
          </w:p>
        </w:tc>
        <w:tc>
          <w:tcPr>
            <w:tcW w:w="0" w:type="dxa"/>
            <w:vAlign w:val="bottom"/>
          </w:tcPr>
          <w:p>
            <w:pPr>
              <w:spacing w:after="0"/>
              <w:rPr>
                <w:sz w:val="1"/>
                <w:szCs w:val="1"/>
                <w:color w:val="auto"/>
              </w:rPr>
            </w:pPr>
          </w:p>
        </w:tc>
      </w:tr>
      <w:tr>
        <w:trPr>
          <w:trHeight w:val="199"/>
        </w:trPr>
        <w:tc>
          <w:tcPr>
            <w:tcW w:w="540" w:type="dxa"/>
            <w:vAlign w:val="bottom"/>
            <w:vMerge w:val="restart"/>
            <w:shd w:val="clear" w:color="auto" w:fill="DBDFEA"/>
          </w:tcPr>
          <w:p>
            <w:pPr>
              <w:jc w:val="right"/>
              <w:ind w:right="147"/>
              <w:spacing w:after="0"/>
              <w:rPr>
                <w:sz w:val="20"/>
                <w:szCs w:val="20"/>
                <w:color w:val="auto"/>
              </w:rPr>
            </w:pPr>
            <w:r>
              <w:rPr>
                <w:rFonts w:ascii="Arial" w:cs="Arial" w:eastAsia="Arial" w:hAnsi="Arial"/>
                <w:sz w:val="30"/>
                <w:szCs w:val="30"/>
                <w:color w:val="001544"/>
              </w:rPr>
              <w:t>1</w:t>
            </w:r>
          </w:p>
        </w:tc>
        <w:tc>
          <w:tcPr>
            <w:tcW w:w="4620" w:type="dxa"/>
            <w:vAlign w:val="bottom"/>
            <w:shd w:val="clear" w:color="auto" w:fill="DBDFEA"/>
          </w:tcPr>
          <w:p>
            <w:pPr>
              <w:ind w:left="100"/>
              <w:spacing w:after="0"/>
              <w:rPr>
                <w:sz w:val="20"/>
                <w:szCs w:val="20"/>
                <w:color w:val="auto"/>
              </w:rPr>
            </w:pPr>
            <w:r>
              <w:rPr>
                <w:rFonts w:ascii="Arial" w:cs="Arial" w:eastAsia="Arial" w:hAnsi="Arial"/>
                <w:sz w:val="16"/>
                <w:szCs w:val="16"/>
                <w:color w:val="auto"/>
              </w:rPr>
              <w:t>To elect 9 directors nominated by our Board of Directors to</w:t>
            </w:r>
          </w:p>
        </w:tc>
        <w:tc>
          <w:tcPr>
            <w:tcW w:w="2360" w:type="dxa"/>
            <w:vAlign w:val="bottom"/>
            <w:shd w:val="clear" w:color="auto" w:fill="DBDFEA"/>
          </w:tcPr>
          <w:p>
            <w:pPr>
              <w:ind w:left="540"/>
              <w:spacing w:after="0"/>
              <w:rPr>
                <w:sz w:val="20"/>
                <w:szCs w:val="20"/>
                <w:color w:val="auto"/>
              </w:rPr>
            </w:pPr>
            <w:r>
              <w:rPr>
                <w:rFonts w:ascii="Arial" w:cs="Arial" w:eastAsia="Arial" w:hAnsi="Arial"/>
                <w:sz w:val="16"/>
                <w:szCs w:val="16"/>
                <w:b w:val="1"/>
                <w:bCs w:val="1"/>
                <w:color w:val="008861"/>
              </w:rPr>
              <w:t xml:space="preserve">FOR </w:t>
            </w:r>
            <w:r>
              <w:rPr>
                <w:rFonts w:ascii="Arial" w:cs="Arial" w:eastAsia="Arial" w:hAnsi="Arial"/>
                <w:sz w:val="16"/>
                <w:szCs w:val="16"/>
                <w:color w:val="000000"/>
              </w:rPr>
              <w:t>each of the</w:t>
            </w:r>
          </w:p>
        </w:tc>
        <w:tc>
          <w:tcPr>
            <w:tcW w:w="1940" w:type="dxa"/>
            <w:vAlign w:val="bottom"/>
            <w:shd w:val="clear" w:color="auto" w:fill="DBDFEA"/>
          </w:tcPr>
          <w:p>
            <w:pPr>
              <w:jc w:val="center"/>
              <w:ind w:left="40"/>
              <w:spacing w:after="0"/>
              <w:rPr>
                <w:sz w:val="20"/>
                <w:szCs w:val="20"/>
                <w:color w:val="auto"/>
              </w:rPr>
            </w:pPr>
            <w:r>
              <w:rPr>
                <w:rFonts w:ascii="Arial" w:cs="Arial" w:eastAsia="Arial" w:hAnsi="Arial"/>
                <w:sz w:val="16"/>
                <w:szCs w:val="16"/>
                <w:color w:val="auto"/>
                <w:w w:val="98"/>
              </w:rPr>
              <w:t>Page 5</w:t>
            </w:r>
          </w:p>
        </w:tc>
        <w:tc>
          <w:tcPr>
            <w:tcW w:w="0" w:type="dxa"/>
            <w:vAlign w:val="bottom"/>
          </w:tcPr>
          <w:p>
            <w:pPr>
              <w:spacing w:after="0"/>
              <w:rPr>
                <w:sz w:val="1"/>
                <w:szCs w:val="1"/>
                <w:color w:val="auto"/>
              </w:rPr>
            </w:pPr>
          </w:p>
        </w:tc>
      </w:tr>
      <w:tr>
        <w:trPr>
          <w:trHeight w:val="176"/>
        </w:trPr>
        <w:tc>
          <w:tcPr>
            <w:tcW w:w="540" w:type="dxa"/>
            <w:vAlign w:val="bottom"/>
            <w:vMerge w:val="continue"/>
            <w:shd w:val="clear" w:color="auto" w:fill="DBDFEA"/>
          </w:tcPr>
          <w:p>
            <w:pPr>
              <w:spacing w:after="0"/>
              <w:rPr>
                <w:sz w:val="15"/>
                <w:szCs w:val="15"/>
                <w:color w:val="auto"/>
              </w:rPr>
            </w:pPr>
          </w:p>
        </w:tc>
        <w:tc>
          <w:tcPr>
            <w:tcW w:w="4620" w:type="dxa"/>
            <w:vAlign w:val="bottom"/>
            <w:shd w:val="clear" w:color="auto" w:fill="DBDFEA"/>
          </w:tcPr>
          <w:p>
            <w:pPr>
              <w:ind w:left="100"/>
              <w:spacing w:after="0" w:line="176" w:lineRule="exact"/>
              <w:rPr>
                <w:sz w:val="20"/>
                <w:szCs w:val="20"/>
                <w:color w:val="auto"/>
              </w:rPr>
            </w:pPr>
            <w:r>
              <w:rPr>
                <w:rFonts w:ascii="Arial" w:cs="Arial" w:eastAsia="Arial" w:hAnsi="Arial"/>
                <w:sz w:val="16"/>
                <w:szCs w:val="16"/>
                <w:color w:val="auto"/>
              </w:rPr>
              <w:t>serve until the 2026 Annual Meeting of Stockholders and until</w:t>
            </w:r>
          </w:p>
        </w:tc>
        <w:tc>
          <w:tcPr>
            <w:tcW w:w="2360" w:type="dxa"/>
            <w:vAlign w:val="bottom"/>
            <w:shd w:val="clear" w:color="auto" w:fill="DBDFEA"/>
          </w:tcPr>
          <w:p>
            <w:pPr>
              <w:ind w:left="540"/>
              <w:spacing w:after="0" w:line="176" w:lineRule="exact"/>
              <w:rPr>
                <w:sz w:val="20"/>
                <w:szCs w:val="20"/>
                <w:color w:val="auto"/>
              </w:rPr>
            </w:pPr>
            <w:r>
              <w:rPr>
                <w:rFonts w:ascii="Arial" w:cs="Arial" w:eastAsia="Arial" w:hAnsi="Arial"/>
                <w:sz w:val="16"/>
                <w:szCs w:val="16"/>
                <w:color w:val="auto"/>
              </w:rPr>
              <w:t>nominees listed on the</w:t>
            </w:r>
          </w:p>
        </w:tc>
        <w:tc>
          <w:tcPr>
            <w:tcW w:w="1940" w:type="dxa"/>
            <w:vAlign w:val="bottom"/>
            <w:shd w:val="clear" w:color="auto" w:fill="DBDFEA"/>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540" w:type="dxa"/>
            <w:vAlign w:val="bottom"/>
            <w:tcBorders>
              <w:bottom w:val="single" w:sz="8" w:color="DBDFEA"/>
            </w:tcBorders>
            <w:shd w:val="clear" w:color="auto" w:fill="DBDFEA"/>
          </w:tcPr>
          <w:p>
            <w:pPr>
              <w:spacing w:after="0"/>
              <w:rPr>
                <w:sz w:val="21"/>
                <w:szCs w:val="21"/>
                <w:color w:val="auto"/>
              </w:rPr>
            </w:pPr>
          </w:p>
        </w:tc>
        <w:tc>
          <w:tcPr>
            <w:tcW w:w="462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6"/>
                <w:szCs w:val="16"/>
                <w:color w:val="auto"/>
              </w:rPr>
              <w:t>his or her successor is duly elected and qualified</w:t>
            </w:r>
          </w:p>
        </w:tc>
        <w:tc>
          <w:tcPr>
            <w:tcW w:w="2360" w:type="dxa"/>
            <w:vAlign w:val="bottom"/>
            <w:tcBorders>
              <w:bottom w:val="single" w:sz="8" w:color="DBDFEA"/>
            </w:tcBorders>
            <w:shd w:val="clear" w:color="auto" w:fill="DBDFEA"/>
          </w:tcPr>
          <w:p>
            <w:pPr>
              <w:ind w:left="540"/>
              <w:spacing w:after="0"/>
              <w:rPr>
                <w:sz w:val="20"/>
                <w:szCs w:val="20"/>
                <w:color w:val="auto"/>
              </w:rPr>
            </w:pPr>
            <w:r>
              <w:rPr>
                <w:rFonts w:ascii="Arial" w:cs="Arial" w:eastAsia="Arial" w:hAnsi="Arial"/>
                <w:sz w:val="16"/>
                <w:szCs w:val="16"/>
                <w:color w:val="auto"/>
              </w:rPr>
              <w:t>enclosed proxy card</w:t>
            </w:r>
          </w:p>
        </w:tc>
        <w:tc>
          <w:tcPr>
            <w:tcW w:w="1940" w:type="dxa"/>
            <w:vAlign w:val="bottom"/>
            <w:tcBorders>
              <w:bottom w:val="single" w:sz="8" w:color="DBDFEA"/>
            </w:tcBorders>
            <w:shd w:val="clear" w:color="auto" w:fill="DBDFEA"/>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40" w:type="dxa"/>
            <w:vAlign w:val="bottom"/>
            <w:tcBorders>
              <w:top w:val="single" w:sz="8" w:color="001544"/>
            </w:tcBorders>
            <w:vMerge w:val="restart"/>
          </w:tcPr>
          <w:p>
            <w:pPr>
              <w:jc w:val="right"/>
              <w:ind w:right="147"/>
              <w:spacing w:after="0"/>
              <w:rPr>
                <w:sz w:val="20"/>
                <w:szCs w:val="20"/>
                <w:color w:val="auto"/>
              </w:rPr>
            </w:pPr>
            <w:r>
              <w:rPr>
                <w:rFonts w:ascii="Arial" w:cs="Arial" w:eastAsia="Arial" w:hAnsi="Arial"/>
                <w:sz w:val="30"/>
                <w:szCs w:val="30"/>
                <w:color w:val="001544"/>
              </w:rPr>
              <w:t>2</w:t>
            </w:r>
          </w:p>
        </w:tc>
        <w:tc>
          <w:tcPr>
            <w:tcW w:w="4620" w:type="dxa"/>
            <w:vAlign w:val="bottom"/>
            <w:tcBorders>
              <w:top w:val="single" w:sz="8" w:color="001544"/>
            </w:tcBorders>
            <w:shd w:val="clear" w:color="auto" w:fill="DBDFEA"/>
          </w:tcPr>
          <w:p>
            <w:pPr>
              <w:ind w:left="100"/>
              <w:spacing w:after="0"/>
              <w:rPr>
                <w:sz w:val="20"/>
                <w:szCs w:val="20"/>
                <w:color w:val="auto"/>
              </w:rPr>
            </w:pPr>
            <w:r>
              <w:rPr>
                <w:rFonts w:ascii="Arial" w:cs="Arial" w:eastAsia="Arial" w:hAnsi="Arial"/>
                <w:sz w:val="16"/>
                <w:szCs w:val="16"/>
                <w:color w:val="auto"/>
              </w:rPr>
              <w:t>To approve, on a non-binding, advisory basis, named executive</w:t>
            </w:r>
          </w:p>
        </w:tc>
        <w:tc>
          <w:tcPr>
            <w:tcW w:w="2360" w:type="dxa"/>
            <w:vAlign w:val="bottom"/>
            <w:tcBorders>
              <w:top w:val="single" w:sz="8" w:color="001544"/>
            </w:tcBorders>
            <w:shd w:val="clear" w:color="auto" w:fill="DBDFEA"/>
          </w:tcPr>
          <w:p>
            <w:pPr>
              <w:ind w:left="540"/>
              <w:spacing w:after="0"/>
              <w:rPr>
                <w:sz w:val="20"/>
                <w:szCs w:val="20"/>
                <w:color w:val="auto"/>
              </w:rPr>
            </w:pPr>
            <w:r>
              <w:rPr>
                <w:rFonts w:ascii="Arial" w:cs="Arial" w:eastAsia="Arial" w:hAnsi="Arial"/>
                <w:sz w:val="16"/>
                <w:szCs w:val="16"/>
                <w:b w:val="1"/>
                <w:bCs w:val="1"/>
                <w:color w:val="008861"/>
              </w:rPr>
              <w:t>FOR</w:t>
            </w:r>
          </w:p>
        </w:tc>
        <w:tc>
          <w:tcPr>
            <w:tcW w:w="1940" w:type="dxa"/>
            <w:vAlign w:val="bottom"/>
            <w:tcBorders>
              <w:top w:val="single" w:sz="8" w:color="001544"/>
            </w:tcBorders>
            <w:shd w:val="clear" w:color="auto" w:fill="DBDFEA"/>
          </w:tcPr>
          <w:p>
            <w:pPr>
              <w:jc w:val="center"/>
              <w:ind w:left="40"/>
              <w:spacing w:after="0"/>
              <w:rPr>
                <w:sz w:val="20"/>
                <w:szCs w:val="20"/>
                <w:color w:val="auto"/>
              </w:rPr>
            </w:pPr>
            <w:r>
              <w:rPr>
                <w:rFonts w:ascii="Arial" w:cs="Arial" w:eastAsia="Arial" w:hAnsi="Arial"/>
                <w:sz w:val="16"/>
                <w:szCs w:val="16"/>
                <w:color w:val="auto"/>
              </w:rPr>
              <w:t>Page 29</w:t>
            </w:r>
          </w:p>
        </w:tc>
        <w:tc>
          <w:tcPr>
            <w:tcW w:w="0" w:type="dxa"/>
            <w:vAlign w:val="bottom"/>
          </w:tcPr>
          <w:p>
            <w:pPr>
              <w:spacing w:after="0"/>
              <w:rPr>
                <w:sz w:val="1"/>
                <w:szCs w:val="1"/>
                <w:color w:val="auto"/>
              </w:rPr>
            </w:pPr>
          </w:p>
        </w:tc>
      </w:tr>
      <w:tr>
        <w:trPr>
          <w:trHeight w:val="261"/>
        </w:trPr>
        <w:tc>
          <w:tcPr>
            <w:tcW w:w="540" w:type="dxa"/>
            <w:vAlign w:val="bottom"/>
            <w:vMerge w:val="continue"/>
          </w:tcPr>
          <w:p>
            <w:pPr>
              <w:spacing w:after="0"/>
              <w:rPr>
                <w:sz w:val="22"/>
                <w:szCs w:val="22"/>
                <w:color w:val="auto"/>
              </w:rPr>
            </w:pPr>
          </w:p>
        </w:tc>
        <w:tc>
          <w:tcPr>
            <w:tcW w:w="462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6"/>
                <w:szCs w:val="16"/>
                <w:color w:val="auto"/>
              </w:rPr>
              <w:t>officer compensation</w:t>
            </w:r>
          </w:p>
        </w:tc>
        <w:tc>
          <w:tcPr>
            <w:tcW w:w="2360" w:type="dxa"/>
            <w:vAlign w:val="bottom"/>
            <w:tcBorders>
              <w:bottom w:val="single" w:sz="8" w:color="DBDFEA"/>
            </w:tcBorders>
            <w:shd w:val="clear" w:color="auto" w:fill="DBDFEA"/>
          </w:tcPr>
          <w:p>
            <w:pPr>
              <w:spacing w:after="0"/>
              <w:rPr>
                <w:sz w:val="22"/>
                <w:szCs w:val="22"/>
                <w:color w:val="auto"/>
              </w:rPr>
            </w:pPr>
          </w:p>
        </w:tc>
        <w:tc>
          <w:tcPr>
            <w:tcW w:w="1940" w:type="dxa"/>
            <w:vAlign w:val="bottom"/>
            <w:tcBorders>
              <w:bottom w:val="single" w:sz="8" w:color="DBDFEA"/>
            </w:tcBorders>
            <w:shd w:val="clear" w:color="auto" w:fill="DBDFEA"/>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40" w:type="dxa"/>
            <w:vAlign w:val="bottom"/>
            <w:tcBorders>
              <w:top w:val="single" w:sz="8" w:color="001544"/>
            </w:tcBorders>
            <w:vMerge w:val="restart"/>
          </w:tcPr>
          <w:p>
            <w:pPr>
              <w:jc w:val="right"/>
              <w:ind w:right="147"/>
              <w:spacing w:after="0"/>
              <w:rPr>
                <w:sz w:val="20"/>
                <w:szCs w:val="20"/>
                <w:color w:val="auto"/>
              </w:rPr>
            </w:pPr>
            <w:r>
              <w:rPr>
                <w:rFonts w:ascii="Arial" w:cs="Arial" w:eastAsia="Arial" w:hAnsi="Arial"/>
                <w:sz w:val="30"/>
                <w:szCs w:val="30"/>
                <w:color w:val="001544"/>
              </w:rPr>
              <w:t>3</w:t>
            </w:r>
          </w:p>
        </w:tc>
        <w:tc>
          <w:tcPr>
            <w:tcW w:w="4620" w:type="dxa"/>
            <w:vAlign w:val="bottom"/>
            <w:tcBorders>
              <w:top w:val="single" w:sz="8" w:color="001544"/>
            </w:tcBorders>
          </w:tcPr>
          <w:p>
            <w:pPr>
              <w:ind w:left="100"/>
              <w:spacing w:after="0"/>
              <w:rPr>
                <w:sz w:val="20"/>
                <w:szCs w:val="20"/>
                <w:color w:val="auto"/>
              </w:rPr>
            </w:pPr>
            <w:r>
              <w:rPr>
                <w:rFonts w:ascii="Arial" w:cs="Arial" w:eastAsia="Arial" w:hAnsi="Arial"/>
                <w:sz w:val="16"/>
                <w:szCs w:val="16"/>
                <w:color w:val="auto"/>
              </w:rPr>
              <w:t>To ratify the appointment of Ernst &amp; Young LLP as our</w:t>
            </w:r>
          </w:p>
        </w:tc>
        <w:tc>
          <w:tcPr>
            <w:tcW w:w="2360" w:type="dxa"/>
            <w:vAlign w:val="bottom"/>
            <w:tcBorders>
              <w:top w:val="single" w:sz="8" w:color="001544"/>
            </w:tcBorders>
          </w:tcPr>
          <w:p>
            <w:pPr>
              <w:ind w:left="540"/>
              <w:spacing w:after="0"/>
              <w:rPr>
                <w:sz w:val="20"/>
                <w:szCs w:val="20"/>
                <w:color w:val="auto"/>
              </w:rPr>
            </w:pPr>
            <w:r>
              <w:rPr>
                <w:rFonts w:ascii="Arial" w:cs="Arial" w:eastAsia="Arial" w:hAnsi="Arial"/>
                <w:sz w:val="16"/>
                <w:szCs w:val="16"/>
                <w:b w:val="1"/>
                <w:bCs w:val="1"/>
                <w:color w:val="008861"/>
              </w:rPr>
              <w:t>FOR</w:t>
            </w:r>
          </w:p>
        </w:tc>
        <w:tc>
          <w:tcPr>
            <w:tcW w:w="1940" w:type="dxa"/>
            <w:vAlign w:val="bottom"/>
            <w:tcBorders>
              <w:top w:val="single" w:sz="8" w:color="001544"/>
            </w:tcBorders>
          </w:tcPr>
          <w:p>
            <w:pPr>
              <w:jc w:val="center"/>
              <w:ind w:left="40"/>
              <w:spacing w:after="0"/>
              <w:rPr>
                <w:sz w:val="20"/>
                <w:szCs w:val="20"/>
                <w:color w:val="auto"/>
              </w:rPr>
            </w:pPr>
            <w:r>
              <w:rPr>
                <w:rFonts w:ascii="Arial" w:cs="Arial" w:eastAsia="Arial" w:hAnsi="Arial"/>
                <w:sz w:val="16"/>
                <w:szCs w:val="16"/>
                <w:color w:val="auto"/>
              </w:rPr>
              <w:t>Page 66</w:t>
            </w:r>
          </w:p>
        </w:tc>
        <w:tc>
          <w:tcPr>
            <w:tcW w:w="0" w:type="dxa"/>
            <w:vAlign w:val="bottom"/>
          </w:tcPr>
          <w:p>
            <w:pPr>
              <w:spacing w:after="0"/>
              <w:rPr>
                <w:sz w:val="1"/>
                <w:szCs w:val="1"/>
                <w:color w:val="auto"/>
              </w:rPr>
            </w:pPr>
          </w:p>
        </w:tc>
      </w:tr>
      <w:tr>
        <w:trPr>
          <w:trHeight w:val="192"/>
        </w:trPr>
        <w:tc>
          <w:tcPr>
            <w:tcW w:w="540" w:type="dxa"/>
            <w:vAlign w:val="bottom"/>
            <w:vMerge w:val="continue"/>
          </w:tcPr>
          <w:p>
            <w:pPr>
              <w:spacing w:after="0"/>
              <w:rPr>
                <w:sz w:val="16"/>
                <w:szCs w:val="16"/>
                <w:color w:val="auto"/>
              </w:rPr>
            </w:pPr>
          </w:p>
        </w:tc>
        <w:tc>
          <w:tcPr>
            <w:tcW w:w="4620" w:type="dxa"/>
            <w:vAlign w:val="bottom"/>
          </w:tcPr>
          <w:p>
            <w:pPr>
              <w:ind w:left="100"/>
              <w:spacing w:after="0"/>
              <w:rPr>
                <w:sz w:val="20"/>
                <w:szCs w:val="20"/>
                <w:color w:val="auto"/>
              </w:rPr>
            </w:pPr>
            <w:r>
              <w:rPr>
                <w:rFonts w:ascii="Arial" w:cs="Arial" w:eastAsia="Arial" w:hAnsi="Arial"/>
                <w:sz w:val="16"/>
                <w:szCs w:val="16"/>
                <w:color w:val="auto"/>
              </w:rPr>
              <w:t>independent registered public accounting firm for the fiscal</w:t>
            </w:r>
          </w:p>
        </w:tc>
        <w:tc>
          <w:tcPr>
            <w:tcW w:w="2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-969010</wp:posOffset>
            </wp:positionV>
            <wp:extent cx="6009005" cy="11169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09005" cy="111696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30480</wp:posOffset>
            </wp:positionV>
            <wp:extent cx="60090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How to Cast Your Vote</w:t>
      </w:r>
    </w:p>
    <w:p>
      <w:pPr>
        <w:spacing w:after="0" w:line="21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have provided you with three different methods for you to vote your proxy. Please see the enclosed proxy card or voting instruction form for additional details regarding each voting method.</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3040" w:type="dxa"/>
            <w:vAlign w:val="bottom"/>
            <w:tcBorders>
              <w:bottom w:val="single" w:sz="8" w:color="001544"/>
            </w:tcBorders>
          </w:tcPr>
          <w:p>
            <w:pPr>
              <w:jc w:val="center"/>
              <w:spacing w:after="0"/>
              <w:rPr>
                <w:sz w:val="20"/>
                <w:szCs w:val="20"/>
                <w:color w:val="auto"/>
              </w:rPr>
            </w:pPr>
            <w:r>
              <w:rPr>
                <w:rFonts w:ascii="Arial" w:cs="Arial" w:eastAsia="Arial" w:hAnsi="Arial"/>
                <w:sz w:val="17"/>
                <w:szCs w:val="17"/>
                <w:b w:val="1"/>
                <w:bCs w:val="1"/>
                <w:color w:val="auto"/>
                <w:w w:val="99"/>
              </w:rPr>
              <w:t>By Internet</w:t>
            </w:r>
          </w:p>
        </w:tc>
        <w:tc>
          <w:tcPr>
            <w:tcW w:w="180" w:type="dxa"/>
            <w:vAlign w:val="bottom"/>
            <w:tcBorders>
              <w:right w:val="single" w:sz="8" w:color="001544"/>
            </w:tcBorders>
          </w:tcPr>
          <w:p>
            <w:pPr>
              <w:spacing w:after="0"/>
              <w:rPr>
                <w:sz w:val="21"/>
                <w:szCs w:val="21"/>
                <w:color w:val="auto"/>
              </w:rPr>
            </w:pPr>
          </w:p>
        </w:tc>
        <w:tc>
          <w:tcPr>
            <w:tcW w:w="160" w:type="dxa"/>
            <w:vAlign w:val="bottom"/>
          </w:tcPr>
          <w:p>
            <w:pPr>
              <w:spacing w:after="0"/>
              <w:rPr>
                <w:sz w:val="21"/>
                <w:szCs w:val="21"/>
                <w:color w:val="auto"/>
              </w:rPr>
            </w:pPr>
          </w:p>
        </w:tc>
        <w:tc>
          <w:tcPr>
            <w:tcW w:w="2860" w:type="dxa"/>
            <w:vAlign w:val="bottom"/>
            <w:tcBorders>
              <w:bottom w:val="single" w:sz="8" w:color="001544"/>
            </w:tcBorders>
          </w:tcPr>
          <w:p>
            <w:pPr>
              <w:jc w:val="center"/>
              <w:spacing w:after="0"/>
              <w:rPr>
                <w:sz w:val="20"/>
                <w:szCs w:val="20"/>
                <w:color w:val="auto"/>
              </w:rPr>
            </w:pPr>
            <w:r>
              <w:rPr>
                <w:rFonts w:ascii="Arial" w:cs="Arial" w:eastAsia="Arial" w:hAnsi="Arial"/>
                <w:sz w:val="17"/>
                <w:szCs w:val="17"/>
                <w:b w:val="1"/>
                <w:bCs w:val="1"/>
                <w:color w:val="auto"/>
                <w:w w:val="98"/>
              </w:rPr>
              <w:t>By Telephone</w:t>
            </w:r>
          </w:p>
        </w:tc>
        <w:tc>
          <w:tcPr>
            <w:tcW w:w="2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860" w:type="dxa"/>
            <w:vAlign w:val="bottom"/>
            <w:tcBorders>
              <w:bottom w:val="single" w:sz="8" w:color="001544"/>
            </w:tcBorders>
          </w:tcPr>
          <w:p>
            <w:pPr>
              <w:jc w:val="center"/>
              <w:spacing w:after="0"/>
              <w:rPr>
                <w:sz w:val="20"/>
                <w:szCs w:val="20"/>
                <w:color w:val="auto"/>
              </w:rPr>
            </w:pPr>
            <w:r>
              <w:rPr>
                <w:rFonts w:ascii="Arial" w:cs="Arial" w:eastAsia="Arial" w:hAnsi="Arial"/>
                <w:sz w:val="17"/>
                <w:szCs w:val="17"/>
                <w:b w:val="1"/>
                <w:bCs w:val="1"/>
                <w:color w:val="auto"/>
              </w:rPr>
              <w:t>By Mail</w:t>
            </w:r>
          </w:p>
        </w:tc>
      </w:tr>
      <w:tr>
        <w:trPr>
          <w:trHeight w:val="718"/>
        </w:trPr>
        <w:tc>
          <w:tcPr>
            <w:tcW w:w="3040" w:type="dxa"/>
            <w:vAlign w:val="bottom"/>
            <w:shd w:val="clear" w:color="auto" w:fill="DBDFEA"/>
          </w:tcPr>
          <w:p>
            <w:pPr>
              <w:jc w:val="center"/>
              <w:spacing w:after="0"/>
              <w:rPr>
                <w:sz w:val="20"/>
                <w:szCs w:val="20"/>
                <w:color w:val="auto"/>
              </w:rPr>
            </w:pPr>
            <w:r>
              <w:rPr>
                <w:rFonts w:ascii="Arial" w:cs="Arial" w:eastAsia="Arial" w:hAnsi="Arial"/>
                <w:sz w:val="17"/>
                <w:szCs w:val="17"/>
                <w:color w:val="auto"/>
                <w:w w:val="96"/>
              </w:rPr>
              <w:t>Vote 24/7</w:t>
            </w:r>
          </w:p>
        </w:tc>
        <w:tc>
          <w:tcPr>
            <w:tcW w:w="180" w:type="dxa"/>
            <w:vAlign w:val="bottom"/>
            <w:tcBorders>
              <w:right w:val="single" w:sz="8" w:color="001544"/>
            </w:tcBorders>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shd w:val="clear" w:color="auto" w:fill="DBDFEA"/>
          </w:tcPr>
          <w:p>
            <w:pPr>
              <w:jc w:val="center"/>
              <w:spacing w:after="0"/>
              <w:rPr>
                <w:sz w:val="20"/>
                <w:szCs w:val="20"/>
                <w:color w:val="auto"/>
              </w:rPr>
            </w:pPr>
            <w:r>
              <w:rPr>
                <w:rFonts w:ascii="Arial" w:cs="Arial" w:eastAsia="Arial" w:hAnsi="Arial"/>
                <w:sz w:val="17"/>
                <w:szCs w:val="17"/>
                <w:color w:val="auto"/>
                <w:w w:val="98"/>
              </w:rPr>
              <w:t>Dial toll-free to vote 24/7</w:t>
            </w:r>
          </w:p>
        </w:tc>
        <w:tc>
          <w:tcPr>
            <w:tcW w:w="2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shd w:val="clear" w:color="auto" w:fill="DBDFEA"/>
          </w:tcPr>
          <w:p>
            <w:pPr>
              <w:jc w:val="center"/>
              <w:spacing w:after="0"/>
              <w:rPr>
                <w:sz w:val="20"/>
                <w:szCs w:val="20"/>
                <w:color w:val="auto"/>
              </w:rPr>
            </w:pPr>
            <w:r>
              <w:rPr>
                <w:rFonts w:ascii="Arial" w:cs="Arial" w:eastAsia="Arial" w:hAnsi="Arial"/>
                <w:sz w:val="17"/>
                <w:szCs w:val="17"/>
                <w:color w:val="auto"/>
                <w:w w:val="98"/>
              </w:rPr>
              <w:t>Cast your ballot, sign your proxy card</w:t>
            </w:r>
          </w:p>
        </w:tc>
      </w:tr>
      <w:tr>
        <w:trPr>
          <w:trHeight w:val="222"/>
        </w:trPr>
        <w:tc>
          <w:tcPr>
            <w:tcW w:w="3040" w:type="dxa"/>
            <w:vAlign w:val="bottom"/>
            <w:shd w:val="clear" w:color="auto" w:fill="DBDFEA"/>
          </w:tcPr>
          <w:p>
            <w:pPr>
              <w:spacing w:after="0"/>
              <w:rPr>
                <w:sz w:val="19"/>
                <w:szCs w:val="19"/>
                <w:color w:val="auto"/>
              </w:rPr>
            </w:pPr>
          </w:p>
        </w:tc>
        <w:tc>
          <w:tcPr>
            <w:tcW w:w="180" w:type="dxa"/>
            <w:vAlign w:val="bottom"/>
            <w:tcBorders>
              <w:right w:val="single" w:sz="8" w:color="001544"/>
            </w:tcBorders>
          </w:tcPr>
          <w:p>
            <w:pPr>
              <w:spacing w:after="0"/>
              <w:rPr>
                <w:sz w:val="19"/>
                <w:szCs w:val="19"/>
                <w:color w:val="auto"/>
              </w:rPr>
            </w:pPr>
          </w:p>
        </w:tc>
        <w:tc>
          <w:tcPr>
            <w:tcW w:w="160" w:type="dxa"/>
            <w:vAlign w:val="bottom"/>
          </w:tcPr>
          <w:p>
            <w:pPr>
              <w:spacing w:after="0"/>
              <w:rPr>
                <w:sz w:val="19"/>
                <w:szCs w:val="19"/>
                <w:color w:val="auto"/>
              </w:rPr>
            </w:pPr>
          </w:p>
        </w:tc>
        <w:tc>
          <w:tcPr>
            <w:tcW w:w="2860" w:type="dxa"/>
            <w:vAlign w:val="bottom"/>
            <w:shd w:val="clear" w:color="auto" w:fill="DBDFEA"/>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60" w:type="dxa"/>
            <w:vAlign w:val="bottom"/>
            <w:shd w:val="clear" w:color="auto" w:fill="DBDFEA"/>
          </w:tcPr>
          <w:p>
            <w:pPr>
              <w:jc w:val="center"/>
              <w:spacing w:after="0"/>
              <w:rPr>
                <w:sz w:val="20"/>
                <w:szCs w:val="20"/>
                <w:color w:val="auto"/>
              </w:rPr>
            </w:pPr>
            <w:r>
              <w:rPr>
                <w:rFonts w:ascii="Arial" w:cs="Arial" w:eastAsia="Arial" w:hAnsi="Arial"/>
                <w:sz w:val="17"/>
                <w:szCs w:val="17"/>
                <w:color w:val="auto"/>
                <w:w w:val="98"/>
              </w:rPr>
              <w:t>and send by pre-paid mail</w:t>
            </w:r>
          </w:p>
        </w:tc>
      </w:tr>
      <w:tr>
        <w:trPr>
          <w:trHeight w:val="34"/>
        </w:trPr>
        <w:tc>
          <w:tcPr>
            <w:tcW w:w="3040" w:type="dxa"/>
            <w:vAlign w:val="bottom"/>
            <w:shd w:val="clear" w:color="auto" w:fill="DBDFEA"/>
          </w:tcPr>
          <w:p>
            <w:pPr>
              <w:spacing w:after="0"/>
              <w:rPr>
                <w:sz w:val="2"/>
                <w:szCs w:val="2"/>
                <w:color w:val="auto"/>
              </w:rPr>
            </w:pPr>
          </w:p>
        </w:tc>
        <w:tc>
          <w:tcPr>
            <w:tcW w:w="180" w:type="dxa"/>
            <w:vAlign w:val="bottom"/>
            <w:tcBorders>
              <w:right w:val="single" w:sz="8" w:color="001544"/>
            </w:tcBorders>
          </w:tcPr>
          <w:p>
            <w:pPr>
              <w:spacing w:after="0"/>
              <w:rPr>
                <w:sz w:val="2"/>
                <w:szCs w:val="2"/>
                <w:color w:val="auto"/>
              </w:rPr>
            </w:pPr>
          </w:p>
        </w:tc>
        <w:tc>
          <w:tcPr>
            <w:tcW w:w="160" w:type="dxa"/>
            <w:vAlign w:val="bottom"/>
          </w:tcPr>
          <w:p>
            <w:pPr>
              <w:spacing w:after="0"/>
              <w:rPr>
                <w:sz w:val="2"/>
                <w:szCs w:val="2"/>
                <w:color w:val="auto"/>
              </w:rPr>
            </w:pPr>
          </w:p>
        </w:tc>
        <w:tc>
          <w:tcPr>
            <w:tcW w:w="2860" w:type="dxa"/>
            <w:vAlign w:val="bottom"/>
            <w:shd w:val="clear" w:color="auto" w:fill="DBDFEA"/>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60" w:type="dxa"/>
            <w:vAlign w:val="bottom"/>
            <w:shd w:val="clear" w:color="auto" w:fill="DBDFEA"/>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-589915</wp:posOffset>
            </wp:positionV>
            <wp:extent cx="319405" cy="255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9405" cy="255270"/>
                    </a:xfrm>
                    <a:prstGeom prst="rect">
                      <a:avLst/>
                    </a:prstGeom>
                    <a:noFill/>
                  </pic:spPr>
                </pic:pic>
              </a:graphicData>
            </a:graphic>
          </wp:anchor>
        </w:drawing>
        <w:drawing>
          <wp:anchor simplePos="0" relativeHeight="251657728" behindDoc="1" locked="0" layoutInCell="0" allowOverlap="1">
            <wp:simplePos x="0" y="0"/>
            <wp:positionH relativeFrom="column">
              <wp:posOffset>2984500</wp:posOffset>
            </wp:positionH>
            <wp:positionV relativeFrom="paragraph">
              <wp:posOffset>-589915</wp:posOffset>
            </wp:positionV>
            <wp:extent cx="167640" cy="2476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7640" cy="247650"/>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-589915</wp:posOffset>
            </wp:positionV>
            <wp:extent cx="303530" cy="255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3530" cy="255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7840"/>
        <w:spacing w:after="0"/>
        <w:rPr>
          <w:sz w:val="20"/>
          <w:szCs w:val="20"/>
          <w:color w:val="auto"/>
        </w:rPr>
      </w:pPr>
      <w:r>
        <w:rPr>
          <w:rFonts w:ascii="Arial" w:cs="Arial" w:eastAsia="Arial" w:hAnsi="Arial"/>
          <w:sz w:val="18"/>
          <w:szCs w:val="18"/>
          <w:color w:val="B1B4B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60090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35"/>
          <w:szCs w:val="35"/>
          <w:b w:val="1"/>
          <w:bCs w:val="1"/>
          <w:color w:val="001544"/>
        </w:rPr>
        <w:t>2024 Year in Review: Scaling for the Next Wave of Digital Infrastructure</w:t>
      </w:r>
    </w:p>
    <w:p>
      <w:pPr>
        <w:spacing w:after="0" w:line="9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2024, DigitalBridge executed against its strategic roadmap as a fully transformed, asset-light alternative asset manager focused exclusively on digital infrastructure. As global demand for compute and connectivity continued to expand—driven by accelerating cloud deployments, the growth of AI training clusters, and early adoption of inference workloads— DigitalBridge scaled its platform with precision and purpose.</w:t>
      </w:r>
    </w:p>
    <w:p>
      <w:pPr>
        <w:spacing w:after="0" w:line="170"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Company made significant progress across all three pillars of its roadmap: Fundraise, Invest, and Scale. These actions reflect not just tactical execution, but an intentional buildout of capabilities to support what we believe will be the next major technology super-cycle.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Fundraise – Robust Capital Formation Across Strategies</w:t>
      </w:r>
    </w:p>
    <w:p>
      <w:pPr>
        <w:spacing w:after="0" w:line="218" w:lineRule="exact"/>
        <w:rPr>
          <w:sz w:val="20"/>
          <w:szCs w:val="20"/>
          <w:color w:val="auto"/>
        </w:rPr>
      </w:pPr>
    </w:p>
    <w:p>
      <w:pPr>
        <w:ind w:left="640" w:right="200" w:hanging="307"/>
        <w:spacing w:after="0" w:line="242" w:lineRule="auto"/>
        <w:tabs>
          <w:tab w:leader="none" w:pos="640" w:val="left"/>
        </w:tabs>
        <w:numPr>
          <w:ilvl w:val="0"/>
          <w:numId w:val="30"/>
        </w:numPr>
        <w:rPr>
          <w:rFonts w:ascii="Times New Roman" w:cs="Times New Roman" w:eastAsia="Times New Roman" w:hAnsi="Times New Roman"/>
          <w:sz w:val="18"/>
          <w:szCs w:val="18"/>
          <w:color w:val="001544"/>
        </w:rPr>
      </w:pPr>
      <w:r>
        <w:rPr>
          <w:rFonts w:ascii="Arial" w:cs="Arial" w:eastAsia="Arial" w:hAnsi="Arial"/>
          <w:sz w:val="18"/>
          <w:szCs w:val="18"/>
          <w:color w:val="auto"/>
        </w:rPr>
        <w:t>Record Capital Formation: DigitalBridge raised a record $9 billion in new fee-earning equity during 2024, a 16% year-over-year increase. This capital formation exceeded our $7 billion target and represented the strongest fundraising year in Company history. Amid a competitive environment for private capital, DigitalBridge attracted high-quality institutional commitments across flagship and co-investment strategies.</w:t>
      </w:r>
    </w:p>
    <w:p>
      <w:pPr>
        <w:spacing w:after="0" w:line="169" w:lineRule="exact"/>
        <w:rPr>
          <w:rFonts w:ascii="Times New Roman" w:cs="Times New Roman" w:eastAsia="Times New Roman" w:hAnsi="Times New Roman"/>
          <w:sz w:val="18"/>
          <w:szCs w:val="18"/>
          <w:color w:val="001544"/>
        </w:rPr>
      </w:pPr>
    </w:p>
    <w:p>
      <w:pPr>
        <w:ind w:left="640" w:right="20" w:hanging="307"/>
        <w:spacing w:after="0" w:line="242" w:lineRule="auto"/>
        <w:tabs>
          <w:tab w:leader="none" w:pos="640" w:val="left"/>
        </w:tabs>
        <w:numPr>
          <w:ilvl w:val="0"/>
          <w:numId w:val="30"/>
        </w:numPr>
        <w:rPr>
          <w:rFonts w:ascii="Times New Roman" w:cs="Times New Roman" w:eastAsia="Times New Roman" w:hAnsi="Times New Roman"/>
          <w:sz w:val="18"/>
          <w:szCs w:val="18"/>
          <w:color w:val="001544"/>
        </w:rPr>
      </w:pPr>
      <w:r>
        <w:rPr>
          <w:rFonts w:ascii="Arial" w:cs="Arial" w:eastAsia="Arial" w:hAnsi="Arial"/>
          <w:sz w:val="18"/>
          <w:szCs w:val="18"/>
          <w:color w:val="auto"/>
        </w:rPr>
        <w:t>Strategic Mix of Capital: Approximately $5.5 billion of total capital raised came through co-investment, enabling the Company to support large-scale bookings growth at key data center portfolio companies. While the higher mix of co-investment impacted blended fee rates, it enhanced carry-eligible capital and strengthened long-term platform growth.</w:t>
      </w:r>
    </w:p>
    <w:p>
      <w:pPr>
        <w:spacing w:after="0" w:line="169" w:lineRule="exact"/>
        <w:rPr>
          <w:rFonts w:ascii="Times New Roman" w:cs="Times New Roman" w:eastAsia="Times New Roman" w:hAnsi="Times New Roman"/>
          <w:sz w:val="18"/>
          <w:szCs w:val="18"/>
          <w:color w:val="001544"/>
        </w:rPr>
      </w:pPr>
    </w:p>
    <w:p>
      <w:pPr>
        <w:ind w:left="640" w:right="280" w:hanging="307"/>
        <w:spacing w:after="0" w:line="246" w:lineRule="auto"/>
        <w:tabs>
          <w:tab w:leader="none" w:pos="640" w:val="left"/>
        </w:tabs>
        <w:numPr>
          <w:ilvl w:val="0"/>
          <w:numId w:val="30"/>
        </w:numPr>
        <w:rPr>
          <w:rFonts w:ascii="Times New Roman" w:cs="Times New Roman" w:eastAsia="Times New Roman" w:hAnsi="Times New Roman"/>
          <w:sz w:val="18"/>
          <w:szCs w:val="18"/>
          <w:color w:val="001544"/>
        </w:rPr>
      </w:pPr>
      <w:r>
        <w:rPr>
          <w:rFonts w:ascii="Arial" w:cs="Arial" w:eastAsia="Arial" w:hAnsi="Arial"/>
          <w:sz w:val="18"/>
          <w:szCs w:val="18"/>
          <w:color w:val="auto"/>
        </w:rPr>
        <w:t>FEEUM Growth: Fee-Earning Equity Under Management (“FEEUM”) grew by approximately $3 billion on a net basis, reaching $36 billion as of December 31, 2024. Growth was driven principally by momentum across our DBP III flagship and strong co-investment flows, offsetting investment realizations.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Invest – Continued Demand-Driven Deployment Across the Ecosystem</w:t>
      </w:r>
    </w:p>
    <w:p>
      <w:pPr>
        <w:spacing w:after="0" w:line="218" w:lineRule="exact"/>
        <w:rPr>
          <w:sz w:val="20"/>
          <w:szCs w:val="20"/>
          <w:color w:val="auto"/>
        </w:rPr>
      </w:pPr>
    </w:p>
    <w:p>
      <w:pPr>
        <w:ind w:left="640" w:right="700" w:hanging="307"/>
        <w:spacing w:after="0" w:line="322" w:lineRule="auto"/>
        <w:tabs>
          <w:tab w:leader="none" w:pos="640" w:val="left"/>
        </w:tabs>
        <w:numPr>
          <w:ilvl w:val="0"/>
          <w:numId w:val="31"/>
        </w:numPr>
        <w:rPr>
          <w:rFonts w:ascii="Times New Roman" w:cs="Times New Roman" w:eastAsia="Times New Roman" w:hAnsi="Times New Roman"/>
          <w:sz w:val="16"/>
          <w:szCs w:val="16"/>
          <w:color w:val="001544"/>
        </w:rPr>
      </w:pPr>
      <w:r>
        <w:rPr>
          <w:rFonts w:ascii="Arial" w:cs="Arial" w:eastAsia="Arial" w:hAnsi="Arial"/>
          <w:sz w:val="16"/>
          <w:szCs w:val="16"/>
          <w:color w:val="auto"/>
        </w:rPr>
        <w:t>$16 Billion in Capex Deployment: Portfolio companies deployed over $16 billion in success-based capital expenditures, primarily across data center platforms responding to sustained AI and cloud demand.</w:t>
      </w:r>
    </w:p>
    <w:p>
      <w:pPr>
        <w:spacing w:after="0" w:line="108" w:lineRule="exact"/>
        <w:rPr>
          <w:rFonts w:ascii="Times New Roman" w:cs="Times New Roman" w:eastAsia="Times New Roman" w:hAnsi="Times New Roman"/>
          <w:sz w:val="16"/>
          <w:szCs w:val="16"/>
          <w:color w:val="001544"/>
        </w:rPr>
      </w:pPr>
    </w:p>
    <w:p>
      <w:pPr>
        <w:ind w:left="640" w:right="40" w:hanging="307"/>
        <w:spacing w:after="0" w:line="282" w:lineRule="auto"/>
        <w:tabs>
          <w:tab w:leader="none" w:pos="640" w:val="left"/>
        </w:tabs>
        <w:numPr>
          <w:ilvl w:val="0"/>
          <w:numId w:val="31"/>
        </w:numPr>
        <w:rPr>
          <w:rFonts w:ascii="Times New Roman" w:cs="Times New Roman" w:eastAsia="Times New Roman" w:hAnsi="Times New Roman"/>
          <w:sz w:val="16"/>
          <w:szCs w:val="16"/>
          <w:color w:val="001544"/>
        </w:rPr>
      </w:pPr>
      <w:r>
        <w:rPr>
          <w:rFonts w:ascii="Arial" w:cs="Arial" w:eastAsia="Arial" w:hAnsi="Arial"/>
          <w:sz w:val="16"/>
          <w:szCs w:val="16"/>
          <w:color w:val="auto"/>
        </w:rPr>
        <w:t>Portfolio Expansion and New Platforms: In 2024, DigitalBridge announced the acquisition of Yondr, a hyperscale data center platform, and JTower, Japan’s leading independent towerco, extending the Company’s global infrastructure footprint. DigitalBridge also supported the $3.3 billion acquisition of Verizon’s U.S. tower assets by Vertical Bridge and led a significant equity recapitalization of DataBank, its U.S.-based edge data center platform.</w:t>
      </w:r>
    </w:p>
    <w:p>
      <w:pPr>
        <w:spacing w:after="0" w:line="139" w:lineRule="exact"/>
        <w:rPr>
          <w:rFonts w:ascii="Times New Roman" w:cs="Times New Roman" w:eastAsia="Times New Roman" w:hAnsi="Times New Roman"/>
          <w:sz w:val="16"/>
          <w:szCs w:val="16"/>
          <w:color w:val="001544"/>
        </w:rPr>
      </w:pPr>
    </w:p>
    <w:p>
      <w:pPr>
        <w:ind w:left="640" w:right="240" w:hanging="307"/>
        <w:spacing w:after="0" w:line="246" w:lineRule="auto"/>
        <w:tabs>
          <w:tab w:leader="none" w:pos="640" w:val="left"/>
        </w:tabs>
        <w:numPr>
          <w:ilvl w:val="0"/>
          <w:numId w:val="31"/>
        </w:numPr>
        <w:rPr>
          <w:rFonts w:ascii="Times New Roman" w:cs="Times New Roman" w:eastAsia="Times New Roman" w:hAnsi="Times New Roman"/>
          <w:sz w:val="18"/>
          <w:szCs w:val="18"/>
          <w:color w:val="001544"/>
        </w:rPr>
      </w:pPr>
      <w:r>
        <w:rPr>
          <w:rFonts w:ascii="Arial" w:cs="Arial" w:eastAsia="Arial" w:hAnsi="Arial"/>
          <w:sz w:val="18"/>
          <w:szCs w:val="18"/>
          <w:color w:val="auto"/>
        </w:rPr>
        <w:t>Capital Markets and Financing Scale: Facilitated $24 billion in net capital formation across DBRG portfolio companies including equity and debt, from traditional bank financings to asset-backed securitizations, enabling continued investment at portfolio companies while lowering the blended cost of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B1B4B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60090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Scale – Financial Leverage, Operating Efficiency, and Strategic Growth</w:t>
      </w:r>
    </w:p>
    <w:p>
      <w:pPr>
        <w:spacing w:after="0" w:line="218" w:lineRule="exact"/>
        <w:rPr>
          <w:sz w:val="20"/>
          <w:szCs w:val="20"/>
          <w:color w:val="auto"/>
        </w:rPr>
      </w:pPr>
    </w:p>
    <w:p>
      <w:pPr>
        <w:ind w:left="640" w:right="60" w:hanging="307"/>
        <w:spacing w:after="0" w:line="239" w:lineRule="auto"/>
        <w:tabs>
          <w:tab w:leader="none" w:pos="640" w:val="left"/>
        </w:tabs>
        <w:numPr>
          <w:ilvl w:val="0"/>
          <w:numId w:val="32"/>
        </w:numPr>
        <w:rPr>
          <w:rFonts w:ascii="Times New Roman" w:cs="Times New Roman" w:eastAsia="Times New Roman" w:hAnsi="Times New Roman"/>
          <w:sz w:val="18"/>
          <w:szCs w:val="18"/>
          <w:color w:val="001544"/>
        </w:rPr>
      </w:pPr>
      <w:r>
        <w:rPr>
          <w:rFonts w:ascii="Arial" w:cs="Arial" w:eastAsia="Arial" w:hAnsi="Arial"/>
          <w:sz w:val="18"/>
          <w:szCs w:val="18"/>
          <w:color w:val="auto"/>
        </w:rPr>
        <w:t>Solid Financial Performance: Fee revenue increased over 20%, and Fee-Related Earnings (FRE) grew over 30% year-over-year in 2024, supported by operating leverage and continued scaling of the investment platform. FRE margin expanded to 32%. While the overall mix of fundraising impacted the Company's ability to meet original FRE guidance, the quality and long-duration nature of the capital raised positions the platform for long-term carry generation and compounding of value.</w:t>
      </w:r>
    </w:p>
    <w:p>
      <w:pPr>
        <w:spacing w:after="0" w:line="174" w:lineRule="exact"/>
        <w:rPr>
          <w:rFonts w:ascii="Times New Roman" w:cs="Times New Roman" w:eastAsia="Times New Roman" w:hAnsi="Times New Roman"/>
          <w:sz w:val="18"/>
          <w:szCs w:val="18"/>
          <w:color w:val="001544"/>
        </w:rPr>
      </w:pPr>
    </w:p>
    <w:p>
      <w:pPr>
        <w:ind w:left="640" w:right="20" w:hanging="307"/>
        <w:spacing w:after="0" w:line="242" w:lineRule="auto"/>
        <w:tabs>
          <w:tab w:leader="none" w:pos="640" w:val="left"/>
        </w:tabs>
        <w:numPr>
          <w:ilvl w:val="0"/>
          <w:numId w:val="32"/>
        </w:numPr>
        <w:rPr>
          <w:rFonts w:ascii="Times New Roman" w:cs="Times New Roman" w:eastAsia="Times New Roman" w:hAnsi="Times New Roman"/>
          <w:sz w:val="18"/>
          <w:szCs w:val="18"/>
          <w:color w:val="001544"/>
        </w:rPr>
      </w:pPr>
      <w:r>
        <w:rPr>
          <w:rFonts w:ascii="Arial" w:cs="Arial" w:eastAsia="Arial" w:hAnsi="Arial"/>
          <w:sz w:val="18"/>
          <w:szCs w:val="18"/>
          <w:color w:val="auto"/>
        </w:rPr>
        <w:t>Capital Structure Optimization &amp; Deployment: The Company fully retired its remaining exchangeable notes in the second quarter of 2024, reducing total corporate debt to $300 million and generating incremental interest savings. The Company deployed approximately $90 million in GP Co-invest, allowing DBRG to compound capital alongside LPs in our funds.</w:t>
      </w:r>
    </w:p>
    <w:p>
      <w:pPr>
        <w:spacing w:after="0" w:line="169" w:lineRule="exact"/>
        <w:rPr>
          <w:rFonts w:ascii="Times New Roman" w:cs="Times New Roman" w:eastAsia="Times New Roman" w:hAnsi="Times New Roman"/>
          <w:sz w:val="18"/>
          <w:szCs w:val="18"/>
          <w:color w:val="001544"/>
        </w:rPr>
      </w:pPr>
    </w:p>
    <w:p>
      <w:pPr>
        <w:ind w:left="640" w:right="20" w:hanging="307"/>
        <w:spacing w:after="0" w:line="292" w:lineRule="auto"/>
        <w:tabs>
          <w:tab w:leader="none" w:pos="640" w:val="left"/>
        </w:tabs>
        <w:numPr>
          <w:ilvl w:val="0"/>
          <w:numId w:val="32"/>
        </w:numPr>
        <w:rPr>
          <w:rFonts w:ascii="Times New Roman" w:cs="Times New Roman" w:eastAsia="Times New Roman" w:hAnsi="Times New Roman"/>
          <w:sz w:val="16"/>
          <w:szCs w:val="16"/>
          <w:color w:val="001544"/>
        </w:rPr>
      </w:pPr>
      <w:r>
        <w:rPr>
          <w:rFonts w:ascii="Arial" w:cs="Arial" w:eastAsia="Arial" w:hAnsi="Arial"/>
          <w:sz w:val="16"/>
          <w:szCs w:val="16"/>
          <w:color w:val="auto"/>
        </w:rPr>
        <w:t>Scaling With Discipline: In 2024, DigitalBridge advanced its roadmap to become a global multi-strategy platform, building new relationships with institutional investors, expanding its private wealth distribution capabilities, and laying the groundwork for new strategies in digital energy and stabilized data centers, expected to launch in 2025.</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Positioned for 2025 and Beyond</w:t>
      </w:r>
    </w:p>
    <w:p>
      <w:pPr>
        <w:spacing w:after="0" w:line="218"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With nearly $100 billion in portfolio assets under management, DigitalBridge enters 2025 with strong momentum and a clear strategic vision. As macroeconomic conditions evolve and technology transitions from AI training to real-time inference workloads, we believe the breadth, resilience, and diversification of the DigitalBridge platform—spanning data centers, towers, fiber, and energy—will be increasingly relevant.</w:t>
      </w:r>
    </w:p>
    <w:p>
      <w:pPr>
        <w:spacing w:after="0" w:line="129" w:lineRule="exact"/>
        <w:rPr>
          <w:sz w:val="20"/>
          <w:szCs w:val="20"/>
          <w:color w:val="auto"/>
        </w:rPr>
      </w:pPr>
    </w:p>
    <w:p>
      <w:pPr>
        <w:spacing w:after="0"/>
        <w:rPr>
          <w:sz w:val="20"/>
          <w:szCs w:val="20"/>
          <w:color w:val="auto"/>
        </w:rPr>
      </w:pPr>
      <w:r>
        <w:rPr>
          <w:rFonts w:ascii="Arial" w:cs="Arial" w:eastAsia="Arial" w:hAnsi="Arial"/>
          <w:sz w:val="35"/>
          <w:szCs w:val="35"/>
          <w:b w:val="1"/>
          <w:bCs w:val="1"/>
          <w:color w:val="001544"/>
        </w:rPr>
        <w:t>Corporate Governance Highlights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364"/>
        </w:trPr>
        <w:tc>
          <w:tcPr>
            <w:tcW w:w="4720" w:type="dxa"/>
            <w:vAlign w:val="bottom"/>
            <w:tcBorders>
              <w:top w:val="single" w:sz="8" w:color="auto"/>
              <w:bottom w:val="single" w:sz="8" w:color="auto"/>
            </w:tcBorders>
            <w:shd w:val="clear" w:color="auto" w:fill="DBDFEA"/>
          </w:tcPr>
          <w:p>
            <w:pPr>
              <w:ind w:left="400"/>
              <w:spacing w:after="0"/>
              <w:rPr>
                <w:sz w:val="20"/>
                <w:szCs w:val="20"/>
                <w:color w:val="auto"/>
              </w:rPr>
            </w:pPr>
            <w:r>
              <w:rPr>
                <w:rFonts w:ascii="Arial" w:cs="Arial" w:eastAsia="Arial" w:hAnsi="Arial"/>
                <w:sz w:val="17"/>
                <w:szCs w:val="17"/>
                <w:color w:val="auto"/>
              </w:rPr>
              <w:t>No classified board</w:t>
            </w:r>
            <w:r>
              <w:rPr>
                <w:rFonts w:ascii="Arial" w:cs="Arial" w:eastAsia="Arial" w:hAnsi="Arial"/>
                <w:sz w:val="25"/>
                <w:szCs w:val="25"/>
                <w:color w:val="auto"/>
                <w:vertAlign w:val="superscript"/>
              </w:rPr>
              <w:t>(1)</w:t>
            </w:r>
          </w:p>
        </w:tc>
        <w:tc>
          <w:tcPr>
            <w:tcW w:w="4740" w:type="dxa"/>
            <w:vAlign w:val="bottom"/>
            <w:tcBorders>
              <w:top w:val="single" w:sz="8" w:color="auto"/>
              <w:bottom w:val="single" w:sz="8" w:color="auto"/>
            </w:tcBorders>
            <w:shd w:val="clear" w:color="auto" w:fill="DBDFEA"/>
          </w:tcPr>
          <w:p>
            <w:pPr>
              <w:ind w:left="420"/>
              <w:spacing w:after="0"/>
              <w:rPr>
                <w:sz w:val="20"/>
                <w:szCs w:val="20"/>
                <w:color w:val="auto"/>
              </w:rPr>
            </w:pPr>
            <w:r>
              <w:rPr>
                <w:rFonts w:ascii="Arial" w:cs="Arial" w:eastAsia="Arial" w:hAnsi="Arial"/>
                <w:sz w:val="17"/>
                <w:szCs w:val="17"/>
                <w:color w:val="auto"/>
              </w:rPr>
              <w:t>Majority of independent directors</w:t>
            </w:r>
          </w:p>
        </w:tc>
      </w:tr>
      <w:tr>
        <w:trPr>
          <w:trHeight w:val="344"/>
        </w:trPr>
        <w:tc>
          <w:tcPr>
            <w:tcW w:w="4720" w:type="dxa"/>
            <w:vAlign w:val="bottom"/>
            <w:tcBorders>
              <w:bottom w:val="single" w:sz="8" w:color="auto"/>
            </w:tcBorders>
            <w:shd w:val="clear" w:color="auto" w:fill="DBDFEA"/>
          </w:tcPr>
          <w:p>
            <w:pPr>
              <w:ind w:left="400"/>
              <w:spacing w:after="0"/>
              <w:rPr>
                <w:sz w:val="20"/>
                <w:szCs w:val="20"/>
                <w:color w:val="auto"/>
              </w:rPr>
            </w:pPr>
            <w:r>
              <w:rPr>
                <w:rFonts w:ascii="Arial" w:cs="Arial" w:eastAsia="Arial" w:hAnsi="Arial"/>
                <w:sz w:val="17"/>
                <w:szCs w:val="17"/>
                <w:color w:val="auto"/>
              </w:rPr>
              <w:t>Majority voting standard for election of directors</w:t>
            </w:r>
          </w:p>
        </w:tc>
        <w:tc>
          <w:tcPr>
            <w:tcW w:w="4740" w:type="dxa"/>
            <w:vAlign w:val="bottom"/>
            <w:tcBorders>
              <w:bottom w:val="single" w:sz="8" w:color="auto"/>
            </w:tcBorders>
            <w:shd w:val="clear" w:color="auto" w:fill="DBDFEA"/>
          </w:tcPr>
          <w:p>
            <w:pPr>
              <w:ind w:left="420"/>
              <w:spacing w:after="0"/>
              <w:rPr>
                <w:sz w:val="20"/>
                <w:szCs w:val="20"/>
                <w:color w:val="auto"/>
              </w:rPr>
            </w:pPr>
            <w:r>
              <w:rPr>
                <w:rFonts w:ascii="Arial" w:cs="Arial" w:eastAsia="Arial" w:hAnsi="Arial"/>
                <w:sz w:val="17"/>
                <w:szCs w:val="17"/>
                <w:color w:val="auto"/>
              </w:rPr>
              <w:t>Favorable stockholder rights</w:t>
            </w:r>
            <w:r>
              <w:rPr>
                <w:rFonts w:ascii="Arial" w:cs="Arial" w:eastAsia="Arial" w:hAnsi="Arial"/>
                <w:sz w:val="25"/>
                <w:szCs w:val="25"/>
                <w:color w:val="auto"/>
                <w:vertAlign w:val="superscript"/>
              </w:rPr>
              <w:t>(2)</w:t>
            </w:r>
          </w:p>
        </w:tc>
      </w:tr>
      <w:tr>
        <w:trPr>
          <w:trHeight w:val="273"/>
        </w:trPr>
        <w:tc>
          <w:tcPr>
            <w:tcW w:w="4720" w:type="dxa"/>
            <w:vAlign w:val="bottom"/>
            <w:shd w:val="clear" w:color="auto" w:fill="DBDFEA"/>
          </w:tcPr>
          <w:p>
            <w:pPr>
              <w:ind w:left="400"/>
              <w:spacing w:after="0"/>
              <w:rPr>
                <w:sz w:val="20"/>
                <w:szCs w:val="20"/>
                <w:color w:val="auto"/>
              </w:rPr>
            </w:pPr>
            <w:r>
              <w:rPr>
                <w:rFonts w:ascii="Arial" w:cs="Arial" w:eastAsia="Arial" w:hAnsi="Arial"/>
                <w:sz w:val="17"/>
                <w:szCs w:val="17"/>
                <w:color w:val="auto"/>
              </w:rPr>
              <w:t>Anti-hedging/pledging policy</w:t>
            </w:r>
          </w:p>
        </w:tc>
        <w:tc>
          <w:tcPr>
            <w:tcW w:w="4740" w:type="dxa"/>
            <w:vAlign w:val="bottom"/>
            <w:shd w:val="clear" w:color="auto" w:fill="DBDFEA"/>
          </w:tcPr>
          <w:p>
            <w:pPr>
              <w:ind w:left="420"/>
              <w:spacing w:after="0"/>
              <w:rPr>
                <w:sz w:val="20"/>
                <w:szCs w:val="20"/>
                <w:color w:val="auto"/>
              </w:rPr>
            </w:pPr>
            <w:r>
              <w:rPr>
                <w:rFonts w:ascii="Arial" w:cs="Arial" w:eastAsia="Arial" w:hAnsi="Arial"/>
                <w:sz w:val="17"/>
                <w:szCs w:val="17"/>
                <w:color w:val="auto"/>
              </w:rPr>
              <w:t>Stock ownership guidelines for directors and officers</w:t>
            </w:r>
          </w:p>
        </w:tc>
      </w:tr>
      <w:tr>
        <w:trPr>
          <w:trHeight w:val="72"/>
        </w:trPr>
        <w:tc>
          <w:tcPr>
            <w:tcW w:w="4720" w:type="dxa"/>
            <w:vAlign w:val="bottom"/>
            <w:tcBorders>
              <w:bottom w:val="single" w:sz="8" w:color="auto"/>
            </w:tcBorders>
            <w:shd w:val="clear" w:color="auto" w:fill="DBDFEA"/>
          </w:tcPr>
          <w:p>
            <w:pPr>
              <w:spacing w:after="0"/>
              <w:rPr>
                <w:sz w:val="6"/>
                <w:szCs w:val="6"/>
                <w:color w:val="auto"/>
              </w:rPr>
            </w:pPr>
          </w:p>
        </w:tc>
        <w:tc>
          <w:tcPr>
            <w:tcW w:w="4740" w:type="dxa"/>
            <w:vAlign w:val="bottom"/>
            <w:tcBorders>
              <w:bottom w:val="single" w:sz="8" w:color="auto"/>
            </w:tcBorders>
            <w:shd w:val="clear" w:color="auto" w:fill="DBDFEA"/>
          </w:tcPr>
          <w:p>
            <w:pPr>
              <w:spacing w:after="0"/>
              <w:rPr>
                <w:sz w:val="6"/>
                <w:szCs w:val="6"/>
                <w:color w:val="auto"/>
              </w:rPr>
            </w:pPr>
          </w:p>
        </w:tc>
      </w:tr>
      <w:tr>
        <w:trPr>
          <w:trHeight w:val="344"/>
        </w:trPr>
        <w:tc>
          <w:tcPr>
            <w:tcW w:w="4720" w:type="dxa"/>
            <w:vAlign w:val="bottom"/>
            <w:tcBorders>
              <w:bottom w:val="single" w:sz="8" w:color="auto"/>
            </w:tcBorders>
            <w:shd w:val="clear" w:color="auto" w:fill="DBDFEA"/>
          </w:tcPr>
          <w:p>
            <w:pPr>
              <w:ind w:left="400"/>
              <w:spacing w:after="0"/>
              <w:rPr>
                <w:sz w:val="20"/>
                <w:szCs w:val="20"/>
                <w:color w:val="auto"/>
              </w:rPr>
            </w:pPr>
            <w:r>
              <w:rPr>
                <w:rFonts w:ascii="Arial" w:cs="Arial" w:eastAsia="Arial" w:hAnsi="Arial"/>
                <w:sz w:val="17"/>
                <w:szCs w:val="17"/>
                <w:color w:val="auto"/>
              </w:rPr>
              <w:t>Active and ongoing shareholder engagement</w:t>
            </w:r>
          </w:p>
        </w:tc>
        <w:tc>
          <w:tcPr>
            <w:tcW w:w="4740" w:type="dxa"/>
            <w:vAlign w:val="bottom"/>
            <w:tcBorders>
              <w:bottom w:val="single" w:sz="8" w:color="auto"/>
            </w:tcBorders>
            <w:shd w:val="clear" w:color="auto" w:fill="DBDFEA"/>
          </w:tcPr>
          <w:p>
            <w:pPr>
              <w:ind w:left="420"/>
              <w:spacing w:after="0"/>
              <w:rPr>
                <w:sz w:val="20"/>
                <w:szCs w:val="20"/>
                <w:color w:val="auto"/>
              </w:rPr>
            </w:pPr>
            <w:r>
              <w:rPr>
                <w:rFonts w:ascii="Arial" w:cs="Arial" w:eastAsia="Arial" w:hAnsi="Arial"/>
                <w:sz w:val="17"/>
                <w:szCs w:val="17"/>
                <w:color w:val="auto"/>
              </w:rPr>
              <w:t>Policies aligned with industry practice</w:t>
            </w:r>
            <w:r>
              <w:rPr>
                <w:rFonts w:ascii="Arial" w:cs="Arial" w:eastAsia="Arial" w:hAnsi="Arial"/>
                <w:sz w:val="25"/>
                <w:szCs w:val="25"/>
                <w:color w:val="auto"/>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-892810</wp:posOffset>
            </wp:positionV>
            <wp:extent cx="167640" cy="159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7640" cy="15938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-892810</wp:posOffset>
            </wp:positionV>
            <wp:extent cx="167640" cy="159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7640" cy="15938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-661670</wp:posOffset>
            </wp:positionV>
            <wp:extent cx="167640" cy="159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7640" cy="15938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-661670</wp:posOffset>
            </wp:positionV>
            <wp:extent cx="167640" cy="159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7640" cy="15938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-430530</wp:posOffset>
            </wp:positionV>
            <wp:extent cx="167640" cy="159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7640" cy="15938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-430530</wp:posOffset>
            </wp:positionV>
            <wp:extent cx="167640" cy="159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7640" cy="15938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-198755</wp:posOffset>
            </wp:positionV>
            <wp:extent cx="167640" cy="159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7640" cy="15938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-198755</wp:posOffset>
            </wp:positionV>
            <wp:extent cx="167640" cy="159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7640" cy="159385"/>
                    </a:xfrm>
                    <a:prstGeom prst="rect">
                      <a:avLst/>
                    </a:prstGeom>
                    <a:noFill/>
                  </pic:spPr>
                </pic:pic>
              </a:graphicData>
            </a:graphic>
          </wp:anchor>
        </w:drawing>
      </w:r>
    </w:p>
    <w:p>
      <w:pPr>
        <w:spacing w:after="0" w:line="43" w:lineRule="exact"/>
        <w:rPr>
          <w:sz w:val="20"/>
          <w:szCs w:val="20"/>
          <w:color w:val="auto"/>
        </w:rPr>
      </w:pPr>
    </w:p>
    <w:p>
      <w:pPr>
        <w:ind w:left="300" w:hanging="293"/>
        <w:spacing w:after="0"/>
        <w:tabs>
          <w:tab w:leader="none" w:pos="3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Stockholder approval required for DBRG board to adopt a classified board structure and other anti-takeover provisions.</w:t>
      </w:r>
    </w:p>
    <w:p>
      <w:pPr>
        <w:spacing w:after="0" w:line="78" w:lineRule="exact"/>
        <w:rPr>
          <w:rFonts w:ascii="Arial" w:cs="Arial" w:eastAsia="Arial" w:hAnsi="Arial"/>
          <w:sz w:val="15"/>
          <w:szCs w:val="15"/>
          <w:color w:val="auto"/>
        </w:rPr>
      </w:pPr>
    </w:p>
    <w:p>
      <w:pPr>
        <w:ind w:left="300" w:right="340" w:hanging="293"/>
        <w:spacing w:after="0" w:line="254" w:lineRule="auto"/>
        <w:tabs>
          <w:tab w:leader="none" w:pos="3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DBRG stockholders have the ability to call special stockholders meetings, remove and replace directors, amend bylaws and approve increases in the number of shares authorized for issuance.</w:t>
      </w:r>
    </w:p>
    <w:p>
      <w:pPr>
        <w:ind w:left="300" w:right="120" w:hanging="293"/>
        <w:spacing w:after="0" w:line="261" w:lineRule="auto"/>
        <w:tabs>
          <w:tab w:leader="none" w:pos="3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Corporate governance guidelines, codes of ethics, related party transactions policy, committee charters and other corporate governance documents reviewed annually.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40"/>
          <w:szCs w:val="40"/>
          <w:color w:val="auto"/>
        </w:rPr>
        <w:t>PROPOSAL NO. 1:</w:t>
      </w:r>
    </w:p>
    <w:p>
      <w:pPr>
        <w:spacing w:after="0" w:line="50"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194945</wp:posOffset>
            </wp:positionV>
            <wp:extent cx="478790" cy="641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8790" cy="6413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Based on the recommendation of the Nominating and Corporate Governance Committee, the Board has unanimously recommended that the following 9 persons be elected to serve on our Board, each until the 2026 Annual Meeting of Stockholders and until his or her successor is duly elected and qualified: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344"/>
        </w:trPr>
        <w:tc>
          <w:tcPr>
            <w:tcW w:w="320" w:type="dxa"/>
            <w:vAlign w:val="bottom"/>
            <w:tcBorders>
              <w:top w:val="single" w:sz="8" w:color="001544"/>
              <w:bottom w:val="single" w:sz="8" w:color="DBDFEA"/>
            </w:tcBorders>
            <w:shd w:val="clear" w:color="auto" w:fill="DBDFEA"/>
          </w:tcPr>
          <w:p>
            <w:pPr>
              <w:ind w:left="100"/>
              <w:spacing w:after="0"/>
              <w:rPr>
                <w:sz w:val="20"/>
                <w:szCs w:val="20"/>
                <w:color w:val="auto"/>
              </w:rPr>
            </w:pPr>
            <w:r>
              <w:rPr>
                <w:rFonts w:ascii="Times New Roman" w:cs="Times New Roman" w:eastAsia="Times New Roman" w:hAnsi="Times New Roman"/>
                <w:sz w:val="20"/>
                <w:szCs w:val="20"/>
                <w:color w:val="001544"/>
              </w:rPr>
              <w:t>■</w:t>
            </w:r>
          </w:p>
        </w:tc>
        <w:tc>
          <w:tcPr>
            <w:tcW w:w="2720" w:type="dxa"/>
            <w:vAlign w:val="bottom"/>
            <w:tcBorders>
              <w:top w:val="single" w:sz="8" w:color="001544"/>
              <w:bottom w:val="single" w:sz="8" w:color="DBDFEA"/>
            </w:tcBorders>
            <w:shd w:val="clear" w:color="auto" w:fill="DBDFEA"/>
          </w:tcPr>
          <w:p>
            <w:pPr>
              <w:ind w:left="80"/>
              <w:spacing w:after="0"/>
              <w:rPr>
                <w:sz w:val="20"/>
                <w:szCs w:val="20"/>
                <w:color w:val="auto"/>
              </w:rPr>
            </w:pPr>
            <w:r>
              <w:rPr>
                <w:rFonts w:ascii="Arial" w:cs="Arial" w:eastAsia="Arial" w:hAnsi="Arial"/>
                <w:sz w:val="17"/>
                <w:szCs w:val="17"/>
                <w:color w:val="auto"/>
              </w:rPr>
              <w:t>James Keith Brown</w:t>
            </w:r>
          </w:p>
        </w:tc>
        <w:tc>
          <w:tcPr>
            <w:tcW w:w="160" w:type="dxa"/>
            <w:vAlign w:val="bottom"/>
            <w:tcBorders>
              <w:top w:val="single" w:sz="8" w:color="001544"/>
            </w:tcBorders>
          </w:tcPr>
          <w:p>
            <w:pPr>
              <w:spacing w:after="0"/>
              <w:rPr>
                <w:sz w:val="24"/>
                <w:szCs w:val="24"/>
                <w:color w:val="auto"/>
              </w:rPr>
            </w:pPr>
          </w:p>
        </w:tc>
        <w:tc>
          <w:tcPr>
            <w:tcW w:w="360" w:type="dxa"/>
            <w:vAlign w:val="bottom"/>
            <w:tcBorders>
              <w:top w:val="single" w:sz="8" w:color="001544"/>
              <w:bottom w:val="single" w:sz="8" w:color="DBDFEA"/>
            </w:tcBorders>
            <w:shd w:val="clear" w:color="auto" w:fill="DBDFEA"/>
          </w:tcPr>
          <w:p>
            <w:pPr>
              <w:ind w:left="140"/>
              <w:spacing w:after="0"/>
              <w:rPr>
                <w:sz w:val="20"/>
                <w:szCs w:val="20"/>
                <w:color w:val="auto"/>
              </w:rPr>
            </w:pPr>
            <w:r>
              <w:rPr>
                <w:rFonts w:ascii="Times New Roman" w:cs="Times New Roman" w:eastAsia="Times New Roman" w:hAnsi="Times New Roman"/>
                <w:sz w:val="20"/>
                <w:szCs w:val="20"/>
                <w:color w:val="001544"/>
              </w:rPr>
              <w:t>■</w:t>
            </w:r>
          </w:p>
        </w:tc>
        <w:tc>
          <w:tcPr>
            <w:tcW w:w="2680" w:type="dxa"/>
            <w:vAlign w:val="bottom"/>
            <w:tcBorders>
              <w:top w:val="single" w:sz="8" w:color="001544"/>
              <w:bottom w:val="single" w:sz="8" w:color="DBDFEA"/>
            </w:tcBorders>
            <w:shd w:val="clear" w:color="auto" w:fill="DBDFEA"/>
          </w:tcPr>
          <w:p>
            <w:pPr>
              <w:ind w:left="100"/>
              <w:spacing w:after="0"/>
              <w:rPr>
                <w:sz w:val="20"/>
                <w:szCs w:val="20"/>
                <w:color w:val="auto"/>
              </w:rPr>
            </w:pPr>
            <w:r>
              <w:rPr>
                <w:rFonts w:ascii="Arial" w:cs="Arial" w:eastAsia="Arial" w:hAnsi="Arial"/>
                <w:sz w:val="17"/>
                <w:szCs w:val="17"/>
                <w:color w:val="auto"/>
              </w:rPr>
              <w:t>Nancy A. Curtin</w:t>
            </w:r>
          </w:p>
        </w:tc>
        <w:tc>
          <w:tcPr>
            <w:tcW w:w="180" w:type="dxa"/>
            <w:vAlign w:val="bottom"/>
            <w:tcBorders>
              <w:top w:val="single" w:sz="8" w:color="001544"/>
            </w:tcBorders>
          </w:tcPr>
          <w:p>
            <w:pPr>
              <w:spacing w:after="0"/>
              <w:rPr>
                <w:sz w:val="24"/>
                <w:szCs w:val="24"/>
                <w:color w:val="auto"/>
              </w:rPr>
            </w:pPr>
          </w:p>
        </w:tc>
        <w:tc>
          <w:tcPr>
            <w:tcW w:w="340" w:type="dxa"/>
            <w:vAlign w:val="bottom"/>
            <w:tcBorders>
              <w:top w:val="single" w:sz="8" w:color="001544"/>
              <w:bottom w:val="single" w:sz="8" w:color="DBDFEA"/>
            </w:tcBorders>
            <w:shd w:val="clear" w:color="auto" w:fill="DBDFEA"/>
          </w:tcPr>
          <w:p>
            <w:pPr>
              <w:ind w:left="120"/>
              <w:spacing w:after="0"/>
              <w:rPr>
                <w:sz w:val="20"/>
                <w:szCs w:val="20"/>
                <w:color w:val="auto"/>
              </w:rPr>
            </w:pPr>
            <w:r>
              <w:rPr>
                <w:rFonts w:ascii="Times New Roman" w:cs="Times New Roman" w:eastAsia="Times New Roman" w:hAnsi="Times New Roman"/>
                <w:sz w:val="20"/>
                <w:szCs w:val="20"/>
                <w:color w:val="001544"/>
              </w:rPr>
              <w:t>■</w:t>
            </w:r>
          </w:p>
        </w:tc>
        <w:tc>
          <w:tcPr>
            <w:tcW w:w="2700" w:type="dxa"/>
            <w:vAlign w:val="bottom"/>
            <w:tcBorders>
              <w:top w:val="single" w:sz="8" w:color="001544"/>
              <w:bottom w:val="single" w:sz="8" w:color="DBDFEA"/>
            </w:tcBorders>
            <w:shd w:val="clear" w:color="auto" w:fill="DBDFEA"/>
          </w:tcPr>
          <w:p>
            <w:pPr>
              <w:ind w:left="100"/>
              <w:spacing w:after="0"/>
              <w:rPr>
                <w:sz w:val="20"/>
                <w:szCs w:val="20"/>
                <w:color w:val="auto"/>
              </w:rPr>
            </w:pPr>
            <w:r>
              <w:rPr>
                <w:rFonts w:ascii="Arial" w:cs="Arial" w:eastAsia="Arial" w:hAnsi="Arial"/>
                <w:sz w:val="17"/>
                <w:szCs w:val="17"/>
                <w:color w:val="auto"/>
              </w:rPr>
              <w:t>Jeannie H. Diefenderfer</w:t>
            </w:r>
          </w:p>
        </w:tc>
      </w:tr>
      <w:tr>
        <w:trPr>
          <w:trHeight w:val="324"/>
        </w:trPr>
        <w:tc>
          <w:tcPr>
            <w:tcW w:w="320" w:type="dxa"/>
            <w:vAlign w:val="bottom"/>
            <w:tcBorders>
              <w:top w:val="single" w:sz="8" w:color="001544"/>
              <w:bottom w:val="single" w:sz="8" w:color="DBDFEA"/>
            </w:tcBorders>
            <w:shd w:val="clear" w:color="auto" w:fill="DBDFEA"/>
          </w:tcPr>
          <w:p>
            <w:pPr>
              <w:ind w:left="120"/>
              <w:spacing w:after="0"/>
              <w:rPr>
                <w:sz w:val="20"/>
                <w:szCs w:val="20"/>
                <w:color w:val="auto"/>
              </w:rPr>
            </w:pPr>
            <w:r>
              <w:rPr>
                <w:rFonts w:ascii="Times New Roman" w:cs="Times New Roman" w:eastAsia="Times New Roman" w:hAnsi="Times New Roman"/>
                <w:sz w:val="20"/>
                <w:szCs w:val="20"/>
                <w:color w:val="001544"/>
              </w:rPr>
              <w:t>■</w:t>
            </w:r>
          </w:p>
        </w:tc>
        <w:tc>
          <w:tcPr>
            <w:tcW w:w="2720" w:type="dxa"/>
            <w:vAlign w:val="bottom"/>
            <w:tcBorders>
              <w:top w:val="single" w:sz="8" w:color="001544"/>
              <w:bottom w:val="single" w:sz="8" w:color="DBDFEA"/>
            </w:tcBorders>
            <w:shd w:val="clear" w:color="auto" w:fill="DBDFEA"/>
          </w:tcPr>
          <w:p>
            <w:pPr>
              <w:ind w:left="120"/>
              <w:spacing w:after="0"/>
              <w:rPr>
                <w:sz w:val="20"/>
                <w:szCs w:val="20"/>
                <w:color w:val="auto"/>
              </w:rPr>
            </w:pPr>
            <w:r>
              <w:rPr>
                <w:rFonts w:ascii="Arial" w:cs="Arial" w:eastAsia="Arial" w:hAnsi="Arial"/>
                <w:sz w:val="17"/>
                <w:szCs w:val="17"/>
                <w:color w:val="auto"/>
              </w:rPr>
              <w:t>Marc C. Ganzi</w:t>
            </w:r>
          </w:p>
        </w:tc>
        <w:tc>
          <w:tcPr>
            <w:tcW w:w="160" w:type="dxa"/>
            <w:vAlign w:val="bottom"/>
          </w:tcPr>
          <w:p>
            <w:pPr>
              <w:spacing w:after="0"/>
              <w:rPr>
                <w:sz w:val="24"/>
                <w:szCs w:val="24"/>
                <w:color w:val="auto"/>
              </w:rPr>
            </w:pPr>
          </w:p>
        </w:tc>
        <w:tc>
          <w:tcPr>
            <w:tcW w:w="360" w:type="dxa"/>
            <w:vAlign w:val="bottom"/>
            <w:tcBorders>
              <w:top w:val="single" w:sz="8" w:color="001544"/>
              <w:bottom w:val="single" w:sz="8" w:color="DBDFEA"/>
            </w:tcBorders>
            <w:shd w:val="clear" w:color="auto" w:fill="DBDFEA"/>
          </w:tcPr>
          <w:p>
            <w:pPr>
              <w:ind w:left="140"/>
              <w:spacing w:after="0"/>
              <w:rPr>
                <w:sz w:val="20"/>
                <w:szCs w:val="20"/>
                <w:color w:val="auto"/>
              </w:rPr>
            </w:pPr>
            <w:r>
              <w:rPr>
                <w:rFonts w:ascii="Times New Roman" w:cs="Times New Roman" w:eastAsia="Times New Roman" w:hAnsi="Times New Roman"/>
                <w:sz w:val="20"/>
                <w:szCs w:val="20"/>
                <w:color w:val="001544"/>
              </w:rPr>
              <w:t>■</w:t>
            </w:r>
          </w:p>
        </w:tc>
        <w:tc>
          <w:tcPr>
            <w:tcW w:w="2680" w:type="dxa"/>
            <w:vAlign w:val="bottom"/>
            <w:tcBorders>
              <w:top w:val="single" w:sz="8" w:color="001544"/>
              <w:bottom w:val="single" w:sz="8" w:color="DBDFEA"/>
            </w:tcBorders>
            <w:shd w:val="clear" w:color="auto" w:fill="DBDFEA"/>
          </w:tcPr>
          <w:p>
            <w:pPr>
              <w:ind w:left="100"/>
              <w:spacing w:after="0"/>
              <w:rPr>
                <w:sz w:val="20"/>
                <w:szCs w:val="20"/>
                <w:color w:val="auto"/>
              </w:rPr>
            </w:pPr>
            <w:r>
              <w:rPr>
                <w:rFonts w:ascii="Arial" w:cs="Arial" w:eastAsia="Arial" w:hAnsi="Arial"/>
                <w:sz w:val="17"/>
                <w:szCs w:val="17"/>
                <w:color w:val="auto"/>
              </w:rPr>
              <w:t>Gregory J. McCray</w:t>
            </w:r>
          </w:p>
        </w:tc>
        <w:tc>
          <w:tcPr>
            <w:tcW w:w="180" w:type="dxa"/>
            <w:vAlign w:val="bottom"/>
          </w:tcPr>
          <w:p>
            <w:pPr>
              <w:spacing w:after="0"/>
              <w:rPr>
                <w:sz w:val="24"/>
                <w:szCs w:val="24"/>
                <w:color w:val="auto"/>
              </w:rPr>
            </w:pPr>
          </w:p>
        </w:tc>
        <w:tc>
          <w:tcPr>
            <w:tcW w:w="340" w:type="dxa"/>
            <w:vAlign w:val="bottom"/>
            <w:tcBorders>
              <w:top w:val="single" w:sz="8" w:color="001544"/>
              <w:bottom w:val="single" w:sz="8" w:color="DBDFEA"/>
            </w:tcBorders>
            <w:shd w:val="clear" w:color="auto" w:fill="DBDFEA"/>
          </w:tcPr>
          <w:p>
            <w:pPr>
              <w:ind w:left="120"/>
              <w:spacing w:after="0"/>
              <w:rPr>
                <w:sz w:val="20"/>
                <w:szCs w:val="20"/>
                <w:color w:val="auto"/>
              </w:rPr>
            </w:pPr>
            <w:r>
              <w:rPr>
                <w:rFonts w:ascii="Times New Roman" w:cs="Times New Roman" w:eastAsia="Times New Roman" w:hAnsi="Times New Roman"/>
                <w:sz w:val="20"/>
                <w:szCs w:val="20"/>
                <w:color w:val="001544"/>
              </w:rPr>
              <w:t>■</w:t>
            </w:r>
          </w:p>
        </w:tc>
        <w:tc>
          <w:tcPr>
            <w:tcW w:w="2700" w:type="dxa"/>
            <w:vAlign w:val="bottom"/>
            <w:tcBorders>
              <w:top w:val="single" w:sz="8" w:color="001544"/>
              <w:bottom w:val="single" w:sz="8" w:color="DBDFEA"/>
            </w:tcBorders>
            <w:shd w:val="clear" w:color="auto" w:fill="DBDFEA"/>
          </w:tcPr>
          <w:p>
            <w:pPr>
              <w:ind w:left="100"/>
              <w:spacing w:after="0"/>
              <w:rPr>
                <w:sz w:val="20"/>
                <w:szCs w:val="20"/>
                <w:color w:val="auto"/>
              </w:rPr>
            </w:pPr>
            <w:r>
              <w:rPr>
                <w:rFonts w:ascii="Arial" w:cs="Arial" w:eastAsia="Arial" w:hAnsi="Arial"/>
                <w:sz w:val="17"/>
                <w:szCs w:val="17"/>
                <w:color w:val="auto"/>
              </w:rPr>
              <w:t>Sháka Rasheed</w:t>
            </w:r>
          </w:p>
        </w:tc>
      </w:tr>
      <w:tr>
        <w:trPr>
          <w:trHeight w:val="299"/>
        </w:trPr>
        <w:tc>
          <w:tcPr>
            <w:tcW w:w="320" w:type="dxa"/>
            <w:vAlign w:val="bottom"/>
            <w:tcBorders>
              <w:top w:val="single" w:sz="8" w:color="001544"/>
              <w:bottom w:val="single" w:sz="8" w:color="DBDFEA"/>
            </w:tcBorders>
            <w:shd w:val="clear" w:color="auto" w:fill="DBDFEA"/>
          </w:tcPr>
          <w:p>
            <w:pPr>
              <w:ind w:left="120"/>
              <w:spacing w:after="0"/>
              <w:rPr>
                <w:sz w:val="20"/>
                <w:szCs w:val="20"/>
                <w:color w:val="auto"/>
              </w:rPr>
            </w:pPr>
            <w:r>
              <w:rPr>
                <w:rFonts w:ascii="Times New Roman" w:cs="Times New Roman" w:eastAsia="Times New Roman" w:hAnsi="Times New Roman"/>
                <w:sz w:val="20"/>
                <w:szCs w:val="20"/>
                <w:color w:val="001544"/>
              </w:rPr>
              <w:t>■</w:t>
            </w:r>
          </w:p>
        </w:tc>
        <w:tc>
          <w:tcPr>
            <w:tcW w:w="2720" w:type="dxa"/>
            <w:vAlign w:val="bottom"/>
            <w:tcBorders>
              <w:top w:val="single" w:sz="8" w:color="001544"/>
              <w:bottom w:val="single" w:sz="8" w:color="DBDFEA"/>
            </w:tcBorders>
            <w:shd w:val="clear" w:color="auto" w:fill="DBDFEA"/>
          </w:tcPr>
          <w:p>
            <w:pPr>
              <w:ind w:left="120"/>
              <w:spacing w:after="0"/>
              <w:rPr>
                <w:sz w:val="20"/>
                <w:szCs w:val="20"/>
                <w:color w:val="auto"/>
              </w:rPr>
            </w:pPr>
            <w:r>
              <w:rPr>
                <w:rFonts w:ascii="Arial" w:cs="Arial" w:eastAsia="Arial" w:hAnsi="Arial"/>
                <w:sz w:val="17"/>
                <w:szCs w:val="17"/>
                <w:color w:val="auto"/>
              </w:rPr>
              <w:t>Dale Anne Reiss</w:t>
            </w:r>
          </w:p>
        </w:tc>
        <w:tc>
          <w:tcPr>
            <w:tcW w:w="160" w:type="dxa"/>
            <w:vAlign w:val="bottom"/>
          </w:tcPr>
          <w:p>
            <w:pPr>
              <w:spacing w:after="0"/>
              <w:rPr>
                <w:sz w:val="24"/>
                <w:szCs w:val="24"/>
                <w:color w:val="auto"/>
              </w:rPr>
            </w:pPr>
          </w:p>
        </w:tc>
        <w:tc>
          <w:tcPr>
            <w:tcW w:w="360" w:type="dxa"/>
            <w:vAlign w:val="bottom"/>
            <w:tcBorders>
              <w:top w:val="single" w:sz="8" w:color="001544"/>
              <w:bottom w:val="single" w:sz="8" w:color="DBDFEA"/>
            </w:tcBorders>
            <w:shd w:val="clear" w:color="auto" w:fill="DBDFEA"/>
          </w:tcPr>
          <w:p>
            <w:pPr>
              <w:ind w:left="140"/>
              <w:spacing w:after="0"/>
              <w:rPr>
                <w:sz w:val="20"/>
                <w:szCs w:val="20"/>
                <w:color w:val="auto"/>
              </w:rPr>
            </w:pPr>
            <w:r>
              <w:rPr>
                <w:rFonts w:ascii="Times New Roman" w:cs="Times New Roman" w:eastAsia="Times New Roman" w:hAnsi="Times New Roman"/>
                <w:sz w:val="20"/>
                <w:szCs w:val="20"/>
                <w:color w:val="001544"/>
              </w:rPr>
              <w:t>■</w:t>
            </w:r>
          </w:p>
        </w:tc>
        <w:tc>
          <w:tcPr>
            <w:tcW w:w="2680" w:type="dxa"/>
            <w:vAlign w:val="bottom"/>
            <w:tcBorders>
              <w:top w:val="single" w:sz="8" w:color="001544"/>
              <w:bottom w:val="single" w:sz="8" w:color="DBDFEA"/>
            </w:tcBorders>
            <w:shd w:val="clear" w:color="auto" w:fill="DBDFEA"/>
          </w:tcPr>
          <w:p>
            <w:pPr>
              <w:ind w:left="100"/>
              <w:spacing w:after="0"/>
              <w:rPr>
                <w:sz w:val="20"/>
                <w:szCs w:val="20"/>
                <w:color w:val="auto"/>
              </w:rPr>
            </w:pPr>
            <w:r>
              <w:rPr>
                <w:rFonts w:ascii="Arial" w:cs="Arial" w:eastAsia="Arial" w:hAnsi="Arial"/>
                <w:sz w:val="17"/>
                <w:szCs w:val="17"/>
                <w:color w:val="auto"/>
              </w:rPr>
              <w:t>Ian Schapiro</w:t>
            </w:r>
          </w:p>
        </w:tc>
        <w:tc>
          <w:tcPr>
            <w:tcW w:w="180" w:type="dxa"/>
            <w:vAlign w:val="bottom"/>
          </w:tcPr>
          <w:p>
            <w:pPr>
              <w:spacing w:after="0"/>
              <w:rPr>
                <w:sz w:val="24"/>
                <w:szCs w:val="24"/>
                <w:color w:val="auto"/>
              </w:rPr>
            </w:pPr>
          </w:p>
        </w:tc>
        <w:tc>
          <w:tcPr>
            <w:tcW w:w="340" w:type="dxa"/>
            <w:vAlign w:val="bottom"/>
            <w:tcBorders>
              <w:top w:val="single" w:sz="8" w:color="001544"/>
              <w:bottom w:val="single" w:sz="8" w:color="DBDFEA"/>
            </w:tcBorders>
            <w:shd w:val="clear" w:color="auto" w:fill="DBDFEA"/>
          </w:tcPr>
          <w:p>
            <w:pPr>
              <w:ind w:left="120"/>
              <w:spacing w:after="0"/>
              <w:rPr>
                <w:sz w:val="20"/>
                <w:szCs w:val="20"/>
                <w:color w:val="auto"/>
              </w:rPr>
            </w:pPr>
            <w:r>
              <w:rPr>
                <w:rFonts w:ascii="Times New Roman" w:cs="Times New Roman" w:eastAsia="Times New Roman" w:hAnsi="Times New Roman"/>
                <w:sz w:val="20"/>
                <w:szCs w:val="20"/>
                <w:color w:val="001544"/>
              </w:rPr>
              <w:t>■</w:t>
            </w:r>
          </w:p>
        </w:tc>
        <w:tc>
          <w:tcPr>
            <w:tcW w:w="2700" w:type="dxa"/>
            <w:vAlign w:val="bottom"/>
            <w:tcBorders>
              <w:top w:val="single" w:sz="8" w:color="001544"/>
              <w:bottom w:val="single" w:sz="8" w:color="DBDFEA"/>
            </w:tcBorders>
            <w:shd w:val="clear" w:color="auto" w:fill="DBDFEA"/>
          </w:tcPr>
          <w:p>
            <w:pPr>
              <w:ind w:left="100"/>
              <w:spacing w:after="0"/>
              <w:rPr>
                <w:sz w:val="20"/>
                <w:szCs w:val="20"/>
                <w:color w:val="auto"/>
              </w:rPr>
            </w:pPr>
            <w:r>
              <w:rPr>
                <w:rFonts w:ascii="Arial" w:cs="Arial" w:eastAsia="Arial" w:hAnsi="Arial"/>
                <w:sz w:val="17"/>
                <w:szCs w:val="17"/>
                <w:color w:val="auto"/>
              </w:rPr>
              <w:t>David M. Tolley</w:t>
            </w:r>
          </w:p>
        </w:tc>
      </w:tr>
      <w:tr>
        <w:trPr>
          <w:trHeight w:val="20"/>
        </w:trPr>
        <w:tc>
          <w:tcPr>
            <w:tcW w:w="320" w:type="dxa"/>
            <w:vAlign w:val="bottom"/>
            <w:shd w:val="clear" w:color="auto" w:fill="001544"/>
          </w:tcPr>
          <w:p>
            <w:pPr>
              <w:spacing w:after="0" w:line="20" w:lineRule="exact"/>
              <w:rPr>
                <w:sz w:val="1"/>
                <w:szCs w:val="1"/>
                <w:color w:val="auto"/>
              </w:rPr>
            </w:pPr>
          </w:p>
        </w:tc>
        <w:tc>
          <w:tcPr>
            <w:tcW w:w="2720" w:type="dxa"/>
            <w:vAlign w:val="bottom"/>
            <w:shd w:val="clear" w:color="auto" w:fill="001544"/>
          </w:tcPr>
          <w:p>
            <w:pPr>
              <w:spacing w:after="0" w:line="20" w:lineRule="exact"/>
              <w:rPr>
                <w:sz w:val="1"/>
                <w:szCs w:val="1"/>
                <w:color w:val="auto"/>
              </w:rPr>
            </w:pPr>
          </w:p>
        </w:tc>
        <w:tc>
          <w:tcPr>
            <w:tcW w:w="160" w:type="dxa"/>
            <w:vAlign w:val="bottom"/>
            <w:shd w:val="clear" w:color="auto" w:fill="001544"/>
          </w:tcPr>
          <w:p>
            <w:pPr>
              <w:spacing w:after="0" w:line="20" w:lineRule="exact"/>
              <w:rPr>
                <w:sz w:val="1"/>
                <w:szCs w:val="1"/>
                <w:color w:val="auto"/>
              </w:rPr>
            </w:pPr>
          </w:p>
        </w:tc>
        <w:tc>
          <w:tcPr>
            <w:tcW w:w="360" w:type="dxa"/>
            <w:vAlign w:val="bottom"/>
            <w:shd w:val="clear" w:color="auto" w:fill="001544"/>
          </w:tcPr>
          <w:p>
            <w:pPr>
              <w:spacing w:after="0" w:line="20" w:lineRule="exact"/>
              <w:rPr>
                <w:sz w:val="1"/>
                <w:szCs w:val="1"/>
                <w:color w:val="auto"/>
              </w:rPr>
            </w:pPr>
          </w:p>
        </w:tc>
        <w:tc>
          <w:tcPr>
            <w:tcW w:w="2680" w:type="dxa"/>
            <w:vAlign w:val="bottom"/>
            <w:shd w:val="clear" w:color="auto" w:fill="001544"/>
          </w:tcPr>
          <w:p>
            <w:pPr>
              <w:spacing w:after="0" w:line="20" w:lineRule="exact"/>
              <w:rPr>
                <w:sz w:val="1"/>
                <w:szCs w:val="1"/>
                <w:color w:val="auto"/>
              </w:rPr>
            </w:pPr>
          </w:p>
        </w:tc>
        <w:tc>
          <w:tcPr>
            <w:tcW w:w="180" w:type="dxa"/>
            <w:vAlign w:val="bottom"/>
            <w:shd w:val="clear" w:color="auto" w:fill="001544"/>
          </w:tcPr>
          <w:p>
            <w:pPr>
              <w:spacing w:after="0" w:line="20" w:lineRule="exact"/>
              <w:rPr>
                <w:sz w:val="1"/>
                <w:szCs w:val="1"/>
                <w:color w:val="auto"/>
              </w:rPr>
            </w:pPr>
          </w:p>
        </w:tc>
        <w:tc>
          <w:tcPr>
            <w:tcW w:w="340" w:type="dxa"/>
            <w:vAlign w:val="bottom"/>
            <w:shd w:val="clear" w:color="auto" w:fill="001544"/>
          </w:tcPr>
          <w:p>
            <w:pPr>
              <w:spacing w:after="0" w:line="20" w:lineRule="exact"/>
              <w:rPr>
                <w:sz w:val="1"/>
                <w:szCs w:val="1"/>
                <w:color w:val="auto"/>
              </w:rPr>
            </w:pPr>
          </w:p>
        </w:tc>
        <w:tc>
          <w:tcPr>
            <w:tcW w:w="2700" w:type="dxa"/>
            <w:vAlign w:val="bottom"/>
            <w:shd w:val="clear" w:color="auto" w:fill="001544"/>
          </w:tcPr>
          <w:p>
            <w:pPr>
              <w:spacing w:after="0" w:line="20" w:lineRule="exact"/>
              <w:rPr>
                <w:sz w:val="1"/>
                <w:szCs w:val="1"/>
                <w:color w:val="auto"/>
              </w:rPr>
            </w:pPr>
          </w:p>
        </w:tc>
      </w:tr>
    </w:tbl>
    <w:p>
      <w:pPr>
        <w:spacing w:after="0" w:line="177"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All of the nominees are current directors and, with the exception of Mr. Schapiro, were elected by the stockholders at the 2024 Annual Meeting of Stockholders. Each nominee has consented to being named in this Proxy Statement and to serve if elected. If, prior to the 2025 Annual Meeting, a nominee is not able to serve for any reason or for good cause will not serve, proxies will be voted for an additional person designated by our Board, unless our Board determines to reduce the number of directors or to leave a vacant seat on our Board in accordance with the Company’s charter and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99060</wp:posOffset>
            </wp:positionV>
            <wp:extent cx="6016625" cy="422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16625" cy="422910"/>
                    </a:xfrm>
                    <a:prstGeom prst="rect">
                      <a:avLst/>
                    </a:prstGeom>
                    <a:noFill/>
                  </pic:spPr>
                </pic:pic>
              </a:graphicData>
            </a:graphic>
          </wp:anchor>
        </w:drawing>
      </w:r>
    </w:p>
    <w:p>
      <w:pPr>
        <w:spacing w:after="0" w:line="270" w:lineRule="exact"/>
        <w:rPr>
          <w:sz w:val="20"/>
          <w:szCs w:val="20"/>
          <w:color w:val="auto"/>
        </w:rPr>
      </w:pPr>
    </w:p>
    <w:p>
      <w:pPr>
        <w:ind w:left="960" w:right="340"/>
        <w:spacing w:after="0" w:line="263" w:lineRule="auto"/>
        <w:rPr>
          <w:sz w:val="20"/>
          <w:szCs w:val="20"/>
          <w:color w:val="auto"/>
        </w:rPr>
      </w:pPr>
      <w:r>
        <w:rPr>
          <w:rFonts w:ascii="Arial" w:cs="Arial" w:eastAsia="Arial" w:hAnsi="Arial"/>
          <w:sz w:val="17"/>
          <w:szCs w:val="17"/>
          <w:color w:val="auto"/>
        </w:rPr>
        <w:t>Our Board of Directors Recommends a Vote “</w:t>
      </w:r>
      <w:r>
        <w:rPr>
          <w:rFonts w:ascii="Arial" w:cs="Arial" w:eastAsia="Arial" w:hAnsi="Arial"/>
          <w:sz w:val="17"/>
          <w:szCs w:val="17"/>
          <w:b w:val="1"/>
          <w:bCs w:val="1"/>
          <w:color w:val="008861"/>
        </w:rPr>
        <w:t>FOR</w:t>
      </w:r>
      <w:r>
        <w:rPr>
          <w:rFonts w:ascii="Arial" w:cs="Arial" w:eastAsia="Arial" w:hAnsi="Arial"/>
          <w:sz w:val="17"/>
          <w:szCs w:val="17"/>
          <w:color w:val="auto"/>
        </w:rPr>
        <w:t>” the Election of Each of the Nominees Identified Above and Nominated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 xml:space="preserve">DIGITALBRIDGE  2025 PROXY STATEMENT  </w:t>
      </w:r>
      <w:r>
        <w:rPr>
          <w:rFonts w:ascii="Arial" w:cs="Arial" w:eastAsia="Arial" w:hAnsi="Arial"/>
          <w:sz w:val="17"/>
          <w:szCs w:val="17"/>
          <w:color w:val="008861"/>
        </w:rPr>
        <w:t>|</w:t>
      </w:r>
      <w:r>
        <w:rPr>
          <w:rFonts w:ascii="Arial" w:cs="Arial" w:eastAsia="Arial" w:hAnsi="Arial"/>
          <w:sz w:val="17"/>
          <w:szCs w:val="17"/>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60090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35"/>
          <w:szCs w:val="35"/>
          <w:b w:val="1"/>
          <w:bCs w:val="1"/>
          <w:color w:val="001544"/>
        </w:rPr>
        <w:t>Board of Directors</w:t>
      </w:r>
    </w:p>
    <w:p>
      <w:pPr>
        <w:spacing w:after="0" w:line="204"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Our Board recognizes the importance of having the right mix of skills, expertise and experience and is committed to continuously reviewing its capabilities in relation to our strategic direction and ongoing refreshment. All of our directors except Marc C. Ganzi, our Chief Executive Officer, are independent. Our Nominating and Corporate Governance Committee has prioritized refreshment over the past five years, resulting in the director nominees having an average tenure of 3.4 years and average age of 63 years. Seven of our nine director nominees have joined the Board in the last five years, as shown in the table below, and the three most recent additions to the Board have added significant investment management experience, as prioritized by the Nominating and Corporate Governance Committee in connection with the Company’s strategic transformation to a pure-play alternative asset manager dedicated to digital infrastructure. Our Board of Directors believes that having a mix of directors with varied backgrounds and complementary qualifications, expertise, and attributes is essential to meeting its oversight responsibilities. Our 9 director nominees for the 2025 Annual Meeting include three females (one of whom is also Asian American) and two African American males.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234950</wp:posOffset>
            </wp:positionV>
            <wp:extent cx="5210810" cy="18434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081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table below summarizes the key experience, qualifications and attributes for each director nominee and highlights the balanced mix of experience, qualifications and attributes of the Board as a whole. This high-level summary is not intended to be an exhaustive list of each director nominee’s skills or contributions to the Board.</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2830" w:type="dxa"/>
            <w:vAlign w:val="bottom"/>
            <w:shd w:val="clear" w:color="auto" w:fill="001544"/>
          </w:tcPr>
          <w:p>
            <w:pPr>
              <w:spacing w:after="0"/>
              <w:rPr>
                <w:sz w:val="20"/>
                <w:szCs w:val="20"/>
                <w:color w:val="auto"/>
              </w:rPr>
            </w:pPr>
          </w:p>
        </w:tc>
        <w:tc>
          <w:tcPr>
            <w:tcW w:w="640" w:type="dxa"/>
            <w:vAlign w:val="bottom"/>
            <w:shd w:val="clear" w:color="auto" w:fill="001544"/>
          </w:tcPr>
          <w:p>
            <w:pPr>
              <w:jc w:val="center"/>
              <w:spacing w:after="0"/>
              <w:rPr>
                <w:sz w:val="20"/>
                <w:szCs w:val="20"/>
                <w:color w:val="auto"/>
              </w:rPr>
            </w:pPr>
            <w:r>
              <w:rPr>
                <w:rFonts w:ascii="Arial" w:cs="Arial" w:eastAsia="Arial" w:hAnsi="Arial"/>
                <w:sz w:val="13"/>
                <w:szCs w:val="13"/>
                <w:b w:val="1"/>
                <w:bCs w:val="1"/>
                <w:color w:val="FFFFFF"/>
              </w:rPr>
              <w:t>Brown</w:t>
            </w:r>
          </w:p>
        </w:tc>
        <w:tc>
          <w:tcPr>
            <w:tcW w:w="610" w:type="dxa"/>
            <w:vAlign w:val="bottom"/>
            <w:shd w:val="clear" w:color="auto" w:fill="001544"/>
          </w:tcPr>
          <w:p>
            <w:pPr>
              <w:jc w:val="center"/>
              <w:spacing w:after="0"/>
              <w:rPr>
                <w:sz w:val="20"/>
                <w:szCs w:val="20"/>
                <w:color w:val="auto"/>
              </w:rPr>
            </w:pPr>
            <w:r>
              <w:rPr>
                <w:rFonts w:ascii="Arial" w:cs="Arial" w:eastAsia="Arial" w:hAnsi="Arial"/>
                <w:sz w:val="13"/>
                <w:szCs w:val="13"/>
                <w:b w:val="1"/>
                <w:bCs w:val="1"/>
                <w:color w:val="FFFFFF"/>
              </w:rPr>
              <w:t>Curtin</w:t>
            </w:r>
          </w:p>
        </w:tc>
        <w:tc>
          <w:tcPr>
            <w:tcW w:w="1140" w:type="dxa"/>
            <w:vAlign w:val="bottom"/>
            <w:shd w:val="clear" w:color="auto" w:fill="001544"/>
          </w:tcPr>
          <w:p>
            <w:pPr>
              <w:jc w:val="center"/>
              <w:spacing w:after="0"/>
              <w:rPr>
                <w:sz w:val="20"/>
                <w:szCs w:val="20"/>
                <w:color w:val="auto"/>
              </w:rPr>
            </w:pPr>
            <w:r>
              <w:rPr>
                <w:rFonts w:ascii="Arial" w:cs="Arial" w:eastAsia="Arial" w:hAnsi="Arial"/>
                <w:sz w:val="13"/>
                <w:szCs w:val="13"/>
                <w:b w:val="1"/>
                <w:bCs w:val="1"/>
                <w:color w:val="FFFFFF"/>
              </w:rPr>
              <w:t>Diefenderfer</w:t>
            </w:r>
          </w:p>
        </w:tc>
        <w:tc>
          <w:tcPr>
            <w:tcW w:w="620" w:type="dxa"/>
            <w:vAlign w:val="bottom"/>
            <w:shd w:val="clear" w:color="auto" w:fill="001544"/>
          </w:tcPr>
          <w:p>
            <w:pPr>
              <w:jc w:val="center"/>
              <w:spacing w:after="0"/>
              <w:rPr>
                <w:sz w:val="20"/>
                <w:szCs w:val="20"/>
                <w:color w:val="auto"/>
              </w:rPr>
            </w:pPr>
            <w:r>
              <w:rPr>
                <w:rFonts w:ascii="Arial" w:cs="Arial" w:eastAsia="Arial" w:hAnsi="Arial"/>
                <w:sz w:val="13"/>
                <w:szCs w:val="13"/>
                <w:b w:val="1"/>
                <w:bCs w:val="1"/>
                <w:color w:val="FFFFFF"/>
              </w:rPr>
              <w:t>Ganzi</w:t>
            </w:r>
          </w:p>
        </w:tc>
        <w:tc>
          <w:tcPr>
            <w:tcW w:w="740" w:type="dxa"/>
            <w:vAlign w:val="bottom"/>
            <w:shd w:val="clear" w:color="auto" w:fill="001544"/>
          </w:tcPr>
          <w:p>
            <w:pPr>
              <w:jc w:val="center"/>
              <w:spacing w:after="0"/>
              <w:rPr>
                <w:sz w:val="20"/>
                <w:szCs w:val="20"/>
                <w:color w:val="auto"/>
              </w:rPr>
            </w:pPr>
            <w:r>
              <w:rPr>
                <w:rFonts w:ascii="Arial" w:cs="Arial" w:eastAsia="Arial" w:hAnsi="Arial"/>
                <w:sz w:val="13"/>
                <w:szCs w:val="13"/>
                <w:b w:val="1"/>
                <w:bCs w:val="1"/>
                <w:color w:val="FFFFFF"/>
              </w:rPr>
              <w:t>McCray</w:t>
            </w:r>
          </w:p>
        </w:tc>
        <w:tc>
          <w:tcPr>
            <w:tcW w:w="820" w:type="dxa"/>
            <w:vAlign w:val="bottom"/>
            <w:shd w:val="clear" w:color="auto" w:fill="001544"/>
          </w:tcPr>
          <w:p>
            <w:pPr>
              <w:jc w:val="center"/>
              <w:spacing w:after="0"/>
              <w:rPr>
                <w:sz w:val="20"/>
                <w:szCs w:val="20"/>
                <w:color w:val="auto"/>
              </w:rPr>
            </w:pPr>
            <w:r>
              <w:rPr>
                <w:rFonts w:ascii="Arial" w:cs="Arial" w:eastAsia="Arial" w:hAnsi="Arial"/>
                <w:sz w:val="13"/>
                <w:szCs w:val="13"/>
                <w:b w:val="1"/>
                <w:bCs w:val="1"/>
                <w:color w:val="FFFFFF"/>
              </w:rPr>
              <w:t>Rasheed</w:t>
            </w:r>
          </w:p>
        </w:tc>
        <w:tc>
          <w:tcPr>
            <w:tcW w:w="600" w:type="dxa"/>
            <w:vAlign w:val="bottom"/>
            <w:shd w:val="clear" w:color="auto" w:fill="001544"/>
          </w:tcPr>
          <w:p>
            <w:pPr>
              <w:jc w:val="center"/>
              <w:spacing w:after="0"/>
              <w:rPr>
                <w:sz w:val="20"/>
                <w:szCs w:val="20"/>
                <w:color w:val="auto"/>
              </w:rPr>
            </w:pPr>
            <w:r>
              <w:rPr>
                <w:rFonts w:ascii="Arial" w:cs="Arial" w:eastAsia="Arial" w:hAnsi="Arial"/>
                <w:sz w:val="13"/>
                <w:szCs w:val="13"/>
                <w:b w:val="1"/>
                <w:bCs w:val="1"/>
                <w:color w:val="FFFFFF"/>
              </w:rPr>
              <w:t>Reiss</w:t>
            </w:r>
          </w:p>
        </w:tc>
        <w:tc>
          <w:tcPr>
            <w:tcW w:w="840" w:type="dxa"/>
            <w:vAlign w:val="bottom"/>
            <w:shd w:val="clear" w:color="auto" w:fill="001544"/>
          </w:tcPr>
          <w:p>
            <w:pPr>
              <w:jc w:val="center"/>
              <w:spacing w:after="0"/>
              <w:rPr>
                <w:sz w:val="20"/>
                <w:szCs w:val="20"/>
                <w:color w:val="auto"/>
              </w:rPr>
            </w:pPr>
            <w:r>
              <w:rPr>
                <w:rFonts w:ascii="Arial" w:cs="Arial" w:eastAsia="Arial" w:hAnsi="Arial"/>
                <w:sz w:val="13"/>
                <w:szCs w:val="13"/>
                <w:b w:val="1"/>
                <w:bCs w:val="1"/>
                <w:color w:val="FFFFFF"/>
              </w:rPr>
              <w:t>Schapiro</w:t>
            </w:r>
          </w:p>
        </w:tc>
        <w:tc>
          <w:tcPr>
            <w:tcW w:w="620" w:type="dxa"/>
            <w:vAlign w:val="bottom"/>
            <w:shd w:val="clear" w:color="auto" w:fill="001544"/>
          </w:tcPr>
          <w:p>
            <w:pPr>
              <w:jc w:val="center"/>
              <w:spacing w:after="0"/>
              <w:rPr>
                <w:sz w:val="20"/>
                <w:szCs w:val="20"/>
                <w:color w:val="auto"/>
              </w:rPr>
            </w:pPr>
            <w:r>
              <w:rPr>
                <w:rFonts w:ascii="Arial" w:cs="Arial" w:eastAsia="Arial" w:hAnsi="Arial"/>
                <w:sz w:val="13"/>
                <w:szCs w:val="13"/>
                <w:b w:val="1"/>
                <w:bCs w:val="1"/>
                <w:color w:val="FFFFFF"/>
              </w:rPr>
              <w:t>Tolley</w:t>
            </w:r>
          </w:p>
        </w:tc>
      </w:tr>
      <w:tr>
        <w:trPr>
          <w:trHeight w:val="187"/>
        </w:trPr>
        <w:tc>
          <w:tcPr>
            <w:tcW w:w="2830" w:type="dxa"/>
            <w:vAlign w:val="bottom"/>
            <w:shd w:val="clear" w:color="auto" w:fill="DBDFEA"/>
          </w:tcPr>
          <w:p>
            <w:pPr>
              <w:ind w:left="60"/>
              <w:spacing w:after="0"/>
              <w:rPr>
                <w:sz w:val="20"/>
                <w:szCs w:val="20"/>
                <w:color w:val="auto"/>
              </w:rPr>
            </w:pPr>
            <w:r>
              <w:rPr>
                <w:rFonts w:ascii="Arial" w:cs="Arial" w:eastAsia="Arial" w:hAnsi="Arial"/>
                <w:sz w:val="13"/>
                <w:szCs w:val="13"/>
                <w:color w:val="auto"/>
              </w:rPr>
              <w:t>CEO/Executive Leadership</w:t>
            </w:r>
          </w:p>
        </w:tc>
        <w:tc>
          <w:tcPr>
            <w:tcW w:w="640" w:type="dxa"/>
            <w:vAlign w:val="bottom"/>
            <w:shd w:val="clear" w:color="auto" w:fill="DBDFEA"/>
          </w:tcPr>
          <w:p>
            <w:pPr>
              <w:spacing w:after="0"/>
              <w:rPr>
                <w:sz w:val="16"/>
                <w:szCs w:val="16"/>
                <w:color w:val="auto"/>
              </w:rPr>
            </w:pPr>
          </w:p>
        </w:tc>
        <w:tc>
          <w:tcPr>
            <w:tcW w:w="610" w:type="dxa"/>
            <w:vAlign w:val="bottom"/>
            <w:shd w:val="clear" w:color="auto" w:fill="DBDFEA"/>
          </w:tcPr>
          <w:p>
            <w:pPr>
              <w:spacing w:after="0"/>
              <w:rPr>
                <w:sz w:val="16"/>
                <w:szCs w:val="16"/>
                <w:color w:val="auto"/>
              </w:rPr>
            </w:pPr>
          </w:p>
        </w:tc>
        <w:tc>
          <w:tcPr>
            <w:tcW w:w="1140" w:type="dxa"/>
            <w:vAlign w:val="bottom"/>
            <w:shd w:val="clear" w:color="auto" w:fill="DBDFEA"/>
          </w:tcPr>
          <w:p>
            <w:pPr>
              <w:spacing w:after="0"/>
              <w:rPr>
                <w:sz w:val="16"/>
                <w:szCs w:val="16"/>
                <w:color w:val="auto"/>
              </w:rPr>
            </w:pPr>
          </w:p>
        </w:tc>
        <w:tc>
          <w:tcPr>
            <w:tcW w:w="620" w:type="dxa"/>
            <w:vAlign w:val="bottom"/>
            <w:shd w:val="clear" w:color="auto" w:fill="DBDFEA"/>
          </w:tcPr>
          <w:p>
            <w:pPr>
              <w:spacing w:after="0"/>
              <w:rPr>
                <w:sz w:val="16"/>
                <w:szCs w:val="16"/>
                <w:color w:val="auto"/>
              </w:rPr>
            </w:pPr>
          </w:p>
        </w:tc>
        <w:tc>
          <w:tcPr>
            <w:tcW w:w="740" w:type="dxa"/>
            <w:vAlign w:val="bottom"/>
            <w:shd w:val="clear" w:color="auto" w:fill="DBDFEA"/>
          </w:tcPr>
          <w:p>
            <w:pPr>
              <w:spacing w:after="0"/>
              <w:rPr>
                <w:sz w:val="16"/>
                <w:szCs w:val="16"/>
                <w:color w:val="auto"/>
              </w:rPr>
            </w:pPr>
          </w:p>
        </w:tc>
        <w:tc>
          <w:tcPr>
            <w:tcW w:w="820" w:type="dxa"/>
            <w:vAlign w:val="bottom"/>
            <w:shd w:val="clear" w:color="auto" w:fill="DBDFEA"/>
          </w:tcPr>
          <w:p>
            <w:pPr>
              <w:spacing w:after="0"/>
              <w:rPr>
                <w:sz w:val="16"/>
                <w:szCs w:val="16"/>
                <w:color w:val="auto"/>
              </w:rPr>
            </w:pPr>
          </w:p>
        </w:tc>
        <w:tc>
          <w:tcPr>
            <w:tcW w:w="600" w:type="dxa"/>
            <w:vAlign w:val="bottom"/>
            <w:shd w:val="clear" w:color="auto" w:fill="DBDFEA"/>
          </w:tcPr>
          <w:p>
            <w:pPr>
              <w:spacing w:after="0"/>
              <w:rPr>
                <w:sz w:val="16"/>
                <w:szCs w:val="16"/>
                <w:color w:val="auto"/>
              </w:rPr>
            </w:pPr>
          </w:p>
        </w:tc>
        <w:tc>
          <w:tcPr>
            <w:tcW w:w="840" w:type="dxa"/>
            <w:vAlign w:val="bottom"/>
            <w:shd w:val="clear" w:color="auto" w:fill="DBDFEA"/>
          </w:tcPr>
          <w:p>
            <w:pPr>
              <w:spacing w:after="0"/>
              <w:rPr>
                <w:sz w:val="16"/>
                <w:szCs w:val="16"/>
                <w:color w:val="auto"/>
              </w:rPr>
            </w:pPr>
          </w:p>
        </w:tc>
        <w:tc>
          <w:tcPr>
            <w:tcW w:w="620" w:type="dxa"/>
            <w:vAlign w:val="bottom"/>
            <w:shd w:val="clear" w:color="auto" w:fill="DBDFEA"/>
          </w:tcPr>
          <w:p>
            <w:pPr>
              <w:spacing w:after="0"/>
              <w:rPr>
                <w:sz w:val="16"/>
                <w:szCs w:val="16"/>
                <w:color w:val="auto"/>
              </w:rPr>
            </w:pPr>
          </w:p>
        </w:tc>
      </w:tr>
      <w:tr>
        <w:trPr>
          <w:trHeight w:val="64"/>
        </w:trPr>
        <w:tc>
          <w:tcPr>
            <w:tcW w:w="2830" w:type="dxa"/>
            <w:vAlign w:val="bottom"/>
            <w:tcBorders>
              <w:bottom w:val="single" w:sz="8" w:color="001544"/>
            </w:tcBorders>
            <w:shd w:val="clear" w:color="auto" w:fill="DBDFEA"/>
          </w:tcPr>
          <w:p>
            <w:pPr>
              <w:spacing w:after="0"/>
              <w:rPr>
                <w:sz w:val="5"/>
                <w:szCs w:val="5"/>
                <w:color w:val="auto"/>
              </w:rPr>
            </w:pPr>
          </w:p>
        </w:tc>
        <w:tc>
          <w:tcPr>
            <w:tcW w:w="640" w:type="dxa"/>
            <w:vAlign w:val="bottom"/>
            <w:tcBorders>
              <w:bottom w:val="single" w:sz="8" w:color="001544"/>
            </w:tcBorders>
            <w:shd w:val="clear" w:color="auto" w:fill="DBDFEA"/>
          </w:tcPr>
          <w:p>
            <w:pPr>
              <w:spacing w:after="0"/>
              <w:rPr>
                <w:sz w:val="5"/>
                <w:szCs w:val="5"/>
                <w:color w:val="auto"/>
              </w:rPr>
            </w:pPr>
          </w:p>
        </w:tc>
        <w:tc>
          <w:tcPr>
            <w:tcW w:w="610" w:type="dxa"/>
            <w:vAlign w:val="bottom"/>
            <w:tcBorders>
              <w:bottom w:val="single" w:sz="8" w:color="001544"/>
            </w:tcBorders>
            <w:shd w:val="clear" w:color="auto" w:fill="DBDFEA"/>
          </w:tcPr>
          <w:p>
            <w:pPr>
              <w:spacing w:after="0"/>
              <w:rPr>
                <w:sz w:val="5"/>
                <w:szCs w:val="5"/>
                <w:color w:val="auto"/>
              </w:rPr>
            </w:pPr>
          </w:p>
        </w:tc>
        <w:tc>
          <w:tcPr>
            <w:tcW w:w="1140" w:type="dxa"/>
            <w:vAlign w:val="bottom"/>
            <w:tcBorders>
              <w:bottom w:val="single" w:sz="8" w:color="001544"/>
            </w:tcBorders>
            <w:shd w:val="clear" w:color="auto" w:fill="DBDFEA"/>
          </w:tcPr>
          <w:p>
            <w:pPr>
              <w:spacing w:after="0"/>
              <w:rPr>
                <w:sz w:val="5"/>
                <w:szCs w:val="5"/>
                <w:color w:val="auto"/>
              </w:rPr>
            </w:pPr>
          </w:p>
        </w:tc>
        <w:tc>
          <w:tcPr>
            <w:tcW w:w="620" w:type="dxa"/>
            <w:vAlign w:val="bottom"/>
            <w:tcBorders>
              <w:bottom w:val="single" w:sz="8" w:color="001544"/>
            </w:tcBorders>
            <w:shd w:val="clear" w:color="auto" w:fill="DBDFEA"/>
          </w:tcPr>
          <w:p>
            <w:pPr>
              <w:spacing w:after="0"/>
              <w:rPr>
                <w:sz w:val="5"/>
                <w:szCs w:val="5"/>
                <w:color w:val="auto"/>
              </w:rPr>
            </w:pPr>
          </w:p>
        </w:tc>
        <w:tc>
          <w:tcPr>
            <w:tcW w:w="740" w:type="dxa"/>
            <w:vAlign w:val="bottom"/>
            <w:tcBorders>
              <w:bottom w:val="single" w:sz="8" w:color="001544"/>
            </w:tcBorders>
            <w:shd w:val="clear" w:color="auto" w:fill="DBDFEA"/>
          </w:tcPr>
          <w:p>
            <w:pPr>
              <w:spacing w:after="0"/>
              <w:rPr>
                <w:sz w:val="5"/>
                <w:szCs w:val="5"/>
                <w:color w:val="auto"/>
              </w:rPr>
            </w:pPr>
          </w:p>
        </w:tc>
        <w:tc>
          <w:tcPr>
            <w:tcW w:w="820" w:type="dxa"/>
            <w:vAlign w:val="bottom"/>
            <w:tcBorders>
              <w:bottom w:val="single" w:sz="8" w:color="001544"/>
            </w:tcBorders>
            <w:shd w:val="clear" w:color="auto" w:fill="DBDFEA"/>
          </w:tcPr>
          <w:p>
            <w:pPr>
              <w:spacing w:after="0"/>
              <w:rPr>
                <w:sz w:val="5"/>
                <w:szCs w:val="5"/>
                <w:color w:val="auto"/>
              </w:rPr>
            </w:pPr>
          </w:p>
        </w:tc>
        <w:tc>
          <w:tcPr>
            <w:tcW w:w="600" w:type="dxa"/>
            <w:vAlign w:val="bottom"/>
            <w:tcBorders>
              <w:bottom w:val="single" w:sz="8" w:color="001544"/>
            </w:tcBorders>
            <w:shd w:val="clear" w:color="auto" w:fill="DBDFEA"/>
          </w:tcPr>
          <w:p>
            <w:pPr>
              <w:spacing w:after="0"/>
              <w:rPr>
                <w:sz w:val="5"/>
                <w:szCs w:val="5"/>
                <w:color w:val="auto"/>
              </w:rPr>
            </w:pPr>
          </w:p>
        </w:tc>
        <w:tc>
          <w:tcPr>
            <w:tcW w:w="840" w:type="dxa"/>
            <w:vAlign w:val="bottom"/>
            <w:tcBorders>
              <w:bottom w:val="single" w:sz="8" w:color="001544"/>
            </w:tcBorders>
            <w:shd w:val="clear" w:color="auto" w:fill="DBDFEA"/>
          </w:tcPr>
          <w:p>
            <w:pPr>
              <w:spacing w:after="0"/>
              <w:rPr>
                <w:sz w:val="5"/>
                <w:szCs w:val="5"/>
                <w:color w:val="auto"/>
              </w:rPr>
            </w:pPr>
          </w:p>
        </w:tc>
        <w:tc>
          <w:tcPr>
            <w:tcW w:w="620" w:type="dxa"/>
            <w:vAlign w:val="bottom"/>
            <w:tcBorders>
              <w:bottom w:val="single" w:sz="8" w:color="001544"/>
            </w:tcBorders>
            <w:shd w:val="clear" w:color="auto" w:fill="DBDFEA"/>
          </w:tcPr>
          <w:p>
            <w:pPr>
              <w:spacing w:after="0"/>
              <w:rPr>
                <w:sz w:val="5"/>
                <w:szCs w:val="5"/>
                <w:color w:val="auto"/>
              </w:rPr>
            </w:pPr>
          </w:p>
        </w:tc>
      </w:tr>
      <w:tr>
        <w:trPr>
          <w:trHeight w:val="236"/>
        </w:trPr>
        <w:tc>
          <w:tcPr>
            <w:tcW w:w="2830" w:type="dxa"/>
            <w:vAlign w:val="bottom"/>
            <w:tcBorders>
              <w:bottom w:val="single" w:sz="8" w:color="DBDFEA"/>
            </w:tcBorders>
            <w:shd w:val="clear" w:color="auto" w:fill="DBDFEA"/>
          </w:tcPr>
          <w:p>
            <w:pPr>
              <w:ind w:left="60"/>
              <w:spacing w:after="0"/>
              <w:rPr>
                <w:sz w:val="20"/>
                <w:szCs w:val="20"/>
                <w:color w:val="auto"/>
              </w:rPr>
            </w:pPr>
            <w:r>
              <w:rPr>
                <w:rFonts w:ascii="Arial" w:cs="Arial" w:eastAsia="Arial" w:hAnsi="Arial"/>
                <w:sz w:val="13"/>
                <w:szCs w:val="13"/>
                <w:color w:val="auto"/>
              </w:rPr>
              <w:t>Qualified Financial Expert</w:t>
            </w:r>
          </w:p>
        </w:tc>
        <w:tc>
          <w:tcPr>
            <w:tcW w:w="640" w:type="dxa"/>
            <w:vAlign w:val="bottom"/>
            <w:tcBorders>
              <w:bottom w:val="single" w:sz="8" w:color="DBDFEA"/>
            </w:tcBorders>
            <w:shd w:val="clear" w:color="auto" w:fill="DBDFEA"/>
          </w:tcPr>
          <w:p>
            <w:pPr>
              <w:spacing w:after="0"/>
              <w:rPr>
                <w:sz w:val="20"/>
                <w:szCs w:val="20"/>
                <w:color w:val="auto"/>
              </w:rPr>
            </w:pPr>
          </w:p>
        </w:tc>
        <w:tc>
          <w:tcPr>
            <w:tcW w:w="610" w:type="dxa"/>
            <w:vAlign w:val="bottom"/>
            <w:tcBorders>
              <w:bottom w:val="single" w:sz="8" w:color="DBDFEA"/>
            </w:tcBorders>
            <w:shd w:val="clear" w:color="auto" w:fill="DBDFEA"/>
          </w:tcPr>
          <w:p>
            <w:pPr>
              <w:spacing w:after="0"/>
              <w:rPr>
                <w:sz w:val="20"/>
                <w:szCs w:val="20"/>
                <w:color w:val="auto"/>
              </w:rPr>
            </w:pPr>
          </w:p>
        </w:tc>
        <w:tc>
          <w:tcPr>
            <w:tcW w:w="1140" w:type="dxa"/>
            <w:vAlign w:val="bottom"/>
            <w:tcBorders>
              <w:bottom w:val="single" w:sz="8" w:color="DBDFEA"/>
            </w:tcBorders>
            <w:shd w:val="clear" w:color="auto" w:fill="DBDFEA"/>
          </w:tcPr>
          <w:p>
            <w:pPr>
              <w:spacing w:after="0"/>
              <w:rPr>
                <w:sz w:val="20"/>
                <w:szCs w:val="20"/>
                <w:color w:val="auto"/>
              </w:rPr>
            </w:pPr>
          </w:p>
        </w:tc>
        <w:tc>
          <w:tcPr>
            <w:tcW w:w="620" w:type="dxa"/>
            <w:vAlign w:val="bottom"/>
            <w:tcBorders>
              <w:bottom w:val="single" w:sz="8" w:color="DBDFEA"/>
            </w:tcBorders>
            <w:shd w:val="clear" w:color="auto" w:fill="DBDFEA"/>
          </w:tcPr>
          <w:p>
            <w:pPr>
              <w:spacing w:after="0"/>
              <w:rPr>
                <w:sz w:val="20"/>
                <w:szCs w:val="20"/>
                <w:color w:val="auto"/>
              </w:rPr>
            </w:pPr>
          </w:p>
        </w:tc>
        <w:tc>
          <w:tcPr>
            <w:tcW w:w="740" w:type="dxa"/>
            <w:vAlign w:val="bottom"/>
            <w:tcBorders>
              <w:bottom w:val="single" w:sz="8" w:color="DBDFEA"/>
            </w:tcBorders>
            <w:shd w:val="clear" w:color="auto" w:fill="DBDFEA"/>
          </w:tcPr>
          <w:p>
            <w:pPr>
              <w:spacing w:after="0"/>
              <w:rPr>
                <w:sz w:val="20"/>
                <w:szCs w:val="20"/>
                <w:color w:val="auto"/>
              </w:rPr>
            </w:pPr>
          </w:p>
        </w:tc>
        <w:tc>
          <w:tcPr>
            <w:tcW w:w="820" w:type="dxa"/>
            <w:vAlign w:val="bottom"/>
            <w:tcBorders>
              <w:bottom w:val="single" w:sz="8" w:color="DBDFEA"/>
            </w:tcBorders>
            <w:shd w:val="clear" w:color="auto" w:fill="DBDFEA"/>
          </w:tcPr>
          <w:p>
            <w:pPr>
              <w:spacing w:after="0"/>
              <w:rPr>
                <w:sz w:val="20"/>
                <w:szCs w:val="20"/>
                <w:color w:val="auto"/>
              </w:rPr>
            </w:pPr>
          </w:p>
        </w:tc>
        <w:tc>
          <w:tcPr>
            <w:tcW w:w="600" w:type="dxa"/>
            <w:vAlign w:val="bottom"/>
            <w:tcBorders>
              <w:bottom w:val="single" w:sz="8" w:color="DBDFEA"/>
            </w:tcBorders>
            <w:shd w:val="clear" w:color="auto" w:fill="DBDFEA"/>
          </w:tcPr>
          <w:p>
            <w:pPr>
              <w:spacing w:after="0"/>
              <w:rPr>
                <w:sz w:val="20"/>
                <w:szCs w:val="20"/>
                <w:color w:val="auto"/>
              </w:rPr>
            </w:pPr>
          </w:p>
        </w:tc>
        <w:tc>
          <w:tcPr>
            <w:tcW w:w="840" w:type="dxa"/>
            <w:vAlign w:val="bottom"/>
            <w:tcBorders>
              <w:bottom w:val="single" w:sz="8" w:color="DBDFEA"/>
            </w:tcBorders>
            <w:shd w:val="clear" w:color="auto" w:fill="DBDFEA"/>
          </w:tcPr>
          <w:p>
            <w:pPr>
              <w:spacing w:after="0"/>
              <w:rPr>
                <w:sz w:val="20"/>
                <w:szCs w:val="20"/>
                <w:color w:val="auto"/>
              </w:rPr>
            </w:pPr>
          </w:p>
        </w:tc>
        <w:tc>
          <w:tcPr>
            <w:tcW w:w="620" w:type="dxa"/>
            <w:vAlign w:val="bottom"/>
            <w:tcBorders>
              <w:bottom w:val="single" w:sz="8" w:color="DBDFEA"/>
            </w:tcBorders>
            <w:shd w:val="clear" w:color="auto" w:fill="DBDFEA"/>
          </w:tcPr>
          <w:p>
            <w:pPr>
              <w:spacing w:after="0"/>
              <w:rPr>
                <w:sz w:val="20"/>
                <w:szCs w:val="20"/>
                <w:color w:val="auto"/>
              </w:rPr>
            </w:pPr>
          </w:p>
        </w:tc>
      </w:tr>
      <w:tr>
        <w:trPr>
          <w:trHeight w:val="236"/>
        </w:trPr>
        <w:tc>
          <w:tcPr>
            <w:tcW w:w="2830" w:type="dxa"/>
            <w:vAlign w:val="bottom"/>
            <w:tcBorders>
              <w:top w:val="single" w:sz="8" w:color="001544"/>
              <w:bottom w:val="single" w:sz="8" w:color="DBDFEA"/>
            </w:tcBorders>
            <w:shd w:val="clear" w:color="auto" w:fill="DBDFEA"/>
          </w:tcPr>
          <w:p>
            <w:pPr>
              <w:ind w:left="60"/>
              <w:spacing w:after="0"/>
              <w:rPr>
                <w:sz w:val="20"/>
                <w:szCs w:val="20"/>
                <w:color w:val="auto"/>
              </w:rPr>
            </w:pPr>
            <w:r>
              <w:rPr>
                <w:rFonts w:ascii="Arial" w:cs="Arial" w:eastAsia="Arial" w:hAnsi="Arial"/>
                <w:sz w:val="13"/>
                <w:szCs w:val="13"/>
                <w:color w:val="auto"/>
              </w:rPr>
              <w:t>Digital</w:t>
            </w:r>
          </w:p>
        </w:tc>
        <w:tc>
          <w:tcPr>
            <w:tcW w:w="640" w:type="dxa"/>
            <w:vAlign w:val="bottom"/>
            <w:tcBorders>
              <w:top w:val="single" w:sz="8" w:color="001544"/>
              <w:bottom w:val="single" w:sz="8" w:color="DBDFEA"/>
            </w:tcBorders>
            <w:shd w:val="clear" w:color="auto" w:fill="DBDFEA"/>
          </w:tcPr>
          <w:p>
            <w:pPr>
              <w:spacing w:after="0"/>
              <w:rPr>
                <w:sz w:val="20"/>
                <w:szCs w:val="20"/>
                <w:color w:val="auto"/>
              </w:rPr>
            </w:pPr>
          </w:p>
        </w:tc>
        <w:tc>
          <w:tcPr>
            <w:tcW w:w="610" w:type="dxa"/>
            <w:vAlign w:val="bottom"/>
            <w:tcBorders>
              <w:top w:val="single" w:sz="8" w:color="001544"/>
              <w:bottom w:val="single" w:sz="8" w:color="DBDFEA"/>
            </w:tcBorders>
            <w:shd w:val="clear" w:color="auto" w:fill="DBDFEA"/>
          </w:tcPr>
          <w:p>
            <w:pPr>
              <w:spacing w:after="0"/>
              <w:rPr>
                <w:sz w:val="20"/>
                <w:szCs w:val="20"/>
                <w:color w:val="auto"/>
              </w:rPr>
            </w:pPr>
          </w:p>
        </w:tc>
        <w:tc>
          <w:tcPr>
            <w:tcW w:w="1140" w:type="dxa"/>
            <w:vAlign w:val="bottom"/>
            <w:tcBorders>
              <w:top w:val="single" w:sz="8" w:color="001544"/>
              <w:bottom w:val="single" w:sz="8" w:color="DBDFEA"/>
            </w:tcBorders>
            <w:shd w:val="clear" w:color="auto" w:fill="DBDFEA"/>
          </w:tcPr>
          <w:p>
            <w:pPr>
              <w:spacing w:after="0"/>
              <w:rPr>
                <w:sz w:val="20"/>
                <w:szCs w:val="20"/>
                <w:color w:val="auto"/>
              </w:rPr>
            </w:pPr>
          </w:p>
        </w:tc>
        <w:tc>
          <w:tcPr>
            <w:tcW w:w="620" w:type="dxa"/>
            <w:vAlign w:val="bottom"/>
            <w:tcBorders>
              <w:top w:val="single" w:sz="8" w:color="001544"/>
              <w:bottom w:val="single" w:sz="8" w:color="DBDFEA"/>
            </w:tcBorders>
            <w:shd w:val="clear" w:color="auto" w:fill="DBDFEA"/>
          </w:tcPr>
          <w:p>
            <w:pPr>
              <w:spacing w:after="0"/>
              <w:rPr>
                <w:sz w:val="20"/>
                <w:szCs w:val="20"/>
                <w:color w:val="auto"/>
              </w:rPr>
            </w:pPr>
          </w:p>
        </w:tc>
        <w:tc>
          <w:tcPr>
            <w:tcW w:w="740" w:type="dxa"/>
            <w:vAlign w:val="bottom"/>
            <w:tcBorders>
              <w:top w:val="single" w:sz="8" w:color="001544"/>
              <w:bottom w:val="single" w:sz="8" w:color="DBDFEA"/>
            </w:tcBorders>
            <w:shd w:val="clear" w:color="auto" w:fill="DBDFEA"/>
          </w:tcPr>
          <w:p>
            <w:pPr>
              <w:spacing w:after="0"/>
              <w:rPr>
                <w:sz w:val="20"/>
                <w:szCs w:val="20"/>
                <w:color w:val="auto"/>
              </w:rPr>
            </w:pPr>
          </w:p>
        </w:tc>
        <w:tc>
          <w:tcPr>
            <w:tcW w:w="820" w:type="dxa"/>
            <w:vAlign w:val="bottom"/>
            <w:tcBorders>
              <w:top w:val="single" w:sz="8" w:color="001544"/>
              <w:bottom w:val="single" w:sz="8" w:color="DBDFEA"/>
            </w:tcBorders>
            <w:shd w:val="clear" w:color="auto" w:fill="DBDFEA"/>
          </w:tcPr>
          <w:p>
            <w:pPr>
              <w:spacing w:after="0"/>
              <w:rPr>
                <w:sz w:val="20"/>
                <w:szCs w:val="20"/>
                <w:color w:val="auto"/>
              </w:rPr>
            </w:pPr>
          </w:p>
        </w:tc>
        <w:tc>
          <w:tcPr>
            <w:tcW w:w="600" w:type="dxa"/>
            <w:vAlign w:val="bottom"/>
            <w:tcBorders>
              <w:top w:val="single" w:sz="8" w:color="001544"/>
              <w:bottom w:val="single" w:sz="8" w:color="DBDFEA"/>
            </w:tcBorders>
            <w:shd w:val="clear" w:color="auto" w:fill="DBDFEA"/>
          </w:tcPr>
          <w:p>
            <w:pPr>
              <w:spacing w:after="0"/>
              <w:rPr>
                <w:sz w:val="20"/>
                <w:szCs w:val="20"/>
                <w:color w:val="auto"/>
              </w:rPr>
            </w:pPr>
          </w:p>
        </w:tc>
        <w:tc>
          <w:tcPr>
            <w:tcW w:w="840" w:type="dxa"/>
            <w:vAlign w:val="bottom"/>
            <w:tcBorders>
              <w:top w:val="single" w:sz="8" w:color="001544"/>
              <w:bottom w:val="single" w:sz="8" w:color="DBDFEA"/>
            </w:tcBorders>
            <w:shd w:val="clear" w:color="auto" w:fill="DBDFEA"/>
          </w:tcPr>
          <w:p>
            <w:pPr>
              <w:spacing w:after="0"/>
              <w:rPr>
                <w:sz w:val="20"/>
                <w:szCs w:val="20"/>
                <w:color w:val="auto"/>
              </w:rPr>
            </w:pPr>
          </w:p>
        </w:tc>
        <w:tc>
          <w:tcPr>
            <w:tcW w:w="620" w:type="dxa"/>
            <w:vAlign w:val="bottom"/>
            <w:tcBorders>
              <w:top w:val="single" w:sz="8" w:color="001544"/>
              <w:bottom w:val="single" w:sz="8" w:color="DBDFEA"/>
            </w:tcBorders>
            <w:shd w:val="clear" w:color="auto" w:fill="DBDFEA"/>
          </w:tcPr>
          <w:p>
            <w:pPr>
              <w:spacing w:after="0"/>
              <w:rPr>
                <w:sz w:val="20"/>
                <w:szCs w:val="20"/>
                <w:color w:val="auto"/>
              </w:rPr>
            </w:pPr>
          </w:p>
        </w:tc>
      </w:tr>
      <w:tr>
        <w:trPr>
          <w:trHeight w:val="236"/>
        </w:trPr>
        <w:tc>
          <w:tcPr>
            <w:tcW w:w="2830" w:type="dxa"/>
            <w:vAlign w:val="bottom"/>
            <w:tcBorders>
              <w:top w:val="single" w:sz="8" w:color="001544"/>
              <w:bottom w:val="single" w:sz="8" w:color="DBDFEA"/>
            </w:tcBorders>
            <w:shd w:val="clear" w:color="auto" w:fill="DBDFEA"/>
          </w:tcPr>
          <w:p>
            <w:pPr>
              <w:ind w:left="60"/>
              <w:spacing w:after="0"/>
              <w:rPr>
                <w:sz w:val="20"/>
                <w:szCs w:val="20"/>
                <w:color w:val="auto"/>
              </w:rPr>
            </w:pPr>
            <w:r>
              <w:rPr>
                <w:rFonts w:ascii="Arial" w:cs="Arial" w:eastAsia="Arial" w:hAnsi="Arial"/>
                <w:sz w:val="13"/>
                <w:szCs w:val="13"/>
                <w:color w:val="auto"/>
              </w:rPr>
              <w:t>Capital Markets</w:t>
            </w:r>
          </w:p>
        </w:tc>
        <w:tc>
          <w:tcPr>
            <w:tcW w:w="640" w:type="dxa"/>
            <w:vAlign w:val="bottom"/>
            <w:tcBorders>
              <w:top w:val="single" w:sz="8" w:color="001544"/>
              <w:bottom w:val="single" w:sz="8" w:color="DBDFEA"/>
            </w:tcBorders>
            <w:shd w:val="clear" w:color="auto" w:fill="DBDFEA"/>
          </w:tcPr>
          <w:p>
            <w:pPr>
              <w:spacing w:after="0"/>
              <w:rPr>
                <w:sz w:val="20"/>
                <w:szCs w:val="20"/>
                <w:color w:val="auto"/>
              </w:rPr>
            </w:pPr>
          </w:p>
        </w:tc>
        <w:tc>
          <w:tcPr>
            <w:tcW w:w="610" w:type="dxa"/>
            <w:vAlign w:val="bottom"/>
            <w:tcBorders>
              <w:top w:val="single" w:sz="8" w:color="001544"/>
              <w:bottom w:val="single" w:sz="8" w:color="DBDFEA"/>
            </w:tcBorders>
            <w:shd w:val="clear" w:color="auto" w:fill="DBDFEA"/>
          </w:tcPr>
          <w:p>
            <w:pPr>
              <w:spacing w:after="0"/>
              <w:rPr>
                <w:sz w:val="20"/>
                <w:szCs w:val="20"/>
                <w:color w:val="auto"/>
              </w:rPr>
            </w:pPr>
          </w:p>
        </w:tc>
        <w:tc>
          <w:tcPr>
            <w:tcW w:w="1140" w:type="dxa"/>
            <w:vAlign w:val="bottom"/>
            <w:tcBorders>
              <w:top w:val="single" w:sz="8" w:color="001544"/>
              <w:bottom w:val="single" w:sz="8" w:color="DBDFEA"/>
            </w:tcBorders>
            <w:shd w:val="clear" w:color="auto" w:fill="DBDFEA"/>
          </w:tcPr>
          <w:p>
            <w:pPr>
              <w:spacing w:after="0"/>
              <w:rPr>
                <w:sz w:val="20"/>
                <w:szCs w:val="20"/>
                <w:color w:val="auto"/>
              </w:rPr>
            </w:pPr>
          </w:p>
        </w:tc>
        <w:tc>
          <w:tcPr>
            <w:tcW w:w="620" w:type="dxa"/>
            <w:vAlign w:val="bottom"/>
            <w:tcBorders>
              <w:top w:val="single" w:sz="8" w:color="001544"/>
              <w:bottom w:val="single" w:sz="8" w:color="DBDFEA"/>
            </w:tcBorders>
            <w:shd w:val="clear" w:color="auto" w:fill="DBDFEA"/>
          </w:tcPr>
          <w:p>
            <w:pPr>
              <w:spacing w:after="0"/>
              <w:rPr>
                <w:sz w:val="20"/>
                <w:szCs w:val="20"/>
                <w:color w:val="auto"/>
              </w:rPr>
            </w:pPr>
          </w:p>
        </w:tc>
        <w:tc>
          <w:tcPr>
            <w:tcW w:w="740" w:type="dxa"/>
            <w:vAlign w:val="bottom"/>
            <w:tcBorders>
              <w:top w:val="single" w:sz="8" w:color="001544"/>
              <w:bottom w:val="single" w:sz="8" w:color="DBDFEA"/>
            </w:tcBorders>
            <w:shd w:val="clear" w:color="auto" w:fill="DBDFEA"/>
          </w:tcPr>
          <w:p>
            <w:pPr>
              <w:spacing w:after="0"/>
              <w:rPr>
                <w:sz w:val="20"/>
                <w:szCs w:val="20"/>
                <w:color w:val="auto"/>
              </w:rPr>
            </w:pPr>
          </w:p>
        </w:tc>
        <w:tc>
          <w:tcPr>
            <w:tcW w:w="820" w:type="dxa"/>
            <w:vAlign w:val="bottom"/>
            <w:tcBorders>
              <w:top w:val="single" w:sz="8" w:color="001544"/>
              <w:bottom w:val="single" w:sz="8" w:color="DBDFEA"/>
            </w:tcBorders>
            <w:shd w:val="clear" w:color="auto" w:fill="DBDFEA"/>
          </w:tcPr>
          <w:p>
            <w:pPr>
              <w:spacing w:after="0"/>
              <w:rPr>
                <w:sz w:val="20"/>
                <w:szCs w:val="20"/>
                <w:color w:val="auto"/>
              </w:rPr>
            </w:pPr>
          </w:p>
        </w:tc>
        <w:tc>
          <w:tcPr>
            <w:tcW w:w="600" w:type="dxa"/>
            <w:vAlign w:val="bottom"/>
            <w:tcBorders>
              <w:top w:val="single" w:sz="8" w:color="001544"/>
              <w:bottom w:val="single" w:sz="8" w:color="DBDFEA"/>
            </w:tcBorders>
            <w:shd w:val="clear" w:color="auto" w:fill="DBDFEA"/>
          </w:tcPr>
          <w:p>
            <w:pPr>
              <w:spacing w:after="0"/>
              <w:rPr>
                <w:sz w:val="20"/>
                <w:szCs w:val="20"/>
                <w:color w:val="auto"/>
              </w:rPr>
            </w:pPr>
          </w:p>
        </w:tc>
        <w:tc>
          <w:tcPr>
            <w:tcW w:w="840" w:type="dxa"/>
            <w:vAlign w:val="bottom"/>
            <w:tcBorders>
              <w:top w:val="single" w:sz="8" w:color="001544"/>
              <w:bottom w:val="single" w:sz="8" w:color="DBDFEA"/>
            </w:tcBorders>
            <w:shd w:val="clear" w:color="auto" w:fill="DBDFEA"/>
          </w:tcPr>
          <w:p>
            <w:pPr>
              <w:spacing w:after="0"/>
              <w:rPr>
                <w:sz w:val="20"/>
                <w:szCs w:val="20"/>
                <w:color w:val="auto"/>
              </w:rPr>
            </w:pPr>
          </w:p>
        </w:tc>
        <w:tc>
          <w:tcPr>
            <w:tcW w:w="620" w:type="dxa"/>
            <w:vAlign w:val="bottom"/>
            <w:tcBorders>
              <w:top w:val="single" w:sz="8" w:color="001544"/>
              <w:bottom w:val="single" w:sz="8" w:color="DBDFEA"/>
            </w:tcBorders>
            <w:shd w:val="clear" w:color="auto" w:fill="DBDFEA"/>
          </w:tcPr>
          <w:p>
            <w:pPr>
              <w:spacing w:after="0"/>
              <w:rPr>
                <w:sz w:val="20"/>
                <w:szCs w:val="20"/>
                <w:color w:val="auto"/>
              </w:rPr>
            </w:pPr>
          </w:p>
        </w:tc>
      </w:tr>
      <w:tr>
        <w:trPr>
          <w:trHeight w:val="236"/>
        </w:trPr>
        <w:tc>
          <w:tcPr>
            <w:tcW w:w="2830" w:type="dxa"/>
            <w:vAlign w:val="bottom"/>
            <w:tcBorders>
              <w:top w:val="single" w:sz="8" w:color="001544"/>
              <w:bottom w:val="single" w:sz="8" w:color="DBDFEA"/>
            </w:tcBorders>
            <w:shd w:val="clear" w:color="auto" w:fill="DBDFEA"/>
          </w:tcPr>
          <w:p>
            <w:pPr>
              <w:ind w:left="60"/>
              <w:spacing w:after="0"/>
              <w:rPr>
                <w:sz w:val="20"/>
                <w:szCs w:val="20"/>
                <w:color w:val="auto"/>
              </w:rPr>
            </w:pPr>
            <w:r>
              <w:rPr>
                <w:rFonts w:ascii="Arial" w:cs="Arial" w:eastAsia="Arial" w:hAnsi="Arial"/>
                <w:sz w:val="13"/>
                <w:szCs w:val="13"/>
                <w:color w:val="auto"/>
              </w:rPr>
              <w:t>Investment / Portfolio Management</w:t>
            </w:r>
          </w:p>
        </w:tc>
        <w:tc>
          <w:tcPr>
            <w:tcW w:w="640" w:type="dxa"/>
            <w:vAlign w:val="bottom"/>
            <w:tcBorders>
              <w:top w:val="single" w:sz="8" w:color="001544"/>
              <w:bottom w:val="single" w:sz="8" w:color="DBDFEA"/>
            </w:tcBorders>
            <w:shd w:val="clear" w:color="auto" w:fill="DBDFEA"/>
          </w:tcPr>
          <w:p>
            <w:pPr>
              <w:spacing w:after="0"/>
              <w:rPr>
                <w:sz w:val="20"/>
                <w:szCs w:val="20"/>
                <w:color w:val="auto"/>
              </w:rPr>
            </w:pPr>
          </w:p>
        </w:tc>
        <w:tc>
          <w:tcPr>
            <w:tcW w:w="610" w:type="dxa"/>
            <w:vAlign w:val="bottom"/>
            <w:tcBorders>
              <w:top w:val="single" w:sz="8" w:color="001544"/>
              <w:bottom w:val="single" w:sz="8" w:color="DBDFEA"/>
            </w:tcBorders>
            <w:shd w:val="clear" w:color="auto" w:fill="DBDFEA"/>
          </w:tcPr>
          <w:p>
            <w:pPr>
              <w:spacing w:after="0"/>
              <w:rPr>
                <w:sz w:val="20"/>
                <w:szCs w:val="20"/>
                <w:color w:val="auto"/>
              </w:rPr>
            </w:pPr>
          </w:p>
        </w:tc>
        <w:tc>
          <w:tcPr>
            <w:tcW w:w="1140" w:type="dxa"/>
            <w:vAlign w:val="bottom"/>
            <w:tcBorders>
              <w:top w:val="single" w:sz="8" w:color="001544"/>
              <w:bottom w:val="single" w:sz="8" w:color="DBDFEA"/>
            </w:tcBorders>
            <w:shd w:val="clear" w:color="auto" w:fill="DBDFEA"/>
          </w:tcPr>
          <w:p>
            <w:pPr>
              <w:spacing w:after="0"/>
              <w:rPr>
                <w:sz w:val="20"/>
                <w:szCs w:val="20"/>
                <w:color w:val="auto"/>
              </w:rPr>
            </w:pPr>
          </w:p>
        </w:tc>
        <w:tc>
          <w:tcPr>
            <w:tcW w:w="620" w:type="dxa"/>
            <w:vAlign w:val="bottom"/>
            <w:tcBorders>
              <w:top w:val="single" w:sz="8" w:color="001544"/>
              <w:bottom w:val="single" w:sz="8" w:color="DBDFEA"/>
            </w:tcBorders>
            <w:shd w:val="clear" w:color="auto" w:fill="DBDFEA"/>
          </w:tcPr>
          <w:p>
            <w:pPr>
              <w:spacing w:after="0"/>
              <w:rPr>
                <w:sz w:val="20"/>
                <w:szCs w:val="20"/>
                <w:color w:val="auto"/>
              </w:rPr>
            </w:pPr>
          </w:p>
        </w:tc>
        <w:tc>
          <w:tcPr>
            <w:tcW w:w="740" w:type="dxa"/>
            <w:vAlign w:val="bottom"/>
            <w:tcBorders>
              <w:top w:val="single" w:sz="8" w:color="001544"/>
              <w:bottom w:val="single" w:sz="8" w:color="DBDFEA"/>
            </w:tcBorders>
            <w:shd w:val="clear" w:color="auto" w:fill="DBDFEA"/>
          </w:tcPr>
          <w:p>
            <w:pPr>
              <w:spacing w:after="0"/>
              <w:rPr>
                <w:sz w:val="20"/>
                <w:szCs w:val="20"/>
                <w:color w:val="auto"/>
              </w:rPr>
            </w:pPr>
          </w:p>
        </w:tc>
        <w:tc>
          <w:tcPr>
            <w:tcW w:w="820" w:type="dxa"/>
            <w:vAlign w:val="bottom"/>
            <w:tcBorders>
              <w:top w:val="single" w:sz="8" w:color="001544"/>
              <w:bottom w:val="single" w:sz="8" w:color="DBDFEA"/>
            </w:tcBorders>
            <w:shd w:val="clear" w:color="auto" w:fill="DBDFEA"/>
          </w:tcPr>
          <w:p>
            <w:pPr>
              <w:spacing w:after="0"/>
              <w:rPr>
                <w:sz w:val="20"/>
                <w:szCs w:val="20"/>
                <w:color w:val="auto"/>
              </w:rPr>
            </w:pPr>
          </w:p>
        </w:tc>
        <w:tc>
          <w:tcPr>
            <w:tcW w:w="600" w:type="dxa"/>
            <w:vAlign w:val="bottom"/>
            <w:tcBorders>
              <w:top w:val="single" w:sz="8" w:color="001544"/>
              <w:bottom w:val="single" w:sz="8" w:color="DBDFEA"/>
            </w:tcBorders>
            <w:shd w:val="clear" w:color="auto" w:fill="DBDFEA"/>
          </w:tcPr>
          <w:p>
            <w:pPr>
              <w:spacing w:after="0"/>
              <w:rPr>
                <w:sz w:val="20"/>
                <w:szCs w:val="20"/>
                <w:color w:val="auto"/>
              </w:rPr>
            </w:pPr>
          </w:p>
        </w:tc>
        <w:tc>
          <w:tcPr>
            <w:tcW w:w="840" w:type="dxa"/>
            <w:vAlign w:val="bottom"/>
            <w:tcBorders>
              <w:top w:val="single" w:sz="8" w:color="001544"/>
              <w:bottom w:val="single" w:sz="8" w:color="DBDFEA"/>
            </w:tcBorders>
            <w:shd w:val="clear" w:color="auto" w:fill="DBDFEA"/>
          </w:tcPr>
          <w:p>
            <w:pPr>
              <w:spacing w:after="0"/>
              <w:rPr>
                <w:sz w:val="20"/>
                <w:szCs w:val="20"/>
                <w:color w:val="auto"/>
              </w:rPr>
            </w:pPr>
          </w:p>
        </w:tc>
        <w:tc>
          <w:tcPr>
            <w:tcW w:w="620" w:type="dxa"/>
            <w:vAlign w:val="bottom"/>
            <w:tcBorders>
              <w:top w:val="single" w:sz="8" w:color="001544"/>
              <w:bottom w:val="single" w:sz="8" w:color="DBDFEA"/>
            </w:tcBorders>
            <w:shd w:val="clear" w:color="auto" w:fill="DBDFEA"/>
          </w:tcPr>
          <w:p>
            <w:pPr>
              <w:spacing w:after="0"/>
              <w:rPr>
                <w:sz w:val="20"/>
                <w:szCs w:val="20"/>
                <w:color w:val="auto"/>
              </w:rPr>
            </w:pPr>
          </w:p>
        </w:tc>
      </w:tr>
      <w:tr>
        <w:trPr>
          <w:trHeight w:val="236"/>
        </w:trPr>
        <w:tc>
          <w:tcPr>
            <w:tcW w:w="2830" w:type="dxa"/>
            <w:vAlign w:val="bottom"/>
            <w:tcBorders>
              <w:top w:val="single" w:sz="8" w:color="001544"/>
              <w:bottom w:val="single" w:sz="8" w:color="DBDFEA"/>
            </w:tcBorders>
            <w:shd w:val="clear" w:color="auto" w:fill="DBDFEA"/>
          </w:tcPr>
          <w:p>
            <w:pPr>
              <w:ind w:left="60"/>
              <w:spacing w:after="0"/>
              <w:rPr>
                <w:sz w:val="20"/>
                <w:szCs w:val="20"/>
                <w:color w:val="auto"/>
              </w:rPr>
            </w:pPr>
            <w:r>
              <w:rPr>
                <w:rFonts w:ascii="Arial" w:cs="Arial" w:eastAsia="Arial" w:hAnsi="Arial"/>
                <w:sz w:val="13"/>
                <w:szCs w:val="13"/>
                <w:color w:val="auto"/>
              </w:rPr>
              <w:t>Risk Management</w:t>
            </w:r>
          </w:p>
        </w:tc>
        <w:tc>
          <w:tcPr>
            <w:tcW w:w="640" w:type="dxa"/>
            <w:vAlign w:val="bottom"/>
            <w:tcBorders>
              <w:top w:val="single" w:sz="8" w:color="001544"/>
              <w:bottom w:val="single" w:sz="8" w:color="DBDFEA"/>
            </w:tcBorders>
            <w:shd w:val="clear" w:color="auto" w:fill="DBDFEA"/>
          </w:tcPr>
          <w:p>
            <w:pPr>
              <w:spacing w:after="0"/>
              <w:rPr>
                <w:sz w:val="20"/>
                <w:szCs w:val="20"/>
                <w:color w:val="auto"/>
              </w:rPr>
            </w:pPr>
          </w:p>
        </w:tc>
        <w:tc>
          <w:tcPr>
            <w:tcW w:w="610" w:type="dxa"/>
            <w:vAlign w:val="bottom"/>
            <w:tcBorders>
              <w:top w:val="single" w:sz="8" w:color="001544"/>
              <w:bottom w:val="single" w:sz="8" w:color="DBDFEA"/>
            </w:tcBorders>
            <w:shd w:val="clear" w:color="auto" w:fill="DBDFEA"/>
          </w:tcPr>
          <w:p>
            <w:pPr>
              <w:spacing w:after="0"/>
              <w:rPr>
                <w:sz w:val="20"/>
                <w:szCs w:val="20"/>
                <w:color w:val="auto"/>
              </w:rPr>
            </w:pPr>
          </w:p>
        </w:tc>
        <w:tc>
          <w:tcPr>
            <w:tcW w:w="1140" w:type="dxa"/>
            <w:vAlign w:val="bottom"/>
            <w:tcBorders>
              <w:top w:val="single" w:sz="8" w:color="001544"/>
              <w:bottom w:val="single" w:sz="8" w:color="DBDFEA"/>
            </w:tcBorders>
            <w:shd w:val="clear" w:color="auto" w:fill="DBDFEA"/>
          </w:tcPr>
          <w:p>
            <w:pPr>
              <w:spacing w:after="0"/>
              <w:rPr>
                <w:sz w:val="20"/>
                <w:szCs w:val="20"/>
                <w:color w:val="auto"/>
              </w:rPr>
            </w:pPr>
          </w:p>
        </w:tc>
        <w:tc>
          <w:tcPr>
            <w:tcW w:w="620" w:type="dxa"/>
            <w:vAlign w:val="bottom"/>
            <w:tcBorders>
              <w:top w:val="single" w:sz="8" w:color="001544"/>
              <w:bottom w:val="single" w:sz="8" w:color="DBDFEA"/>
            </w:tcBorders>
            <w:shd w:val="clear" w:color="auto" w:fill="DBDFEA"/>
          </w:tcPr>
          <w:p>
            <w:pPr>
              <w:spacing w:after="0"/>
              <w:rPr>
                <w:sz w:val="20"/>
                <w:szCs w:val="20"/>
                <w:color w:val="auto"/>
              </w:rPr>
            </w:pPr>
          </w:p>
        </w:tc>
        <w:tc>
          <w:tcPr>
            <w:tcW w:w="740" w:type="dxa"/>
            <w:vAlign w:val="bottom"/>
            <w:tcBorders>
              <w:top w:val="single" w:sz="8" w:color="001544"/>
              <w:bottom w:val="single" w:sz="8" w:color="DBDFEA"/>
            </w:tcBorders>
            <w:shd w:val="clear" w:color="auto" w:fill="DBDFEA"/>
          </w:tcPr>
          <w:p>
            <w:pPr>
              <w:spacing w:after="0"/>
              <w:rPr>
                <w:sz w:val="20"/>
                <w:szCs w:val="20"/>
                <w:color w:val="auto"/>
              </w:rPr>
            </w:pPr>
          </w:p>
        </w:tc>
        <w:tc>
          <w:tcPr>
            <w:tcW w:w="820" w:type="dxa"/>
            <w:vAlign w:val="bottom"/>
            <w:tcBorders>
              <w:top w:val="single" w:sz="8" w:color="001544"/>
              <w:bottom w:val="single" w:sz="8" w:color="DBDFEA"/>
            </w:tcBorders>
            <w:shd w:val="clear" w:color="auto" w:fill="DBDFEA"/>
          </w:tcPr>
          <w:p>
            <w:pPr>
              <w:spacing w:after="0"/>
              <w:rPr>
                <w:sz w:val="20"/>
                <w:szCs w:val="20"/>
                <w:color w:val="auto"/>
              </w:rPr>
            </w:pPr>
          </w:p>
        </w:tc>
        <w:tc>
          <w:tcPr>
            <w:tcW w:w="600" w:type="dxa"/>
            <w:vAlign w:val="bottom"/>
            <w:tcBorders>
              <w:top w:val="single" w:sz="8" w:color="001544"/>
              <w:bottom w:val="single" w:sz="8" w:color="DBDFEA"/>
            </w:tcBorders>
            <w:shd w:val="clear" w:color="auto" w:fill="DBDFEA"/>
          </w:tcPr>
          <w:p>
            <w:pPr>
              <w:spacing w:after="0"/>
              <w:rPr>
                <w:sz w:val="20"/>
                <w:szCs w:val="20"/>
                <w:color w:val="auto"/>
              </w:rPr>
            </w:pPr>
          </w:p>
        </w:tc>
        <w:tc>
          <w:tcPr>
            <w:tcW w:w="840" w:type="dxa"/>
            <w:vAlign w:val="bottom"/>
            <w:tcBorders>
              <w:top w:val="single" w:sz="8" w:color="001544"/>
              <w:bottom w:val="single" w:sz="8" w:color="DBDFEA"/>
            </w:tcBorders>
            <w:shd w:val="clear" w:color="auto" w:fill="DBDFEA"/>
          </w:tcPr>
          <w:p>
            <w:pPr>
              <w:spacing w:after="0"/>
              <w:rPr>
                <w:sz w:val="20"/>
                <w:szCs w:val="20"/>
                <w:color w:val="auto"/>
              </w:rPr>
            </w:pPr>
          </w:p>
        </w:tc>
        <w:tc>
          <w:tcPr>
            <w:tcW w:w="620" w:type="dxa"/>
            <w:vAlign w:val="bottom"/>
            <w:tcBorders>
              <w:top w:val="single" w:sz="8" w:color="001544"/>
              <w:bottom w:val="single" w:sz="8" w:color="DBDFEA"/>
            </w:tcBorders>
            <w:shd w:val="clear" w:color="auto" w:fill="DBDFEA"/>
          </w:tcPr>
          <w:p>
            <w:pPr>
              <w:spacing w:after="0"/>
              <w:rPr>
                <w:sz w:val="20"/>
                <w:szCs w:val="20"/>
                <w:color w:val="auto"/>
              </w:rPr>
            </w:pPr>
          </w:p>
        </w:tc>
      </w:tr>
      <w:tr>
        <w:trPr>
          <w:trHeight w:val="236"/>
        </w:trPr>
        <w:tc>
          <w:tcPr>
            <w:tcW w:w="2830" w:type="dxa"/>
            <w:vAlign w:val="bottom"/>
            <w:tcBorders>
              <w:top w:val="single" w:sz="8" w:color="001544"/>
              <w:bottom w:val="single" w:sz="8" w:color="DBDFEA"/>
            </w:tcBorders>
            <w:shd w:val="clear" w:color="auto" w:fill="DBDFEA"/>
          </w:tcPr>
          <w:p>
            <w:pPr>
              <w:ind w:left="60"/>
              <w:spacing w:after="0"/>
              <w:rPr>
                <w:sz w:val="20"/>
                <w:szCs w:val="20"/>
                <w:color w:val="auto"/>
              </w:rPr>
            </w:pPr>
            <w:r>
              <w:rPr>
                <w:rFonts w:ascii="Arial" w:cs="Arial" w:eastAsia="Arial" w:hAnsi="Arial"/>
                <w:sz w:val="13"/>
                <w:szCs w:val="13"/>
                <w:color w:val="auto"/>
              </w:rPr>
              <w:t>Legal/Regulatory</w:t>
            </w:r>
          </w:p>
        </w:tc>
        <w:tc>
          <w:tcPr>
            <w:tcW w:w="640" w:type="dxa"/>
            <w:vAlign w:val="bottom"/>
            <w:tcBorders>
              <w:top w:val="single" w:sz="8" w:color="001544"/>
              <w:bottom w:val="single" w:sz="8" w:color="DBDFEA"/>
            </w:tcBorders>
            <w:shd w:val="clear" w:color="auto" w:fill="DBDFEA"/>
          </w:tcPr>
          <w:p>
            <w:pPr>
              <w:spacing w:after="0"/>
              <w:rPr>
                <w:sz w:val="20"/>
                <w:szCs w:val="20"/>
                <w:color w:val="auto"/>
              </w:rPr>
            </w:pPr>
          </w:p>
        </w:tc>
        <w:tc>
          <w:tcPr>
            <w:tcW w:w="610" w:type="dxa"/>
            <w:vAlign w:val="bottom"/>
            <w:tcBorders>
              <w:top w:val="single" w:sz="8" w:color="001544"/>
              <w:bottom w:val="single" w:sz="8" w:color="DBDFEA"/>
            </w:tcBorders>
            <w:shd w:val="clear" w:color="auto" w:fill="DBDFEA"/>
          </w:tcPr>
          <w:p>
            <w:pPr>
              <w:spacing w:after="0"/>
              <w:rPr>
                <w:sz w:val="20"/>
                <w:szCs w:val="20"/>
                <w:color w:val="auto"/>
              </w:rPr>
            </w:pPr>
          </w:p>
        </w:tc>
        <w:tc>
          <w:tcPr>
            <w:tcW w:w="1140" w:type="dxa"/>
            <w:vAlign w:val="bottom"/>
            <w:tcBorders>
              <w:top w:val="single" w:sz="8" w:color="001544"/>
              <w:bottom w:val="single" w:sz="8" w:color="DBDFEA"/>
            </w:tcBorders>
            <w:shd w:val="clear" w:color="auto" w:fill="DBDFEA"/>
          </w:tcPr>
          <w:p>
            <w:pPr>
              <w:spacing w:after="0"/>
              <w:rPr>
                <w:sz w:val="20"/>
                <w:szCs w:val="20"/>
                <w:color w:val="auto"/>
              </w:rPr>
            </w:pPr>
          </w:p>
        </w:tc>
        <w:tc>
          <w:tcPr>
            <w:tcW w:w="620" w:type="dxa"/>
            <w:vAlign w:val="bottom"/>
            <w:tcBorders>
              <w:top w:val="single" w:sz="8" w:color="001544"/>
              <w:bottom w:val="single" w:sz="8" w:color="DBDFEA"/>
            </w:tcBorders>
            <w:shd w:val="clear" w:color="auto" w:fill="DBDFEA"/>
          </w:tcPr>
          <w:p>
            <w:pPr>
              <w:spacing w:after="0"/>
              <w:rPr>
                <w:sz w:val="20"/>
                <w:szCs w:val="20"/>
                <w:color w:val="auto"/>
              </w:rPr>
            </w:pPr>
          </w:p>
        </w:tc>
        <w:tc>
          <w:tcPr>
            <w:tcW w:w="740" w:type="dxa"/>
            <w:vAlign w:val="bottom"/>
            <w:tcBorders>
              <w:top w:val="single" w:sz="8" w:color="001544"/>
              <w:bottom w:val="single" w:sz="8" w:color="DBDFEA"/>
            </w:tcBorders>
            <w:shd w:val="clear" w:color="auto" w:fill="DBDFEA"/>
          </w:tcPr>
          <w:p>
            <w:pPr>
              <w:spacing w:after="0"/>
              <w:rPr>
                <w:sz w:val="20"/>
                <w:szCs w:val="20"/>
                <w:color w:val="auto"/>
              </w:rPr>
            </w:pPr>
          </w:p>
        </w:tc>
        <w:tc>
          <w:tcPr>
            <w:tcW w:w="820" w:type="dxa"/>
            <w:vAlign w:val="bottom"/>
            <w:tcBorders>
              <w:top w:val="single" w:sz="8" w:color="001544"/>
              <w:bottom w:val="single" w:sz="8" w:color="DBDFEA"/>
            </w:tcBorders>
            <w:shd w:val="clear" w:color="auto" w:fill="DBDFEA"/>
          </w:tcPr>
          <w:p>
            <w:pPr>
              <w:spacing w:after="0"/>
              <w:rPr>
                <w:sz w:val="20"/>
                <w:szCs w:val="20"/>
                <w:color w:val="auto"/>
              </w:rPr>
            </w:pPr>
          </w:p>
        </w:tc>
        <w:tc>
          <w:tcPr>
            <w:tcW w:w="600" w:type="dxa"/>
            <w:vAlign w:val="bottom"/>
            <w:tcBorders>
              <w:top w:val="single" w:sz="8" w:color="001544"/>
              <w:bottom w:val="single" w:sz="8" w:color="DBDFEA"/>
            </w:tcBorders>
            <w:shd w:val="clear" w:color="auto" w:fill="DBDFEA"/>
          </w:tcPr>
          <w:p>
            <w:pPr>
              <w:spacing w:after="0"/>
              <w:rPr>
                <w:sz w:val="20"/>
                <w:szCs w:val="20"/>
                <w:color w:val="auto"/>
              </w:rPr>
            </w:pPr>
          </w:p>
        </w:tc>
        <w:tc>
          <w:tcPr>
            <w:tcW w:w="840" w:type="dxa"/>
            <w:vAlign w:val="bottom"/>
            <w:tcBorders>
              <w:top w:val="single" w:sz="8" w:color="001544"/>
              <w:bottom w:val="single" w:sz="8" w:color="DBDFEA"/>
            </w:tcBorders>
            <w:shd w:val="clear" w:color="auto" w:fill="DBDFEA"/>
          </w:tcPr>
          <w:p>
            <w:pPr>
              <w:spacing w:after="0"/>
              <w:rPr>
                <w:sz w:val="20"/>
                <w:szCs w:val="20"/>
                <w:color w:val="auto"/>
              </w:rPr>
            </w:pPr>
          </w:p>
        </w:tc>
        <w:tc>
          <w:tcPr>
            <w:tcW w:w="620" w:type="dxa"/>
            <w:vAlign w:val="bottom"/>
            <w:tcBorders>
              <w:top w:val="single" w:sz="8" w:color="001544"/>
              <w:bottom w:val="single" w:sz="8" w:color="DBDFEA"/>
            </w:tcBorders>
            <w:shd w:val="clear" w:color="auto" w:fill="DBDFEA"/>
          </w:tcPr>
          <w:p>
            <w:pPr>
              <w:spacing w:after="0"/>
              <w:rPr>
                <w:sz w:val="20"/>
                <w:szCs w:val="20"/>
                <w:color w:val="auto"/>
              </w:rPr>
            </w:pPr>
          </w:p>
        </w:tc>
      </w:tr>
      <w:tr>
        <w:trPr>
          <w:trHeight w:val="236"/>
        </w:trPr>
        <w:tc>
          <w:tcPr>
            <w:tcW w:w="2830" w:type="dxa"/>
            <w:vAlign w:val="bottom"/>
            <w:tcBorders>
              <w:top w:val="single" w:sz="8" w:color="001544"/>
              <w:bottom w:val="single" w:sz="8" w:color="DBDFEA"/>
            </w:tcBorders>
            <w:shd w:val="clear" w:color="auto" w:fill="DBDFEA"/>
          </w:tcPr>
          <w:p>
            <w:pPr>
              <w:ind w:left="60"/>
              <w:spacing w:after="0"/>
              <w:rPr>
                <w:sz w:val="20"/>
                <w:szCs w:val="20"/>
                <w:color w:val="auto"/>
              </w:rPr>
            </w:pPr>
            <w:r>
              <w:rPr>
                <w:rFonts w:ascii="Arial" w:cs="Arial" w:eastAsia="Arial" w:hAnsi="Arial"/>
                <w:sz w:val="13"/>
                <w:szCs w:val="13"/>
                <w:color w:val="auto"/>
              </w:rPr>
              <w:t>Human Capital</w:t>
            </w:r>
          </w:p>
        </w:tc>
        <w:tc>
          <w:tcPr>
            <w:tcW w:w="640" w:type="dxa"/>
            <w:vAlign w:val="bottom"/>
            <w:tcBorders>
              <w:top w:val="single" w:sz="8" w:color="001544"/>
              <w:bottom w:val="single" w:sz="8" w:color="DBDFEA"/>
            </w:tcBorders>
            <w:shd w:val="clear" w:color="auto" w:fill="DBDFEA"/>
          </w:tcPr>
          <w:p>
            <w:pPr>
              <w:spacing w:after="0"/>
              <w:rPr>
                <w:sz w:val="20"/>
                <w:szCs w:val="20"/>
                <w:color w:val="auto"/>
              </w:rPr>
            </w:pPr>
          </w:p>
        </w:tc>
        <w:tc>
          <w:tcPr>
            <w:tcW w:w="610" w:type="dxa"/>
            <w:vAlign w:val="bottom"/>
            <w:tcBorders>
              <w:top w:val="single" w:sz="8" w:color="001544"/>
              <w:bottom w:val="single" w:sz="8" w:color="DBDFEA"/>
            </w:tcBorders>
            <w:shd w:val="clear" w:color="auto" w:fill="DBDFEA"/>
          </w:tcPr>
          <w:p>
            <w:pPr>
              <w:spacing w:after="0"/>
              <w:rPr>
                <w:sz w:val="20"/>
                <w:szCs w:val="20"/>
                <w:color w:val="auto"/>
              </w:rPr>
            </w:pPr>
          </w:p>
        </w:tc>
        <w:tc>
          <w:tcPr>
            <w:tcW w:w="1140" w:type="dxa"/>
            <w:vAlign w:val="bottom"/>
            <w:tcBorders>
              <w:top w:val="single" w:sz="8" w:color="001544"/>
              <w:bottom w:val="single" w:sz="8" w:color="DBDFEA"/>
            </w:tcBorders>
            <w:shd w:val="clear" w:color="auto" w:fill="DBDFEA"/>
          </w:tcPr>
          <w:p>
            <w:pPr>
              <w:spacing w:after="0"/>
              <w:rPr>
                <w:sz w:val="20"/>
                <w:szCs w:val="20"/>
                <w:color w:val="auto"/>
              </w:rPr>
            </w:pPr>
          </w:p>
        </w:tc>
        <w:tc>
          <w:tcPr>
            <w:tcW w:w="620" w:type="dxa"/>
            <w:vAlign w:val="bottom"/>
            <w:tcBorders>
              <w:top w:val="single" w:sz="8" w:color="001544"/>
              <w:bottom w:val="single" w:sz="8" w:color="DBDFEA"/>
            </w:tcBorders>
            <w:shd w:val="clear" w:color="auto" w:fill="DBDFEA"/>
          </w:tcPr>
          <w:p>
            <w:pPr>
              <w:spacing w:after="0"/>
              <w:rPr>
                <w:sz w:val="20"/>
                <w:szCs w:val="20"/>
                <w:color w:val="auto"/>
              </w:rPr>
            </w:pPr>
          </w:p>
        </w:tc>
        <w:tc>
          <w:tcPr>
            <w:tcW w:w="740" w:type="dxa"/>
            <w:vAlign w:val="bottom"/>
            <w:tcBorders>
              <w:top w:val="single" w:sz="8" w:color="001544"/>
              <w:bottom w:val="single" w:sz="8" w:color="DBDFEA"/>
            </w:tcBorders>
            <w:shd w:val="clear" w:color="auto" w:fill="DBDFEA"/>
          </w:tcPr>
          <w:p>
            <w:pPr>
              <w:spacing w:after="0"/>
              <w:rPr>
                <w:sz w:val="20"/>
                <w:szCs w:val="20"/>
                <w:color w:val="auto"/>
              </w:rPr>
            </w:pPr>
          </w:p>
        </w:tc>
        <w:tc>
          <w:tcPr>
            <w:tcW w:w="820" w:type="dxa"/>
            <w:vAlign w:val="bottom"/>
            <w:tcBorders>
              <w:top w:val="single" w:sz="8" w:color="001544"/>
              <w:bottom w:val="single" w:sz="8" w:color="DBDFEA"/>
            </w:tcBorders>
            <w:shd w:val="clear" w:color="auto" w:fill="DBDFEA"/>
          </w:tcPr>
          <w:p>
            <w:pPr>
              <w:spacing w:after="0"/>
              <w:rPr>
                <w:sz w:val="20"/>
                <w:szCs w:val="20"/>
                <w:color w:val="auto"/>
              </w:rPr>
            </w:pPr>
          </w:p>
        </w:tc>
        <w:tc>
          <w:tcPr>
            <w:tcW w:w="600" w:type="dxa"/>
            <w:vAlign w:val="bottom"/>
            <w:tcBorders>
              <w:top w:val="single" w:sz="8" w:color="001544"/>
              <w:bottom w:val="single" w:sz="8" w:color="DBDFEA"/>
            </w:tcBorders>
            <w:shd w:val="clear" w:color="auto" w:fill="DBDFEA"/>
          </w:tcPr>
          <w:p>
            <w:pPr>
              <w:spacing w:after="0"/>
              <w:rPr>
                <w:sz w:val="20"/>
                <w:szCs w:val="20"/>
                <w:color w:val="auto"/>
              </w:rPr>
            </w:pPr>
          </w:p>
        </w:tc>
        <w:tc>
          <w:tcPr>
            <w:tcW w:w="840" w:type="dxa"/>
            <w:vAlign w:val="bottom"/>
            <w:tcBorders>
              <w:top w:val="single" w:sz="8" w:color="001544"/>
              <w:bottom w:val="single" w:sz="8" w:color="DBDFEA"/>
            </w:tcBorders>
            <w:shd w:val="clear" w:color="auto" w:fill="DBDFEA"/>
          </w:tcPr>
          <w:p>
            <w:pPr>
              <w:spacing w:after="0"/>
              <w:rPr>
                <w:sz w:val="20"/>
                <w:szCs w:val="20"/>
                <w:color w:val="auto"/>
              </w:rPr>
            </w:pPr>
          </w:p>
        </w:tc>
        <w:tc>
          <w:tcPr>
            <w:tcW w:w="620" w:type="dxa"/>
            <w:vAlign w:val="bottom"/>
            <w:tcBorders>
              <w:top w:val="single" w:sz="8" w:color="001544"/>
              <w:bottom w:val="single" w:sz="8" w:color="DBDFEA"/>
            </w:tcBorders>
            <w:shd w:val="clear" w:color="auto" w:fill="DBDFEA"/>
          </w:tcPr>
          <w:p>
            <w:pPr>
              <w:spacing w:after="0"/>
              <w:rPr>
                <w:sz w:val="20"/>
                <w:szCs w:val="20"/>
                <w:color w:val="auto"/>
              </w:rPr>
            </w:pPr>
          </w:p>
        </w:tc>
      </w:tr>
      <w:tr>
        <w:trPr>
          <w:trHeight w:val="211"/>
        </w:trPr>
        <w:tc>
          <w:tcPr>
            <w:tcW w:w="2830" w:type="dxa"/>
            <w:vAlign w:val="bottom"/>
            <w:tcBorders>
              <w:top w:val="single" w:sz="8" w:color="001544"/>
              <w:bottom w:val="single" w:sz="8" w:color="DBDFEA"/>
            </w:tcBorders>
            <w:shd w:val="clear" w:color="auto" w:fill="DBDFEA"/>
          </w:tcPr>
          <w:p>
            <w:pPr>
              <w:ind w:left="60"/>
              <w:spacing w:after="0"/>
              <w:rPr>
                <w:sz w:val="20"/>
                <w:szCs w:val="20"/>
                <w:color w:val="auto"/>
              </w:rPr>
            </w:pPr>
            <w:r>
              <w:rPr>
                <w:rFonts w:ascii="Arial" w:cs="Arial" w:eastAsia="Arial" w:hAnsi="Arial"/>
                <w:sz w:val="13"/>
                <w:szCs w:val="13"/>
                <w:color w:val="auto"/>
              </w:rPr>
              <w:t>Corporate Governance</w:t>
            </w:r>
          </w:p>
        </w:tc>
        <w:tc>
          <w:tcPr>
            <w:tcW w:w="640" w:type="dxa"/>
            <w:vAlign w:val="bottom"/>
            <w:tcBorders>
              <w:top w:val="single" w:sz="8" w:color="001544"/>
              <w:bottom w:val="single" w:sz="8" w:color="DBDFEA"/>
            </w:tcBorders>
            <w:shd w:val="clear" w:color="auto" w:fill="DBDFEA"/>
          </w:tcPr>
          <w:p>
            <w:pPr>
              <w:spacing w:after="0"/>
              <w:rPr>
                <w:sz w:val="18"/>
                <w:szCs w:val="18"/>
                <w:color w:val="auto"/>
              </w:rPr>
            </w:pPr>
          </w:p>
        </w:tc>
        <w:tc>
          <w:tcPr>
            <w:tcW w:w="610" w:type="dxa"/>
            <w:vAlign w:val="bottom"/>
            <w:tcBorders>
              <w:top w:val="single" w:sz="8" w:color="001544"/>
              <w:bottom w:val="single" w:sz="8" w:color="DBDFEA"/>
            </w:tcBorders>
            <w:shd w:val="clear" w:color="auto" w:fill="DBDFEA"/>
          </w:tcPr>
          <w:p>
            <w:pPr>
              <w:spacing w:after="0"/>
              <w:rPr>
                <w:sz w:val="18"/>
                <w:szCs w:val="18"/>
                <w:color w:val="auto"/>
              </w:rPr>
            </w:pPr>
          </w:p>
        </w:tc>
        <w:tc>
          <w:tcPr>
            <w:tcW w:w="1140" w:type="dxa"/>
            <w:vAlign w:val="bottom"/>
            <w:tcBorders>
              <w:top w:val="single" w:sz="8" w:color="001544"/>
              <w:bottom w:val="single" w:sz="8" w:color="DBDFEA"/>
            </w:tcBorders>
            <w:shd w:val="clear" w:color="auto" w:fill="DBDFEA"/>
          </w:tcPr>
          <w:p>
            <w:pPr>
              <w:spacing w:after="0"/>
              <w:rPr>
                <w:sz w:val="18"/>
                <w:szCs w:val="18"/>
                <w:color w:val="auto"/>
              </w:rPr>
            </w:pPr>
          </w:p>
        </w:tc>
        <w:tc>
          <w:tcPr>
            <w:tcW w:w="620" w:type="dxa"/>
            <w:vAlign w:val="bottom"/>
            <w:tcBorders>
              <w:top w:val="single" w:sz="8" w:color="001544"/>
              <w:bottom w:val="single" w:sz="8" w:color="DBDFEA"/>
            </w:tcBorders>
            <w:shd w:val="clear" w:color="auto" w:fill="DBDFEA"/>
          </w:tcPr>
          <w:p>
            <w:pPr>
              <w:spacing w:after="0"/>
              <w:rPr>
                <w:sz w:val="18"/>
                <w:szCs w:val="18"/>
                <w:color w:val="auto"/>
              </w:rPr>
            </w:pPr>
          </w:p>
        </w:tc>
        <w:tc>
          <w:tcPr>
            <w:tcW w:w="740" w:type="dxa"/>
            <w:vAlign w:val="bottom"/>
            <w:tcBorders>
              <w:top w:val="single" w:sz="8" w:color="001544"/>
              <w:bottom w:val="single" w:sz="8" w:color="DBDFEA"/>
            </w:tcBorders>
            <w:shd w:val="clear" w:color="auto" w:fill="DBDFEA"/>
          </w:tcPr>
          <w:p>
            <w:pPr>
              <w:spacing w:after="0"/>
              <w:rPr>
                <w:sz w:val="18"/>
                <w:szCs w:val="18"/>
                <w:color w:val="auto"/>
              </w:rPr>
            </w:pPr>
          </w:p>
        </w:tc>
        <w:tc>
          <w:tcPr>
            <w:tcW w:w="820" w:type="dxa"/>
            <w:vAlign w:val="bottom"/>
            <w:tcBorders>
              <w:top w:val="single" w:sz="8" w:color="001544"/>
              <w:bottom w:val="single" w:sz="8" w:color="DBDFEA"/>
            </w:tcBorders>
            <w:shd w:val="clear" w:color="auto" w:fill="DBDFEA"/>
          </w:tcPr>
          <w:p>
            <w:pPr>
              <w:spacing w:after="0"/>
              <w:rPr>
                <w:sz w:val="18"/>
                <w:szCs w:val="18"/>
                <w:color w:val="auto"/>
              </w:rPr>
            </w:pPr>
          </w:p>
        </w:tc>
        <w:tc>
          <w:tcPr>
            <w:tcW w:w="600" w:type="dxa"/>
            <w:vAlign w:val="bottom"/>
            <w:tcBorders>
              <w:top w:val="single" w:sz="8" w:color="001544"/>
              <w:bottom w:val="single" w:sz="8" w:color="DBDFEA"/>
            </w:tcBorders>
            <w:shd w:val="clear" w:color="auto" w:fill="DBDFEA"/>
          </w:tcPr>
          <w:p>
            <w:pPr>
              <w:spacing w:after="0"/>
              <w:rPr>
                <w:sz w:val="18"/>
                <w:szCs w:val="18"/>
                <w:color w:val="auto"/>
              </w:rPr>
            </w:pPr>
          </w:p>
        </w:tc>
        <w:tc>
          <w:tcPr>
            <w:tcW w:w="840" w:type="dxa"/>
            <w:vAlign w:val="bottom"/>
            <w:tcBorders>
              <w:top w:val="single" w:sz="8" w:color="001544"/>
              <w:bottom w:val="single" w:sz="8" w:color="DBDFEA"/>
            </w:tcBorders>
            <w:shd w:val="clear" w:color="auto" w:fill="DBDFEA"/>
          </w:tcPr>
          <w:p>
            <w:pPr>
              <w:spacing w:after="0"/>
              <w:rPr>
                <w:sz w:val="18"/>
                <w:szCs w:val="18"/>
                <w:color w:val="auto"/>
              </w:rPr>
            </w:pPr>
          </w:p>
        </w:tc>
        <w:tc>
          <w:tcPr>
            <w:tcW w:w="620" w:type="dxa"/>
            <w:vAlign w:val="bottom"/>
            <w:tcBorders>
              <w:top w:val="single" w:sz="8" w:color="001544"/>
              <w:bottom w:val="single" w:sz="8" w:color="DBDFEA"/>
            </w:tcBorders>
            <w:shd w:val="clear" w:color="auto" w:fill="DBDFEA"/>
          </w:tcPr>
          <w:p>
            <w:pPr>
              <w:spacing w:after="0"/>
              <w:rPr>
                <w:sz w:val="18"/>
                <w:szCs w:val="18"/>
                <w:color w:val="auto"/>
              </w:rPr>
            </w:pPr>
          </w:p>
        </w:tc>
      </w:tr>
      <w:tr>
        <w:trPr>
          <w:trHeight w:val="20"/>
        </w:trPr>
        <w:tc>
          <w:tcPr>
            <w:tcW w:w="2830" w:type="dxa"/>
            <w:vAlign w:val="bottom"/>
            <w:shd w:val="clear" w:color="auto" w:fill="001544"/>
          </w:tcPr>
          <w:p>
            <w:pPr>
              <w:spacing w:after="0" w:line="20" w:lineRule="exact"/>
              <w:rPr>
                <w:sz w:val="1"/>
                <w:szCs w:val="1"/>
                <w:color w:val="auto"/>
              </w:rPr>
            </w:pPr>
          </w:p>
        </w:tc>
        <w:tc>
          <w:tcPr>
            <w:tcW w:w="640" w:type="dxa"/>
            <w:vAlign w:val="bottom"/>
            <w:shd w:val="clear" w:color="auto" w:fill="001544"/>
          </w:tcPr>
          <w:p>
            <w:pPr>
              <w:spacing w:after="0" w:line="20" w:lineRule="exact"/>
              <w:rPr>
                <w:sz w:val="1"/>
                <w:szCs w:val="1"/>
                <w:color w:val="auto"/>
              </w:rPr>
            </w:pPr>
          </w:p>
        </w:tc>
        <w:tc>
          <w:tcPr>
            <w:tcW w:w="610" w:type="dxa"/>
            <w:vAlign w:val="bottom"/>
            <w:shd w:val="clear" w:color="auto" w:fill="001544"/>
          </w:tcPr>
          <w:p>
            <w:pPr>
              <w:spacing w:after="0" w:line="20" w:lineRule="exact"/>
              <w:rPr>
                <w:sz w:val="1"/>
                <w:szCs w:val="1"/>
                <w:color w:val="auto"/>
              </w:rPr>
            </w:pPr>
          </w:p>
        </w:tc>
        <w:tc>
          <w:tcPr>
            <w:tcW w:w="1140" w:type="dxa"/>
            <w:vAlign w:val="bottom"/>
            <w:shd w:val="clear" w:color="auto" w:fill="001544"/>
          </w:tcPr>
          <w:p>
            <w:pPr>
              <w:spacing w:after="0" w:line="20" w:lineRule="exact"/>
              <w:rPr>
                <w:sz w:val="1"/>
                <w:szCs w:val="1"/>
                <w:color w:val="auto"/>
              </w:rPr>
            </w:pPr>
          </w:p>
        </w:tc>
        <w:tc>
          <w:tcPr>
            <w:tcW w:w="620" w:type="dxa"/>
            <w:vAlign w:val="bottom"/>
            <w:shd w:val="clear" w:color="auto" w:fill="001544"/>
          </w:tcPr>
          <w:p>
            <w:pPr>
              <w:spacing w:after="0" w:line="20" w:lineRule="exact"/>
              <w:rPr>
                <w:sz w:val="1"/>
                <w:szCs w:val="1"/>
                <w:color w:val="auto"/>
              </w:rPr>
            </w:pPr>
          </w:p>
        </w:tc>
        <w:tc>
          <w:tcPr>
            <w:tcW w:w="740" w:type="dxa"/>
            <w:vAlign w:val="bottom"/>
            <w:shd w:val="clear" w:color="auto" w:fill="001544"/>
          </w:tcPr>
          <w:p>
            <w:pPr>
              <w:spacing w:after="0" w:line="20" w:lineRule="exact"/>
              <w:rPr>
                <w:sz w:val="1"/>
                <w:szCs w:val="1"/>
                <w:color w:val="auto"/>
              </w:rPr>
            </w:pPr>
          </w:p>
        </w:tc>
        <w:tc>
          <w:tcPr>
            <w:tcW w:w="820" w:type="dxa"/>
            <w:vAlign w:val="bottom"/>
            <w:shd w:val="clear" w:color="auto" w:fill="001544"/>
          </w:tcPr>
          <w:p>
            <w:pPr>
              <w:spacing w:after="0" w:line="20" w:lineRule="exact"/>
              <w:rPr>
                <w:sz w:val="1"/>
                <w:szCs w:val="1"/>
                <w:color w:val="auto"/>
              </w:rPr>
            </w:pPr>
          </w:p>
        </w:tc>
        <w:tc>
          <w:tcPr>
            <w:tcW w:w="600" w:type="dxa"/>
            <w:vAlign w:val="bottom"/>
            <w:shd w:val="clear" w:color="auto" w:fill="001544"/>
          </w:tcPr>
          <w:p>
            <w:pPr>
              <w:spacing w:after="0" w:line="20" w:lineRule="exact"/>
              <w:rPr>
                <w:sz w:val="1"/>
                <w:szCs w:val="1"/>
                <w:color w:val="auto"/>
              </w:rPr>
            </w:pPr>
          </w:p>
        </w:tc>
        <w:tc>
          <w:tcPr>
            <w:tcW w:w="840" w:type="dxa"/>
            <w:vAlign w:val="bottom"/>
            <w:shd w:val="clear" w:color="auto" w:fill="001544"/>
          </w:tcPr>
          <w:p>
            <w:pPr>
              <w:spacing w:after="0" w:line="20" w:lineRule="exact"/>
              <w:rPr>
                <w:sz w:val="1"/>
                <w:szCs w:val="1"/>
                <w:color w:val="auto"/>
              </w:rPr>
            </w:pPr>
          </w:p>
        </w:tc>
        <w:tc>
          <w:tcPr>
            <w:tcW w:w="620" w:type="dxa"/>
            <w:vAlign w:val="bottom"/>
            <w:shd w:val="clear" w:color="auto" w:fill="001544"/>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-7620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-167005</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-326390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-486410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-645795</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-805180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-965200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-1124585</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-1283970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-1443990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Our Director Nominees</w:t>
      </w:r>
    </w:p>
    <w:p>
      <w:pPr>
        <w:spacing w:after="0" w:line="21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information below includes each director nominee’s name, age, principal occupation, business history and certain other information, including the specific experience, qualifications, attributes and skills that led our Board to conclude that each such person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112395</wp:posOffset>
            </wp:positionV>
            <wp:extent cx="6009005" cy="303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09005" cy="3035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p>
      <w:pPr>
        <w:spacing w:after="0" w:line="255"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FFFFFF"/>
        </w:rPr>
        <w:t>JAMES KEITH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85725</wp:posOffset>
            </wp:positionV>
            <wp:extent cx="1380490" cy="39338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80490" cy="39338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sz w:val="1"/>
          <w:szCs w:val="1"/>
          <w:color w:val="auto"/>
        </w:rPr>
        <w:drawing>
          <wp:inline distT="0" distB="0" distL="0" distR="0">
            <wp:extent cx="231140" cy="1752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1140" cy="175260"/>
                    </a:xfrm>
                    <a:prstGeom prst="rect">
                      <a:avLst/>
                    </a:prstGeom>
                    <a:noFill/>
                    <a:ln>
                      <a:noFill/>
                    </a:ln>
                  </pic:spPr>
                </pic:pic>
              </a:graphicData>
            </a:graphic>
          </wp:inline>
        </w:drawing>
      </w:r>
      <w:r>
        <w:rPr>
          <w:rFonts w:ascii="Arial" w:cs="Arial" w:eastAsia="Arial" w:hAnsi="Arial"/>
          <w:sz w:val="16"/>
          <w:szCs w:val="16"/>
          <w:color w:val="FFFFFF"/>
        </w:rPr>
        <w:t>Independent Director since 2023</w:t>
      </w:r>
    </w:p>
    <w:p>
      <w:pPr>
        <w:spacing w:after="0" w:line="135" w:lineRule="exact"/>
        <w:rPr>
          <w:sz w:val="20"/>
          <w:szCs w:val="20"/>
          <w:color w:val="auto"/>
        </w:rPr>
      </w:pPr>
    </w:p>
    <w:p>
      <w:pPr>
        <w:sectPr>
          <w:pgSz w:w="11900" w:h="16838" w:orient="portrait"/>
          <w:cols w:equalWidth="0" w:num="2">
            <w:col w:w="5860" w:space="720"/>
            <w:col w:w="2900"/>
          </w:cols>
          <w:pgMar w:left="1200" w:top="48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40"/>
        <w:spacing w:after="0" w:line="256" w:lineRule="auto"/>
        <w:rPr>
          <w:sz w:val="20"/>
          <w:szCs w:val="20"/>
          <w:color w:val="auto"/>
        </w:rPr>
      </w:pPr>
      <w:r>
        <w:rPr>
          <w:rFonts w:ascii="Arial" w:cs="Arial" w:eastAsia="Arial" w:hAnsi="Arial"/>
          <w:sz w:val="15"/>
          <w:szCs w:val="15"/>
          <w:b w:val="1"/>
          <w:bCs w:val="1"/>
          <w:color w:val="auto"/>
        </w:rPr>
        <w:t>Former Senior Managing Director— Coatue Management Company; Senior Advisor — Thrive Capital</w:t>
      </w:r>
    </w:p>
    <w:p>
      <w:pPr>
        <w:spacing w:after="0" w:line="236"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 xml:space="preserve">AGE </w:t>
      </w:r>
      <w:r>
        <w:rPr>
          <w:rFonts w:ascii="Arial" w:cs="Arial" w:eastAsia="Arial" w:hAnsi="Arial"/>
          <w:sz w:val="15"/>
          <w:szCs w:val="15"/>
          <w:color w:val="000000"/>
        </w:rPr>
        <w:t>62</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COMMITTEE</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MEMBERSHIPS</w:t>
      </w:r>
    </w:p>
    <w:p>
      <w:pPr>
        <w:spacing w:after="0" w:line="90" w:lineRule="exact"/>
        <w:rPr>
          <w:sz w:val="20"/>
          <w:szCs w:val="20"/>
          <w:color w:val="auto"/>
        </w:rPr>
      </w:pPr>
    </w:p>
    <w:p>
      <w:pPr>
        <w:ind w:left="420" w:hanging="287"/>
        <w:spacing w:after="0"/>
        <w:tabs>
          <w:tab w:leader="none" w:pos="420" w:val="left"/>
        </w:tabs>
        <w:numPr>
          <w:ilvl w:val="0"/>
          <w:numId w:val="34"/>
        </w:numPr>
        <w:rPr>
          <w:rFonts w:ascii="Times New Roman" w:cs="Times New Roman" w:eastAsia="Times New Roman" w:hAnsi="Times New Roman"/>
          <w:sz w:val="15"/>
          <w:szCs w:val="15"/>
          <w:color w:val="001544"/>
        </w:rPr>
      </w:pPr>
      <w:r>
        <w:rPr>
          <w:rFonts w:ascii="Arial" w:cs="Arial" w:eastAsia="Arial" w:hAnsi="Arial"/>
          <w:sz w:val="15"/>
          <w:szCs w:val="15"/>
          <w:color w:val="auto"/>
        </w:rPr>
        <w:t>Audit Committee</w:t>
      </w:r>
    </w:p>
    <w:p>
      <w:pPr>
        <w:spacing w:after="0" w:line="103" w:lineRule="exact"/>
        <w:rPr>
          <w:rFonts w:ascii="Times New Roman" w:cs="Times New Roman" w:eastAsia="Times New Roman" w:hAnsi="Times New Roman"/>
          <w:sz w:val="15"/>
          <w:szCs w:val="15"/>
          <w:color w:val="001544"/>
        </w:rPr>
      </w:pPr>
    </w:p>
    <w:p>
      <w:pPr>
        <w:ind w:left="440" w:right="300" w:hanging="307"/>
        <w:spacing w:after="0" w:line="299" w:lineRule="auto"/>
        <w:tabs>
          <w:tab w:leader="none" w:pos="397" w:val="left"/>
        </w:tabs>
        <w:numPr>
          <w:ilvl w:val="0"/>
          <w:numId w:val="34"/>
        </w:numPr>
        <w:rPr>
          <w:rFonts w:ascii="Times New Roman" w:cs="Times New Roman" w:eastAsia="Times New Roman" w:hAnsi="Times New Roman"/>
          <w:sz w:val="14"/>
          <w:szCs w:val="14"/>
          <w:color w:val="001544"/>
        </w:rPr>
      </w:pPr>
      <w:r>
        <w:rPr>
          <w:rFonts w:ascii="Arial" w:cs="Arial" w:eastAsia="Arial" w:hAnsi="Arial"/>
          <w:sz w:val="14"/>
          <w:szCs w:val="14"/>
          <w:color w:val="auto"/>
        </w:rPr>
        <w:t>Human Capital and Compensation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1544"/>
        </w:rPr>
        <w:t>EXPERIENCE</w:t>
      </w:r>
    </w:p>
    <w:p>
      <w:pPr>
        <w:spacing w:after="0" w:line="79" w:lineRule="exact"/>
        <w:rPr>
          <w:sz w:val="20"/>
          <w:szCs w:val="20"/>
          <w:color w:val="auto"/>
        </w:rPr>
      </w:pPr>
    </w:p>
    <w:p>
      <w:pPr>
        <w:ind w:left="300" w:right="240" w:hanging="293"/>
        <w:spacing w:after="0" w:line="296" w:lineRule="auto"/>
        <w:tabs>
          <w:tab w:leader="none" w:pos="280" w:val="left"/>
        </w:tabs>
        <w:numPr>
          <w:ilvl w:val="0"/>
          <w:numId w:val="35"/>
        </w:numPr>
        <w:rPr>
          <w:rFonts w:ascii="Times New Roman" w:cs="Times New Roman" w:eastAsia="Times New Roman" w:hAnsi="Times New Roman"/>
          <w:sz w:val="15"/>
          <w:szCs w:val="15"/>
          <w:color w:val="001544"/>
        </w:rPr>
      </w:pPr>
      <w:r>
        <w:rPr>
          <w:rFonts w:ascii="Arial" w:cs="Arial" w:eastAsia="Arial" w:hAnsi="Arial"/>
          <w:sz w:val="15"/>
          <w:szCs w:val="15"/>
          <w:color w:val="auto"/>
        </w:rPr>
        <w:t>Senior Advisor of Thrive Capital since April 2024</w:t>
      </w:r>
    </w:p>
    <w:p>
      <w:pPr>
        <w:ind w:left="300" w:right="240" w:hanging="293"/>
        <w:spacing w:after="0" w:line="296" w:lineRule="auto"/>
        <w:tabs>
          <w:tab w:leader="none" w:pos="280" w:val="left"/>
        </w:tabs>
        <w:numPr>
          <w:ilvl w:val="0"/>
          <w:numId w:val="35"/>
        </w:numPr>
        <w:rPr>
          <w:rFonts w:ascii="Times New Roman" w:cs="Times New Roman" w:eastAsia="Times New Roman" w:hAnsi="Times New Roman"/>
          <w:sz w:val="15"/>
          <w:szCs w:val="15"/>
          <w:color w:val="001544"/>
        </w:rPr>
      </w:pPr>
      <w:r>
        <w:rPr>
          <w:rFonts w:ascii="Arial" w:cs="Arial" w:eastAsia="Arial" w:hAnsi="Arial"/>
          <w:sz w:val="15"/>
          <w:szCs w:val="15"/>
          <w:color w:val="auto"/>
        </w:rPr>
        <w:t>Senior Managing Director of Coatue Management Company from 2018 to 2023</w:t>
      </w:r>
    </w:p>
    <w:p>
      <w:pPr>
        <w:ind w:left="300" w:right="300" w:hanging="293"/>
        <w:spacing w:after="0" w:line="257" w:lineRule="auto"/>
        <w:tabs>
          <w:tab w:leader="none" w:pos="280" w:val="left"/>
        </w:tabs>
        <w:numPr>
          <w:ilvl w:val="0"/>
          <w:numId w:val="35"/>
        </w:numPr>
        <w:rPr>
          <w:rFonts w:ascii="Times New Roman" w:cs="Times New Roman" w:eastAsia="Times New Roman" w:hAnsi="Times New Roman"/>
          <w:sz w:val="15"/>
          <w:szCs w:val="15"/>
          <w:color w:val="001544"/>
        </w:rPr>
      </w:pPr>
      <w:r>
        <w:rPr>
          <w:rFonts w:ascii="Arial" w:cs="Arial" w:eastAsia="Arial" w:hAnsi="Arial"/>
          <w:sz w:val="15"/>
          <w:szCs w:val="15"/>
          <w:color w:val="auto"/>
        </w:rPr>
        <w:t>Senior Managing Director &amp; Head, Global Investor Relations of Och Ziff Capital Management (now Sculptor Capital Management) (NYSE: SCU) from 2003 to 2017</w:t>
      </w:r>
    </w:p>
    <w:p>
      <w:pPr>
        <w:spacing w:after="0" w:line="43" w:lineRule="exact"/>
        <w:rPr>
          <w:rFonts w:ascii="Times New Roman" w:cs="Times New Roman" w:eastAsia="Times New Roman" w:hAnsi="Times New Roman"/>
          <w:sz w:val="15"/>
          <w:szCs w:val="15"/>
          <w:color w:val="001544"/>
        </w:rPr>
      </w:pPr>
    </w:p>
    <w:p>
      <w:pPr>
        <w:ind w:left="300" w:right="140" w:hanging="293"/>
        <w:spacing w:after="0" w:line="271" w:lineRule="auto"/>
        <w:tabs>
          <w:tab w:leader="none" w:pos="280" w:val="left"/>
        </w:tabs>
        <w:numPr>
          <w:ilvl w:val="0"/>
          <w:numId w:val="35"/>
        </w:numPr>
        <w:rPr>
          <w:rFonts w:ascii="Times New Roman" w:cs="Times New Roman" w:eastAsia="Times New Roman" w:hAnsi="Times New Roman"/>
          <w:sz w:val="15"/>
          <w:szCs w:val="15"/>
          <w:color w:val="001544"/>
        </w:rPr>
      </w:pPr>
      <w:r>
        <w:rPr>
          <w:rFonts w:ascii="Arial" w:cs="Arial" w:eastAsia="Arial" w:hAnsi="Arial"/>
          <w:sz w:val="15"/>
          <w:szCs w:val="15"/>
          <w:color w:val="auto"/>
        </w:rPr>
        <w:t>Managing Director &amp; Head, U.S. Institutional Sales &amp; Relationship Management of Goldman, Sachs &amp; Co. from 1999 to 2003</w:t>
      </w:r>
    </w:p>
    <w:p>
      <w:pPr>
        <w:spacing w:after="0" w:line="18" w:lineRule="exact"/>
        <w:rPr>
          <w:rFonts w:ascii="Times New Roman" w:cs="Times New Roman" w:eastAsia="Times New Roman" w:hAnsi="Times New Roman"/>
          <w:sz w:val="15"/>
          <w:szCs w:val="15"/>
          <w:color w:val="001544"/>
        </w:rPr>
      </w:pPr>
    </w:p>
    <w:p>
      <w:pPr>
        <w:ind w:left="300" w:hanging="293"/>
        <w:spacing w:after="0" w:line="255" w:lineRule="auto"/>
        <w:tabs>
          <w:tab w:leader="none" w:pos="280" w:val="left"/>
        </w:tabs>
        <w:numPr>
          <w:ilvl w:val="0"/>
          <w:numId w:val="35"/>
        </w:numPr>
        <w:rPr>
          <w:rFonts w:ascii="Times New Roman" w:cs="Times New Roman" w:eastAsia="Times New Roman" w:hAnsi="Times New Roman"/>
          <w:sz w:val="15"/>
          <w:szCs w:val="15"/>
          <w:color w:val="001544"/>
        </w:rPr>
      </w:pPr>
      <w:r>
        <w:rPr>
          <w:rFonts w:ascii="Arial" w:cs="Arial" w:eastAsia="Arial" w:hAnsi="Arial"/>
          <w:sz w:val="15"/>
          <w:szCs w:val="15"/>
          <w:color w:val="auto"/>
        </w:rPr>
        <w:t>Managing Director, Global Asset &amp; Investment Management, Consulting and Endowments &amp; Foundations Division; VP, Global Asset Management, Endowments &amp; Foundations Division at Bankers Trust Company from 1992 to 1999</w:t>
      </w:r>
    </w:p>
    <w:p>
      <w:pPr>
        <w:spacing w:after="0" w:line="30" w:lineRule="exact"/>
        <w:rPr>
          <w:rFonts w:ascii="Times New Roman" w:cs="Times New Roman" w:eastAsia="Times New Roman" w:hAnsi="Times New Roman"/>
          <w:sz w:val="15"/>
          <w:szCs w:val="15"/>
          <w:color w:val="001544"/>
        </w:rPr>
      </w:pPr>
    </w:p>
    <w:p>
      <w:pPr>
        <w:ind w:left="300" w:right="80" w:hanging="293"/>
        <w:spacing w:after="0" w:line="271" w:lineRule="auto"/>
        <w:tabs>
          <w:tab w:leader="none" w:pos="280" w:val="left"/>
        </w:tabs>
        <w:numPr>
          <w:ilvl w:val="0"/>
          <w:numId w:val="35"/>
        </w:numPr>
        <w:rPr>
          <w:rFonts w:ascii="Times New Roman" w:cs="Times New Roman" w:eastAsia="Times New Roman" w:hAnsi="Times New Roman"/>
          <w:sz w:val="15"/>
          <w:szCs w:val="15"/>
          <w:color w:val="001544"/>
        </w:rPr>
      </w:pPr>
      <w:r>
        <w:rPr>
          <w:rFonts w:ascii="Arial" w:cs="Arial" w:eastAsia="Arial" w:hAnsi="Arial"/>
          <w:sz w:val="15"/>
          <w:szCs w:val="15"/>
          <w:color w:val="auto"/>
        </w:rPr>
        <w:t>Regional Director, Foundation &amp; Corporate Relations at Dartmouth College from 1991 to 1992</w:t>
      </w:r>
    </w:p>
    <w:p>
      <w:pPr>
        <w:spacing w:after="0" w:line="30" w:lineRule="exact"/>
        <w:rPr>
          <w:rFonts w:ascii="Times New Roman" w:cs="Times New Roman" w:eastAsia="Times New Roman" w:hAnsi="Times New Roman"/>
          <w:sz w:val="15"/>
          <w:szCs w:val="15"/>
          <w:color w:val="001544"/>
        </w:rPr>
      </w:pPr>
    </w:p>
    <w:p>
      <w:pPr>
        <w:ind w:left="300" w:hanging="293"/>
        <w:spacing w:after="0"/>
        <w:tabs>
          <w:tab w:leader="none" w:pos="300" w:val="left"/>
        </w:tabs>
        <w:numPr>
          <w:ilvl w:val="0"/>
          <w:numId w:val="35"/>
        </w:numPr>
        <w:rPr>
          <w:rFonts w:ascii="Times New Roman" w:cs="Times New Roman" w:eastAsia="Times New Roman" w:hAnsi="Times New Roman"/>
          <w:sz w:val="15"/>
          <w:szCs w:val="15"/>
          <w:color w:val="001544"/>
        </w:rPr>
      </w:pPr>
      <w:r>
        <w:rPr>
          <w:rFonts w:ascii="Arial" w:cs="Arial" w:eastAsia="Arial" w:hAnsi="Arial"/>
          <w:sz w:val="15"/>
          <w:szCs w:val="15"/>
          <w:color w:val="auto"/>
        </w:rPr>
        <w:t>J.P. Morgan &amp; Co. from 1985 to 1990</w:t>
      </w:r>
    </w:p>
    <w:p>
      <w:pPr>
        <w:spacing w:after="0" w:line="78" w:lineRule="exact"/>
        <w:rPr>
          <w:rFonts w:ascii="Times New Roman" w:cs="Times New Roman" w:eastAsia="Times New Roman" w:hAnsi="Times New Roman"/>
          <w:sz w:val="15"/>
          <w:szCs w:val="15"/>
          <w:color w:val="001544"/>
        </w:rPr>
      </w:pPr>
    </w:p>
    <w:p>
      <w:pPr>
        <w:spacing w:after="0"/>
        <w:rPr>
          <w:rFonts w:ascii="Times New Roman" w:cs="Times New Roman" w:eastAsia="Times New Roman" w:hAnsi="Times New Roman"/>
          <w:sz w:val="15"/>
          <w:szCs w:val="15"/>
          <w:color w:val="001544"/>
        </w:rPr>
      </w:pPr>
      <w:r>
        <w:rPr>
          <w:rFonts w:ascii="Arial" w:cs="Arial" w:eastAsia="Arial" w:hAnsi="Arial"/>
          <w:sz w:val="15"/>
          <w:szCs w:val="15"/>
          <w:b w:val="1"/>
          <w:bCs w:val="1"/>
          <w:color w:val="001544"/>
        </w:rPr>
        <w:t>QUALIFICATIONS, ATTRIBUTES AND SKILLS</w:t>
      </w:r>
    </w:p>
    <w:p>
      <w:pPr>
        <w:spacing w:after="0" w:line="66" w:lineRule="exact"/>
        <w:rPr>
          <w:rFonts w:ascii="Times New Roman" w:cs="Times New Roman" w:eastAsia="Times New Roman" w:hAnsi="Times New Roman"/>
          <w:sz w:val="15"/>
          <w:szCs w:val="15"/>
          <w:color w:val="001544"/>
        </w:rPr>
      </w:pPr>
    </w:p>
    <w:p>
      <w:pPr>
        <w:ind w:left="300" w:right="100" w:hanging="293"/>
        <w:spacing w:after="0" w:line="271" w:lineRule="auto"/>
        <w:tabs>
          <w:tab w:leader="none" w:pos="299" w:val="left"/>
        </w:tabs>
        <w:numPr>
          <w:ilvl w:val="0"/>
          <w:numId w:val="35"/>
        </w:numPr>
        <w:rPr>
          <w:rFonts w:ascii="Times New Roman" w:cs="Times New Roman" w:eastAsia="Times New Roman" w:hAnsi="Times New Roman"/>
          <w:sz w:val="15"/>
          <w:szCs w:val="15"/>
          <w:color w:val="001544"/>
        </w:rPr>
      </w:pPr>
      <w:r>
        <w:rPr>
          <w:rFonts w:ascii="Arial" w:cs="Arial" w:eastAsia="Arial" w:hAnsi="Arial"/>
          <w:sz w:val="15"/>
          <w:szCs w:val="15"/>
          <w:color w:val="auto"/>
        </w:rPr>
        <w:t>Over 25 years of investment management experience, including senior leadership roles in capital raising</w:t>
      </w:r>
    </w:p>
    <w:p>
      <w:pPr>
        <w:spacing w:after="0" w:line="30" w:lineRule="exact"/>
        <w:rPr>
          <w:rFonts w:ascii="Times New Roman" w:cs="Times New Roman" w:eastAsia="Times New Roman" w:hAnsi="Times New Roman"/>
          <w:sz w:val="15"/>
          <w:szCs w:val="15"/>
          <w:color w:val="001544"/>
        </w:rPr>
      </w:pPr>
    </w:p>
    <w:p>
      <w:pPr>
        <w:ind w:left="300" w:right="180" w:hanging="293"/>
        <w:spacing w:after="0" w:line="271" w:lineRule="auto"/>
        <w:tabs>
          <w:tab w:leader="none" w:pos="299" w:val="left"/>
        </w:tabs>
        <w:numPr>
          <w:ilvl w:val="0"/>
          <w:numId w:val="35"/>
        </w:numPr>
        <w:rPr>
          <w:rFonts w:ascii="Times New Roman" w:cs="Times New Roman" w:eastAsia="Times New Roman" w:hAnsi="Times New Roman"/>
          <w:sz w:val="15"/>
          <w:szCs w:val="15"/>
          <w:color w:val="001544"/>
        </w:rPr>
      </w:pPr>
      <w:r>
        <w:rPr>
          <w:rFonts w:ascii="Arial" w:cs="Arial" w:eastAsia="Arial" w:hAnsi="Arial"/>
          <w:sz w:val="15"/>
          <w:szCs w:val="15"/>
          <w:color w:val="auto"/>
        </w:rPr>
        <w:t>Well-versed in engaging with private fund investors around the world and brings deep experience in product design and strategy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1544"/>
        </w:rPr>
        <w:t>OTHER POSITIONS/RECOGNITIONS</w:t>
      </w:r>
    </w:p>
    <w:p>
      <w:pPr>
        <w:spacing w:after="0" w:line="79" w:lineRule="exact"/>
        <w:rPr>
          <w:sz w:val="20"/>
          <w:szCs w:val="20"/>
          <w:color w:val="auto"/>
        </w:rPr>
      </w:pPr>
    </w:p>
    <w:p>
      <w:pPr>
        <w:ind w:left="300" w:hanging="292"/>
        <w:spacing w:after="0"/>
        <w:tabs>
          <w:tab w:leader="none" w:pos="300" w:val="left"/>
        </w:tabs>
        <w:numPr>
          <w:ilvl w:val="0"/>
          <w:numId w:val="36"/>
        </w:numPr>
        <w:rPr>
          <w:rFonts w:ascii="Times New Roman" w:cs="Times New Roman" w:eastAsia="Times New Roman" w:hAnsi="Times New Roman"/>
          <w:sz w:val="15"/>
          <w:szCs w:val="15"/>
          <w:color w:val="001544"/>
        </w:rPr>
      </w:pPr>
      <w:r>
        <w:rPr>
          <w:rFonts w:ascii="Arial" w:cs="Arial" w:eastAsia="Arial" w:hAnsi="Arial"/>
          <w:sz w:val="15"/>
          <w:szCs w:val="15"/>
          <w:color w:val="auto"/>
        </w:rPr>
        <w:t>Board member of Aperture Investors, LLC</w:t>
      </w:r>
    </w:p>
    <w:p>
      <w:pPr>
        <w:spacing w:after="0" w:line="78" w:lineRule="exact"/>
        <w:rPr>
          <w:rFonts w:ascii="Times New Roman" w:cs="Times New Roman" w:eastAsia="Times New Roman" w:hAnsi="Times New Roman"/>
          <w:sz w:val="15"/>
          <w:szCs w:val="15"/>
          <w:color w:val="001544"/>
        </w:rPr>
      </w:pPr>
    </w:p>
    <w:p>
      <w:pPr>
        <w:jc w:val="both"/>
        <w:ind w:left="300" w:right="740" w:hanging="292"/>
        <w:spacing w:after="0" w:line="271" w:lineRule="auto"/>
        <w:tabs>
          <w:tab w:leader="none" w:pos="299" w:val="left"/>
        </w:tabs>
        <w:numPr>
          <w:ilvl w:val="0"/>
          <w:numId w:val="36"/>
        </w:numPr>
        <w:rPr>
          <w:rFonts w:ascii="Times New Roman" w:cs="Times New Roman" w:eastAsia="Times New Roman" w:hAnsi="Times New Roman"/>
          <w:sz w:val="15"/>
          <w:szCs w:val="15"/>
          <w:color w:val="001544"/>
        </w:rPr>
      </w:pPr>
      <w:r>
        <w:rPr>
          <w:rFonts w:ascii="Arial" w:cs="Arial" w:eastAsia="Arial" w:hAnsi="Arial"/>
          <w:sz w:val="15"/>
          <w:szCs w:val="15"/>
          <w:color w:val="auto"/>
        </w:rPr>
        <w:t>Board member and Head of Investment Committee of the Robert Rauschenberg Foundation</w:t>
      </w:r>
    </w:p>
    <w:p>
      <w:pPr>
        <w:spacing w:after="0" w:line="18" w:lineRule="exact"/>
        <w:rPr>
          <w:rFonts w:ascii="Times New Roman" w:cs="Times New Roman" w:eastAsia="Times New Roman" w:hAnsi="Times New Roman"/>
          <w:sz w:val="15"/>
          <w:szCs w:val="15"/>
          <w:color w:val="001544"/>
        </w:rPr>
      </w:pPr>
    </w:p>
    <w:p>
      <w:pPr>
        <w:ind w:left="300" w:hanging="292"/>
        <w:spacing w:after="0"/>
        <w:tabs>
          <w:tab w:leader="none" w:pos="300" w:val="left"/>
        </w:tabs>
        <w:numPr>
          <w:ilvl w:val="0"/>
          <w:numId w:val="36"/>
        </w:numPr>
        <w:rPr>
          <w:rFonts w:ascii="Times New Roman" w:cs="Times New Roman" w:eastAsia="Times New Roman" w:hAnsi="Times New Roman"/>
          <w:sz w:val="15"/>
          <w:szCs w:val="15"/>
          <w:color w:val="001544"/>
        </w:rPr>
      </w:pPr>
      <w:r>
        <w:rPr>
          <w:rFonts w:ascii="Arial" w:cs="Arial" w:eastAsia="Arial" w:hAnsi="Arial"/>
          <w:sz w:val="15"/>
          <w:szCs w:val="15"/>
          <w:color w:val="auto"/>
        </w:rPr>
        <w:t>Senior Advisor of TerraCotta Capital</w:t>
      </w:r>
    </w:p>
    <w:p>
      <w:pPr>
        <w:spacing w:after="0" w:line="90" w:lineRule="exact"/>
        <w:rPr>
          <w:rFonts w:ascii="Times New Roman" w:cs="Times New Roman" w:eastAsia="Times New Roman" w:hAnsi="Times New Roman"/>
          <w:sz w:val="15"/>
          <w:szCs w:val="15"/>
          <w:color w:val="001544"/>
        </w:rPr>
      </w:pPr>
    </w:p>
    <w:p>
      <w:pPr>
        <w:jc w:val="both"/>
        <w:ind w:left="300" w:right="380" w:hanging="292"/>
        <w:spacing w:after="0" w:line="271" w:lineRule="auto"/>
        <w:tabs>
          <w:tab w:leader="none" w:pos="299" w:val="left"/>
        </w:tabs>
        <w:numPr>
          <w:ilvl w:val="0"/>
          <w:numId w:val="36"/>
        </w:numPr>
        <w:rPr>
          <w:rFonts w:ascii="Times New Roman" w:cs="Times New Roman" w:eastAsia="Times New Roman" w:hAnsi="Times New Roman"/>
          <w:sz w:val="15"/>
          <w:szCs w:val="15"/>
          <w:color w:val="001544"/>
        </w:rPr>
      </w:pPr>
      <w:r>
        <w:rPr>
          <w:rFonts w:ascii="Arial" w:cs="Arial" w:eastAsia="Arial" w:hAnsi="Arial"/>
          <w:sz w:val="15"/>
          <w:szCs w:val="15"/>
          <w:color w:val="auto"/>
        </w:rPr>
        <w:t>Board member and member of co-investment committee of UNC Investment Fund (2018 to present)</w:t>
      </w:r>
    </w:p>
    <w:p>
      <w:pPr>
        <w:spacing w:after="0" w:line="18" w:lineRule="exact"/>
        <w:rPr>
          <w:rFonts w:ascii="Times New Roman" w:cs="Times New Roman" w:eastAsia="Times New Roman" w:hAnsi="Times New Roman"/>
          <w:sz w:val="15"/>
          <w:szCs w:val="15"/>
          <w:color w:val="001544"/>
        </w:rPr>
      </w:pPr>
    </w:p>
    <w:p>
      <w:pPr>
        <w:ind w:left="300" w:right="180" w:hanging="292"/>
        <w:spacing w:after="0" w:line="296" w:lineRule="auto"/>
        <w:tabs>
          <w:tab w:leader="none" w:pos="299" w:val="left"/>
        </w:tabs>
        <w:numPr>
          <w:ilvl w:val="0"/>
          <w:numId w:val="36"/>
        </w:numPr>
        <w:rPr>
          <w:rFonts w:ascii="Times New Roman" w:cs="Times New Roman" w:eastAsia="Times New Roman" w:hAnsi="Times New Roman"/>
          <w:sz w:val="15"/>
          <w:szCs w:val="15"/>
          <w:color w:val="001544"/>
        </w:rPr>
      </w:pPr>
      <w:r>
        <w:rPr>
          <w:rFonts w:ascii="Arial" w:cs="Arial" w:eastAsia="Arial" w:hAnsi="Arial"/>
          <w:sz w:val="15"/>
          <w:szCs w:val="15"/>
          <w:color w:val="auto"/>
        </w:rPr>
        <w:t>Served as the Chair of the Operating Committee at Coatue Management LLC</w:t>
      </w:r>
    </w:p>
    <w:p>
      <w:pPr>
        <w:ind w:left="300" w:right="80" w:hanging="292"/>
        <w:spacing w:after="0" w:line="257" w:lineRule="auto"/>
        <w:tabs>
          <w:tab w:leader="none" w:pos="299" w:val="left"/>
        </w:tabs>
        <w:numPr>
          <w:ilvl w:val="0"/>
          <w:numId w:val="36"/>
        </w:numPr>
        <w:rPr>
          <w:rFonts w:ascii="Times New Roman" w:cs="Times New Roman" w:eastAsia="Times New Roman" w:hAnsi="Times New Roman"/>
          <w:sz w:val="15"/>
          <w:szCs w:val="15"/>
          <w:color w:val="001544"/>
        </w:rPr>
      </w:pPr>
      <w:r>
        <w:rPr>
          <w:rFonts w:ascii="Arial" w:cs="Arial" w:eastAsia="Arial" w:hAnsi="Arial"/>
          <w:sz w:val="15"/>
          <w:szCs w:val="15"/>
          <w:color w:val="auto"/>
        </w:rPr>
        <w:t>Served on the Partner Management Committee and Business Risk Committee of Och Ziff (now Sculptor Capital Management) (NYSE: SCU) for a decade and ran Best Practice Committee for the firm</w:t>
      </w:r>
    </w:p>
    <w:p>
      <w:pPr>
        <w:spacing w:after="0" w:line="43" w:lineRule="exact"/>
        <w:rPr>
          <w:rFonts w:ascii="Times New Roman" w:cs="Times New Roman" w:eastAsia="Times New Roman" w:hAnsi="Times New Roman"/>
          <w:sz w:val="15"/>
          <w:szCs w:val="15"/>
          <w:color w:val="001544"/>
        </w:rPr>
      </w:pPr>
    </w:p>
    <w:p>
      <w:pPr>
        <w:ind w:left="300" w:right="480" w:hanging="292"/>
        <w:spacing w:after="0" w:line="296" w:lineRule="auto"/>
        <w:tabs>
          <w:tab w:leader="none" w:pos="299" w:val="left"/>
        </w:tabs>
        <w:numPr>
          <w:ilvl w:val="0"/>
          <w:numId w:val="36"/>
        </w:numPr>
        <w:rPr>
          <w:rFonts w:ascii="Times New Roman" w:cs="Times New Roman" w:eastAsia="Times New Roman" w:hAnsi="Times New Roman"/>
          <w:sz w:val="15"/>
          <w:szCs w:val="15"/>
          <w:color w:val="001544"/>
        </w:rPr>
      </w:pPr>
      <w:r>
        <w:rPr>
          <w:rFonts w:ascii="Arial" w:cs="Arial" w:eastAsia="Arial" w:hAnsi="Arial"/>
          <w:sz w:val="15"/>
          <w:szCs w:val="15"/>
          <w:color w:val="auto"/>
        </w:rPr>
        <w:t>Chair of Executive Committee at the Lincoln Center (10 years)</w:t>
      </w:r>
    </w:p>
    <w:p>
      <w:pPr>
        <w:ind w:left="300" w:hanging="292"/>
        <w:spacing w:after="0"/>
        <w:tabs>
          <w:tab w:leader="none" w:pos="300" w:val="left"/>
        </w:tabs>
        <w:numPr>
          <w:ilvl w:val="0"/>
          <w:numId w:val="36"/>
        </w:numPr>
        <w:rPr>
          <w:rFonts w:ascii="Times New Roman" w:cs="Times New Roman" w:eastAsia="Times New Roman" w:hAnsi="Times New Roman"/>
          <w:sz w:val="15"/>
          <w:szCs w:val="15"/>
          <w:color w:val="001544"/>
        </w:rPr>
      </w:pPr>
      <w:r>
        <w:rPr>
          <w:rFonts w:ascii="Arial" w:cs="Arial" w:eastAsia="Arial" w:hAnsi="Arial"/>
          <w:sz w:val="15"/>
          <w:szCs w:val="15"/>
          <w:color w:val="auto"/>
        </w:rPr>
        <w:t>President of the Board of the New Museum</w:t>
      </w:r>
    </w:p>
    <w:p>
      <w:pPr>
        <w:spacing w:after="0" w:line="25" w:lineRule="exact"/>
        <w:rPr>
          <w:rFonts w:ascii="Times New Roman" w:cs="Times New Roman" w:eastAsia="Times New Roman" w:hAnsi="Times New Roman"/>
          <w:sz w:val="15"/>
          <w:szCs w:val="15"/>
          <w:color w:val="001544"/>
        </w:rPr>
      </w:pPr>
    </w:p>
    <w:p>
      <w:pPr>
        <w:ind w:left="300" w:right="420"/>
        <w:spacing w:after="0" w:line="255" w:lineRule="auto"/>
        <w:rPr>
          <w:rFonts w:ascii="Times New Roman" w:cs="Times New Roman" w:eastAsia="Times New Roman" w:hAnsi="Times New Roman"/>
          <w:sz w:val="15"/>
          <w:szCs w:val="15"/>
          <w:color w:val="001544"/>
        </w:rPr>
      </w:pPr>
      <w:r>
        <w:rPr>
          <w:rFonts w:ascii="Arial" w:cs="Arial" w:eastAsia="Arial" w:hAnsi="Arial"/>
          <w:sz w:val="15"/>
          <w:szCs w:val="15"/>
          <w:color w:val="auto"/>
        </w:rPr>
        <w:t>(10 years and on the board for 24 years) and served on investment, finance and audit committees, among others</w:t>
      </w:r>
    </w:p>
    <w:p>
      <w:pPr>
        <w:spacing w:after="0" w:line="30" w:lineRule="exact"/>
        <w:rPr>
          <w:rFonts w:ascii="Times New Roman" w:cs="Times New Roman" w:eastAsia="Times New Roman" w:hAnsi="Times New Roman"/>
          <w:sz w:val="15"/>
          <w:szCs w:val="15"/>
          <w:color w:val="001544"/>
        </w:rPr>
      </w:pPr>
    </w:p>
    <w:p>
      <w:pPr>
        <w:ind w:left="300" w:right="180" w:hanging="292"/>
        <w:spacing w:after="0" w:line="271" w:lineRule="auto"/>
        <w:tabs>
          <w:tab w:leader="none" w:pos="299" w:val="left"/>
        </w:tabs>
        <w:numPr>
          <w:ilvl w:val="0"/>
          <w:numId w:val="36"/>
        </w:numPr>
        <w:rPr>
          <w:rFonts w:ascii="Times New Roman" w:cs="Times New Roman" w:eastAsia="Times New Roman" w:hAnsi="Times New Roman"/>
          <w:sz w:val="15"/>
          <w:szCs w:val="15"/>
          <w:color w:val="001544"/>
        </w:rPr>
      </w:pPr>
      <w:r>
        <w:rPr>
          <w:rFonts w:ascii="Arial" w:cs="Arial" w:eastAsia="Arial" w:hAnsi="Arial"/>
          <w:sz w:val="15"/>
          <w:szCs w:val="15"/>
          <w:color w:val="auto"/>
        </w:rPr>
        <w:t>Served as board member of Andy Warhol Foundation (Chair of Finance and on Investment and Audit Committees)</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EDUCATION</w:t>
      </w:r>
    </w:p>
    <w:p>
      <w:pPr>
        <w:spacing w:after="0" w:line="66" w:lineRule="exact"/>
        <w:rPr>
          <w:sz w:val="20"/>
          <w:szCs w:val="20"/>
          <w:color w:val="auto"/>
        </w:rPr>
      </w:pPr>
    </w:p>
    <w:p>
      <w:pPr>
        <w:ind w:left="300" w:right="180" w:hanging="292"/>
        <w:spacing w:after="0" w:line="297" w:lineRule="auto"/>
        <w:tabs>
          <w:tab w:leader="none" w:pos="299" w:val="left"/>
        </w:tabs>
        <w:numPr>
          <w:ilvl w:val="0"/>
          <w:numId w:val="37"/>
        </w:numPr>
        <w:rPr>
          <w:rFonts w:ascii="Times New Roman" w:cs="Times New Roman" w:eastAsia="Times New Roman" w:hAnsi="Times New Roman"/>
          <w:sz w:val="15"/>
          <w:szCs w:val="15"/>
          <w:color w:val="001544"/>
        </w:rPr>
      </w:pPr>
      <w:r>
        <w:rPr>
          <w:rFonts w:ascii="Arial" w:cs="Arial" w:eastAsia="Arial" w:hAnsi="Arial"/>
          <w:sz w:val="15"/>
          <w:szCs w:val="15"/>
          <w:color w:val="auto"/>
        </w:rPr>
        <w:t>Bachelor of Arts with Honors, University of North Carolina</w:t>
      </w:r>
    </w:p>
    <w:p>
      <w:pPr>
        <w:spacing w:after="0" w:line="457" w:lineRule="exact"/>
        <w:rPr>
          <w:sz w:val="20"/>
          <w:szCs w:val="20"/>
          <w:color w:val="auto"/>
        </w:rPr>
      </w:pPr>
    </w:p>
    <w:p>
      <w:pPr>
        <w:sectPr>
          <w:pgSz w:w="11900" w:h="16838" w:orient="portrait"/>
          <w:cols w:equalWidth="0" w:num="3">
            <w:col w:w="1980" w:space="260"/>
            <w:col w:w="3380" w:space="140"/>
            <w:col w:w="3720"/>
          </w:cols>
          <w:pgMar w:left="1200" w:top="487" w:right="1219" w:bottom="144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60090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145415</wp:posOffset>
            </wp:positionV>
            <wp:extent cx="6009005" cy="3035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09005" cy="303530"/>
                    </a:xfrm>
                    <a:prstGeom prst="rect">
                      <a:avLst/>
                    </a:prstGeom>
                    <a:noFill/>
                  </pic:spPr>
                </pic:pic>
              </a:graphicData>
            </a:graphic>
          </wp:anchor>
        </w:drawing>
      </w:r>
    </w:p>
    <w:p>
      <w:pPr>
        <w:sectPr>
          <w:pgSz w:w="11900" w:h="16838" w:orient="portrait"/>
          <w:cols w:equalWidth="0" w:num="1">
            <w:col w:w="9420"/>
          </w:cols>
          <w:pgMar w:left="1200" w:top="487" w:right="1279" w:bottom="1440" w:gutter="0" w:footer="0" w:header="0"/>
        </w:sectPr>
      </w:pPr>
    </w:p>
    <w:p>
      <w:pPr>
        <w:spacing w:after="0" w:line="307"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FFFFFF"/>
        </w:rPr>
        <w:t>NANCY A. CURTIN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85725</wp:posOffset>
            </wp:positionV>
            <wp:extent cx="1380490" cy="58731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80490" cy="5873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sz w:val="1"/>
          <w:szCs w:val="1"/>
          <w:color w:val="auto"/>
        </w:rPr>
        <w:drawing>
          <wp:inline distT="0" distB="0" distL="0" distR="0">
            <wp:extent cx="231140" cy="1752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1140" cy="175260"/>
                    </a:xfrm>
                    <a:prstGeom prst="rect">
                      <a:avLst/>
                    </a:prstGeom>
                    <a:noFill/>
                    <a:ln>
                      <a:noFill/>
                    </a:ln>
                  </pic:spPr>
                </pic:pic>
              </a:graphicData>
            </a:graphic>
          </wp:inline>
        </w:drawing>
      </w:r>
      <w:r>
        <w:rPr>
          <w:rFonts w:ascii="Arial" w:cs="Arial" w:eastAsia="Arial" w:hAnsi="Arial"/>
          <w:sz w:val="16"/>
          <w:szCs w:val="16"/>
          <w:color w:val="FFFFFF"/>
        </w:rPr>
        <w:t xml:space="preserve"> Independent Director since 2014</w:t>
      </w:r>
    </w:p>
    <w:p>
      <w:pPr>
        <w:spacing w:after="0" w:line="122" w:lineRule="exact"/>
        <w:rPr>
          <w:sz w:val="20"/>
          <w:szCs w:val="20"/>
          <w:color w:val="auto"/>
        </w:rPr>
      </w:pPr>
    </w:p>
    <w:p>
      <w:pPr>
        <w:sectPr>
          <w:pgSz w:w="11900" w:h="16838" w:orient="portrait"/>
          <w:cols w:equalWidth="0" w:num="2">
            <w:col w:w="5800" w:space="720"/>
            <w:col w:w="2900"/>
          </w:cols>
          <w:pgMar w:left="1200" w:top="48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40" w:right="140"/>
        <w:spacing w:after="0" w:line="330" w:lineRule="auto"/>
        <w:rPr>
          <w:sz w:val="20"/>
          <w:szCs w:val="20"/>
          <w:color w:val="auto"/>
        </w:rPr>
      </w:pPr>
      <w:r>
        <w:rPr>
          <w:rFonts w:ascii="Arial" w:cs="Arial" w:eastAsia="Arial" w:hAnsi="Arial"/>
          <w:sz w:val="14"/>
          <w:szCs w:val="14"/>
          <w:b w:val="1"/>
          <w:bCs w:val="1"/>
          <w:color w:val="auto"/>
        </w:rPr>
        <w:t>Global Chief Investment Officer of AlTi Global, Inc.</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 xml:space="preserve">AGE </w:t>
      </w:r>
      <w:r>
        <w:rPr>
          <w:rFonts w:ascii="Arial" w:cs="Arial" w:eastAsia="Arial" w:hAnsi="Arial"/>
          <w:sz w:val="15"/>
          <w:szCs w:val="15"/>
          <w:color w:val="000000"/>
        </w:rPr>
        <w:t>67</w:t>
      </w:r>
    </w:p>
    <w:p>
      <w:pPr>
        <w:spacing w:after="0" w:line="104" w:lineRule="exact"/>
        <w:rPr>
          <w:sz w:val="20"/>
          <w:szCs w:val="20"/>
          <w:color w:val="auto"/>
        </w:rPr>
      </w:pPr>
    </w:p>
    <w:p>
      <w:pPr>
        <w:ind w:left="440" w:hanging="307"/>
        <w:spacing w:after="0"/>
        <w:tabs>
          <w:tab w:leader="none" w:pos="440" w:val="left"/>
        </w:tabs>
        <w:numPr>
          <w:ilvl w:val="0"/>
          <w:numId w:val="38"/>
        </w:numPr>
        <w:rPr>
          <w:rFonts w:ascii="Times New Roman" w:cs="Times New Roman" w:eastAsia="Times New Roman" w:hAnsi="Times New Roman"/>
          <w:sz w:val="15"/>
          <w:szCs w:val="15"/>
          <w:color w:val="001544"/>
        </w:rPr>
      </w:pPr>
      <w:r>
        <w:rPr>
          <w:rFonts w:ascii="Arial" w:cs="Arial" w:eastAsia="Arial" w:hAnsi="Arial"/>
          <w:sz w:val="15"/>
          <w:szCs w:val="15"/>
          <w:color w:val="auto"/>
        </w:rPr>
        <w:t>Chairperson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1544"/>
        </w:rPr>
        <w:t>EXPERIENCE</w:t>
      </w:r>
    </w:p>
    <w:p>
      <w:pPr>
        <w:spacing w:after="0" w:line="54" w:lineRule="exact"/>
        <w:rPr>
          <w:sz w:val="20"/>
          <w:szCs w:val="20"/>
          <w:color w:val="auto"/>
        </w:rPr>
      </w:pPr>
    </w:p>
    <w:p>
      <w:pPr>
        <w:ind w:left="300" w:right="40" w:hanging="293"/>
        <w:spacing w:after="0" w:line="256" w:lineRule="auto"/>
        <w:tabs>
          <w:tab w:leader="none" w:pos="299" w:val="left"/>
        </w:tabs>
        <w:numPr>
          <w:ilvl w:val="0"/>
          <w:numId w:val="39"/>
        </w:numPr>
        <w:rPr>
          <w:rFonts w:ascii="Times New Roman" w:cs="Times New Roman" w:eastAsia="Times New Roman" w:hAnsi="Times New Roman"/>
          <w:sz w:val="15"/>
          <w:szCs w:val="15"/>
          <w:color w:val="001544"/>
        </w:rPr>
      </w:pPr>
      <w:r>
        <w:rPr>
          <w:rFonts w:ascii="Arial" w:cs="Arial" w:eastAsia="Arial" w:hAnsi="Arial"/>
          <w:sz w:val="15"/>
          <w:szCs w:val="15"/>
          <w:color w:val="auto"/>
        </w:rPr>
        <w:t>Global Chief Investment Officer, managing the Investment team, C-Suite member, and prior Board Director (January 2023 -May 2024) of AlTi Tiedemann Global (NASDAQ: ALTI). Serves as member of Executive Committee, New Product Committee and Strategic Allocation Committee.</w:t>
      </w:r>
    </w:p>
    <w:p>
      <w:pPr>
        <w:spacing w:after="0" w:line="5" w:lineRule="exact"/>
        <w:rPr>
          <w:rFonts w:ascii="Times New Roman" w:cs="Times New Roman" w:eastAsia="Times New Roman" w:hAnsi="Times New Roman"/>
          <w:sz w:val="15"/>
          <w:szCs w:val="15"/>
          <w:color w:val="001544"/>
        </w:rPr>
      </w:pPr>
    </w:p>
    <w:p>
      <w:pPr>
        <w:ind w:left="300" w:right="20" w:hanging="293"/>
        <w:spacing w:after="0" w:line="254" w:lineRule="auto"/>
        <w:tabs>
          <w:tab w:leader="none" w:pos="299" w:val="left"/>
        </w:tabs>
        <w:numPr>
          <w:ilvl w:val="0"/>
          <w:numId w:val="39"/>
        </w:numPr>
        <w:rPr>
          <w:rFonts w:ascii="Times New Roman" w:cs="Times New Roman" w:eastAsia="Times New Roman" w:hAnsi="Times New Roman"/>
          <w:sz w:val="15"/>
          <w:szCs w:val="15"/>
          <w:color w:val="001544"/>
        </w:rPr>
      </w:pPr>
      <w:r>
        <w:rPr>
          <w:rFonts w:ascii="Arial" w:cs="Arial" w:eastAsia="Arial" w:hAnsi="Arial"/>
          <w:sz w:val="15"/>
          <w:szCs w:val="15"/>
          <w:color w:val="auto"/>
        </w:rPr>
        <w:t>Partner, Group Chief Investment Officer, Head of Investment Advisory and participant member of the Supervisory Board of Alvarium Investments from May 2020 through the business combination of Alvarium Investments with Tiedemann Wealth Management Holdings, LLC and certain other parties in January 2023</w:t>
      </w:r>
    </w:p>
    <w:p>
      <w:pPr>
        <w:spacing w:after="0" w:line="9" w:lineRule="exact"/>
        <w:rPr>
          <w:rFonts w:ascii="Times New Roman" w:cs="Times New Roman" w:eastAsia="Times New Roman" w:hAnsi="Times New Roman"/>
          <w:sz w:val="15"/>
          <w:szCs w:val="15"/>
          <w:color w:val="001544"/>
        </w:rPr>
      </w:pPr>
    </w:p>
    <w:p>
      <w:pPr>
        <w:ind w:left="300" w:hanging="293"/>
        <w:spacing w:after="0" w:line="255" w:lineRule="auto"/>
        <w:tabs>
          <w:tab w:leader="none" w:pos="299" w:val="left"/>
        </w:tabs>
        <w:numPr>
          <w:ilvl w:val="0"/>
          <w:numId w:val="39"/>
        </w:numPr>
        <w:rPr>
          <w:rFonts w:ascii="Times New Roman" w:cs="Times New Roman" w:eastAsia="Times New Roman" w:hAnsi="Times New Roman"/>
          <w:sz w:val="15"/>
          <w:szCs w:val="15"/>
          <w:color w:val="001544"/>
        </w:rPr>
      </w:pPr>
      <w:r>
        <w:rPr>
          <w:rFonts w:ascii="Arial" w:cs="Arial" w:eastAsia="Arial" w:hAnsi="Arial"/>
          <w:sz w:val="15"/>
          <w:szCs w:val="15"/>
          <w:color w:val="auto"/>
        </w:rPr>
        <w:t>Chief Investment Officer and Head of Investments of Close Brothers Asset Management (CBAM), a UK investment and financial advice firm focused on private clients, high-net-worth, charities, and family offices, from 2010 to 2019</w:t>
      </w:r>
    </w:p>
    <w:p>
      <w:pPr>
        <w:spacing w:after="0" w:line="5" w:lineRule="exact"/>
        <w:rPr>
          <w:rFonts w:ascii="Times New Roman" w:cs="Times New Roman" w:eastAsia="Times New Roman" w:hAnsi="Times New Roman"/>
          <w:sz w:val="15"/>
          <w:szCs w:val="15"/>
          <w:color w:val="001544"/>
        </w:rPr>
      </w:pPr>
    </w:p>
    <w:p>
      <w:pPr>
        <w:ind w:left="300" w:right="60" w:hanging="293"/>
        <w:spacing w:after="0" w:line="257" w:lineRule="auto"/>
        <w:tabs>
          <w:tab w:leader="none" w:pos="299" w:val="left"/>
        </w:tabs>
        <w:numPr>
          <w:ilvl w:val="0"/>
          <w:numId w:val="39"/>
        </w:numPr>
        <w:rPr>
          <w:rFonts w:ascii="Times New Roman" w:cs="Times New Roman" w:eastAsia="Times New Roman" w:hAnsi="Times New Roman"/>
          <w:sz w:val="15"/>
          <w:szCs w:val="15"/>
          <w:color w:val="001544"/>
        </w:rPr>
      </w:pPr>
      <w:r>
        <w:rPr>
          <w:rFonts w:ascii="Arial" w:cs="Arial" w:eastAsia="Arial" w:hAnsi="Arial"/>
          <w:sz w:val="15"/>
          <w:szCs w:val="15"/>
          <w:color w:val="auto"/>
        </w:rPr>
        <w:t>Chief Investment Officer and Managing Partner of Fortune Asset Management Limited, an alternatives institutional advisory business, from 2002 until its full acquisition by CBAM in 2010</w:t>
      </w:r>
    </w:p>
    <w:p>
      <w:pPr>
        <w:spacing w:after="0" w:line="5" w:lineRule="exact"/>
        <w:rPr>
          <w:rFonts w:ascii="Times New Roman" w:cs="Times New Roman" w:eastAsia="Times New Roman" w:hAnsi="Times New Roman"/>
          <w:sz w:val="15"/>
          <w:szCs w:val="15"/>
          <w:color w:val="001544"/>
        </w:rPr>
      </w:pPr>
    </w:p>
    <w:p>
      <w:pPr>
        <w:ind w:left="300" w:hanging="293"/>
        <w:spacing w:after="0" w:line="262" w:lineRule="auto"/>
        <w:tabs>
          <w:tab w:leader="none" w:pos="299" w:val="left"/>
        </w:tabs>
        <w:numPr>
          <w:ilvl w:val="0"/>
          <w:numId w:val="39"/>
        </w:numPr>
        <w:rPr>
          <w:rFonts w:ascii="Times New Roman" w:cs="Times New Roman" w:eastAsia="Times New Roman" w:hAnsi="Times New Roman"/>
          <w:sz w:val="15"/>
          <w:szCs w:val="15"/>
          <w:color w:val="001544"/>
        </w:rPr>
      </w:pPr>
      <w:r>
        <w:rPr>
          <w:rFonts w:ascii="Arial" w:cs="Arial" w:eastAsia="Arial" w:hAnsi="Arial"/>
          <w:sz w:val="15"/>
          <w:szCs w:val="15"/>
          <w:color w:val="auto"/>
        </w:rPr>
        <w:t>Managing Director of Schroders Plc and Head of Global Investments for the Mutual Funds business &amp; founded Internet Finance Partners, a venture arm of Schroders</w:t>
      </w:r>
    </w:p>
    <w:p>
      <w:pPr>
        <w:ind w:left="300" w:right="220" w:hanging="293"/>
        <w:spacing w:after="0" w:line="256" w:lineRule="auto"/>
        <w:tabs>
          <w:tab w:leader="none" w:pos="299" w:val="left"/>
        </w:tabs>
        <w:numPr>
          <w:ilvl w:val="0"/>
          <w:numId w:val="39"/>
        </w:numPr>
        <w:rPr>
          <w:rFonts w:ascii="Times New Roman" w:cs="Times New Roman" w:eastAsia="Times New Roman" w:hAnsi="Times New Roman"/>
          <w:sz w:val="15"/>
          <w:szCs w:val="15"/>
          <w:color w:val="001544"/>
        </w:rPr>
      </w:pPr>
      <w:r>
        <w:rPr>
          <w:rFonts w:ascii="Arial" w:cs="Arial" w:eastAsia="Arial" w:hAnsi="Arial"/>
          <w:sz w:val="15"/>
          <w:szCs w:val="15"/>
          <w:color w:val="auto"/>
        </w:rPr>
        <w:t>Head of Emerging Markets at Baring Asset Management; Board member for Baring Venture Partners, Member of Global Senior Council and Senior Leadership Team</w:t>
      </w:r>
    </w:p>
    <w:p>
      <w:pPr>
        <w:spacing w:after="0" w:line="4" w:lineRule="exact"/>
        <w:rPr>
          <w:rFonts w:ascii="Times New Roman" w:cs="Times New Roman" w:eastAsia="Times New Roman" w:hAnsi="Times New Roman"/>
          <w:sz w:val="15"/>
          <w:szCs w:val="15"/>
          <w:color w:val="001544"/>
        </w:rPr>
      </w:pPr>
    </w:p>
    <w:p>
      <w:pPr>
        <w:ind w:left="300" w:right="60" w:hanging="293"/>
        <w:spacing w:after="0" w:line="267" w:lineRule="auto"/>
        <w:tabs>
          <w:tab w:leader="none" w:pos="299" w:val="left"/>
        </w:tabs>
        <w:numPr>
          <w:ilvl w:val="0"/>
          <w:numId w:val="39"/>
        </w:numPr>
        <w:rPr>
          <w:rFonts w:ascii="Times New Roman" w:cs="Times New Roman" w:eastAsia="Times New Roman" w:hAnsi="Times New Roman"/>
          <w:sz w:val="15"/>
          <w:szCs w:val="15"/>
          <w:color w:val="001544"/>
        </w:rPr>
      </w:pPr>
      <w:r>
        <w:rPr>
          <w:rFonts w:ascii="Arial" w:cs="Arial" w:eastAsia="Arial" w:hAnsi="Arial"/>
          <w:sz w:val="15"/>
          <w:szCs w:val="15"/>
          <w:color w:val="auto"/>
        </w:rPr>
        <w:t>Co-Head of German Real Estate arm of Rho Asset Management, focused on private equity and real estate investments</w:t>
      </w:r>
    </w:p>
    <w:p>
      <w:pPr>
        <w:spacing w:after="0" w:line="1" w:lineRule="exact"/>
        <w:rPr>
          <w:rFonts w:ascii="Times New Roman" w:cs="Times New Roman" w:eastAsia="Times New Roman" w:hAnsi="Times New Roman"/>
          <w:sz w:val="15"/>
          <w:szCs w:val="15"/>
          <w:color w:val="001544"/>
        </w:rPr>
      </w:pPr>
    </w:p>
    <w:p>
      <w:pPr>
        <w:ind w:left="300" w:right="140" w:hanging="293"/>
        <w:spacing w:after="0" w:line="262" w:lineRule="auto"/>
        <w:tabs>
          <w:tab w:leader="none" w:pos="299" w:val="left"/>
        </w:tabs>
        <w:numPr>
          <w:ilvl w:val="0"/>
          <w:numId w:val="39"/>
        </w:numPr>
        <w:rPr>
          <w:rFonts w:ascii="Times New Roman" w:cs="Times New Roman" w:eastAsia="Times New Roman" w:hAnsi="Times New Roman"/>
          <w:sz w:val="15"/>
          <w:szCs w:val="15"/>
          <w:color w:val="001544"/>
        </w:rPr>
      </w:pPr>
      <w:r>
        <w:rPr>
          <w:rFonts w:ascii="Arial" w:cs="Arial" w:eastAsia="Arial" w:hAnsi="Arial"/>
          <w:sz w:val="15"/>
          <w:szCs w:val="15"/>
          <w:color w:val="auto"/>
        </w:rPr>
        <w:t>Early career, M&amp;A and Corporate Finance at Morgan Stanley and Credit Suisse First Boston</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QUALIFICATIONS, ATTRIBUTES AND SKILLS</w:t>
      </w:r>
    </w:p>
    <w:p>
      <w:pPr>
        <w:spacing w:after="0" w:line="54" w:lineRule="exact"/>
        <w:rPr>
          <w:sz w:val="20"/>
          <w:szCs w:val="20"/>
          <w:color w:val="auto"/>
        </w:rPr>
      </w:pPr>
    </w:p>
    <w:p>
      <w:pPr>
        <w:ind w:left="300" w:right="40" w:hanging="293"/>
        <w:spacing w:after="0" w:line="253" w:lineRule="auto"/>
        <w:tabs>
          <w:tab w:leader="none" w:pos="299" w:val="left"/>
        </w:tabs>
        <w:numPr>
          <w:ilvl w:val="0"/>
          <w:numId w:val="40"/>
        </w:numPr>
        <w:rPr>
          <w:rFonts w:ascii="Times New Roman" w:cs="Times New Roman" w:eastAsia="Times New Roman" w:hAnsi="Times New Roman"/>
          <w:sz w:val="15"/>
          <w:szCs w:val="15"/>
          <w:color w:val="001544"/>
        </w:rPr>
      </w:pPr>
      <w:r>
        <w:rPr>
          <w:rFonts w:ascii="Arial" w:cs="Arial" w:eastAsia="Arial" w:hAnsi="Arial"/>
          <w:sz w:val="15"/>
          <w:szCs w:val="15"/>
          <w:color w:val="auto"/>
        </w:rPr>
        <w:t>Over 25 years of investment management experience and senior leadership roles in global asset management, private equity, real estate, and alternative asset investing that are key to the Board’s oversight of the Company’s investment strategy and management of its investment portfolio</w:t>
      </w:r>
    </w:p>
    <w:p>
      <w:pPr>
        <w:spacing w:after="0" w:line="20" w:lineRule="exact"/>
        <w:rPr>
          <w:sz w:val="20"/>
          <w:szCs w:val="20"/>
          <w:color w:val="auto"/>
        </w:rPr>
      </w:pPr>
      <w:r>
        <w:rPr>
          <w:sz w:val="20"/>
          <w:szCs w:val="20"/>
          <w:color w:val="auto"/>
        </w:rPr>
        <w:br w:type="column"/>
      </w:r>
    </w:p>
    <w:p>
      <w:pPr>
        <w:ind w:left="300" w:right="60" w:hanging="292"/>
        <w:spacing w:after="0" w:line="262" w:lineRule="auto"/>
        <w:tabs>
          <w:tab w:leader="none" w:pos="299" w:val="left"/>
        </w:tabs>
        <w:numPr>
          <w:ilvl w:val="0"/>
          <w:numId w:val="41"/>
        </w:numPr>
        <w:rPr>
          <w:rFonts w:ascii="Times New Roman" w:cs="Times New Roman" w:eastAsia="Times New Roman" w:hAnsi="Times New Roman"/>
          <w:sz w:val="15"/>
          <w:szCs w:val="15"/>
          <w:color w:val="001544"/>
        </w:rPr>
      </w:pPr>
      <w:r>
        <w:rPr>
          <w:rFonts w:ascii="Arial" w:cs="Arial" w:eastAsia="Arial" w:hAnsi="Arial"/>
          <w:sz w:val="15"/>
          <w:szCs w:val="15"/>
          <w:color w:val="auto"/>
        </w:rPr>
        <w:t>Proven business builder of global investment and wealth management businesses with C-suite and board responsibility driving significant AUM growth at attractive operating margins</w:t>
      </w:r>
    </w:p>
    <w:p>
      <w:pPr>
        <w:ind w:left="300" w:right="40" w:hanging="292"/>
        <w:spacing w:after="0" w:line="257" w:lineRule="auto"/>
        <w:tabs>
          <w:tab w:leader="none" w:pos="299" w:val="left"/>
        </w:tabs>
        <w:numPr>
          <w:ilvl w:val="0"/>
          <w:numId w:val="41"/>
        </w:numPr>
        <w:rPr>
          <w:rFonts w:ascii="Times New Roman" w:cs="Times New Roman" w:eastAsia="Times New Roman" w:hAnsi="Times New Roman"/>
          <w:sz w:val="15"/>
          <w:szCs w:val="15"/>
          <w:color w:val="001544"/>
        </w:rPr>
      </w:pPr>
      <w:r>
        <w:rPr>
          <w:rFonts w:ascii="Arial" w:cs="Arial" w:eastAsia="Arial" w:hAnsi="Arial"/>
          <w:sz w:val="15"/>
          <w:szCs w:val="15"/>
          <w:color w:val="auto"/>
        </w:rPr>
        <w:t>Successful track record of CIO execution; leading large investment teams in pursuit of institutional quality investment disciplines to deliver superior investment performance and integrating multiple acquired global investment businesses</w:t>
      </w:r>
    </w:p>
    <w:p>
      <w:pPr>
        <w:spacing w:after="0" w:line="5" w:lineRule="exact"/>
        <w:rPr>
          <w:rFonts w:ascii="Times New Roman" w:cs="Times New Roman" w:eastAsia="Times New Roman" w:hAnsi="Times New Roman"/>
          <w:sz w:val="15"/>
          <w:szCs w:val="15"/>
          <w:color w:val="001544"/>
        </w:rPr>
      </w:pPr>
    </w:p>
    <w:p>
      <w:pPr>
        <w:ind w:left="300" w:hanging="292"/>
        <w:spacing w:after="0" w:line="262" w:lineRule="auto"/>
        <w:tabs>
          <w:tab w:leader="none" w:pos="299" w:val="left"/>
        </w:tabs>
        <w:numPr>
          <w:ilvl w:val="0"/>
          <w:numId w:val="41"/>
        </w:numPr>
        <w:rPr>
          <w:rFonts w:ascii="Times New Roman" w:cs="Times New Roman" w:eastAsia="Times New Roman" w:hAnsi="Times New Roman"/>
          <w:sz w:val="15"/>
          <w:szCs w:val="15"/>
          <w:color w:val="001544"/>
        </w:rPr>
      </w:pPr>
      <w:r>
        <w:rPr>
          <w:rFonts w:ascii="Arial" w:cs="Arial" w:eastAsia="Arial" w:hAnsi="Arial"/>
          <w:sz w:val="15"/>
          <w:szCs w:val="15"/>
          <w:color w:val="auto"/>
        </w:rPr>
        <w:t>Deep understanding of regulatory environment for investment management, with proven ability to institute best practice front line controls, oversight, and governance</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001544"/>
        </w:rPr>
        <w:t>OTHER PUBLIC COMPANY BOARD EXPERIENCE</w:t>
      </w:r>
    </w:p>
    <w:p>
      <w:pPr>
        <w:spacing w:after="0" w:line="54" w:lineRule="exact"/>
        <w:rPr>
          <w:sz w:val="20"/>
          <w:szCs w:val="20"/>
          <w:color w:val="auto"/>
        </w:rPr>
      </w:pPr>
    </w:p>
    <w:p>
      <w:pPr>
        <w:ind w:left="300" w:hanging="292"/>
        <w:spacing w:after="0" w:line="270" w:lineRule="auto"/>
        <w:tabs>
          <w:tab w:leader="none" w:pos="299" w:val="left"/>
        </w:tabs>
        <w:numPr>
          <w:ilvl w:val="0"/>
          <w:numId w:val="42"/>
        </w:numPr>
        <w:rPr>
          <w:rFonts w:ascii="Times New Roman" w:cs="Times New Roman" w:eastAsia="Times New Roman" w:hAnsi="Times New Roman"/>
          <w:sz w:val="15"/>
          <w:szCs w:val="15"/>
          <w:color w:val="001544"/>
        </w:rPr>
      </w:pPr>
      <w:r>
        <w:rPr>
          <w:rFonts w:ascii="Arial" w:cs="Arial" w:eastAsia="Arial" w:hAnsi="Arial"/>
          <w:sz w:val="15"/>
          <w:szCs w:val="15"/>
          <w:color w:val="auto"/>
        </w:rPr>
        <w:t>Member of board of directors of AlTi Global, Inc. (NASDAQ: ALTI) from January 2023 to May 2024.</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OTHER POSITIONS/RECOGNITIONS</w:t>
      </w:r>
    </w:p>
    <w:p>
      <w:pPr>
        <w:spacing w:after="0" w:line="66" w:lineRule="exact"/>
        <w:rPr>
          <w:sz w:val="20"/>
          <w:szCs w:val="20"/>
          <w:color w:val="auto"/>
        </w:rPr>
      </w:pPr>
    </w:p>
    <w:p>
      <w:pPr>
        <w:ind w:left="300" w:right="20" w:hanging="292"/>
        <w:spacing w:after="0" w:line="259" w:lineRule="auto"/>
        <w:tabs>
          <w:tab w:leader="none" w:pos="299" w:val="left"/>
        </w:tabs>
        <w:numPr>
          <w:ilvl w:val="0"/>
          <w:numId w:val="43"/>
        </w:numPr>
        <w:rPr>
          <w:rFonts w:ascii="Times New Roman" w:cs="Times New Roman" w:eastAsia="Times New Roman" w:hAnsi="Times New Roman"/>
          <w:sz w:val="15"/>
          <w:szCs w:val="15"/>
          <w:color w:val="001544"/>
        </w:rPr>
      </w:pPr>
      <w:r>
        <w:rPr>
          <w:rFonts w:ascii="Arial" w:cs="Arial" w:eastAsia="Arial" w:hAnsi="Arial"/>
          <w:sz w:val="15"/>
          <w:szCs w:val="15"/>
          <w:color w:val="auto"/>
        </w:rPr>
        <w:t>Trustee and Chair of the Audit Committee of Right to Play, global education charity helping over 2.3 million children each year in war torn countries and areas of significant dislocation (2020-present)</w:t>
      </w:r>
    </w:p>
    <w:p>
      <w:pPr>
        <w:spacing w:after="0" w:line="184" w:lineRule="exact"/>
        <w:rPr>
          <w:rFonts w:ascii="Times New Roman" w:cs="Times New Roman" w:eastAsia="Times New Roman" w:hAnsi="Times New Roman"/>
          <w:sz w:val="15"/>
          <w:szCs w:val="15"/>
          <w:color w:val="001544"/>
        </w:rPr>
      </w:pPr>
    </w:p>
    <w:p>
      <w:pPr>
        <w:ind w:left="300" w:right="220" w:hanging="292"/>
        <w:spacing w:after="0" w:line="261" w:lineRule="auto"/>
        <w:tabs>
          <w:tab w:leader="none" w:pos="299" w:val="left"/>
        </w:tabs>
        <w:numPr>
          <w:ilvl w:val="0"/>
          <w:numId w:val="43"/>
        </w:numPr>
        <w:rPr>
          <w:rFonts w:ascii="Times New Roman" w:cs="Times New Roman" w:eastAsia="Times New Roman" w:hAnsi="Times New Roman"/>
          <w:sz w:val="15"/>
          <w:szCs w:val="15"/>
          <w:color w:val="001544"/>
        </w:rPr>
      </w:pPr>
      <w:r>
        <w:rPr>
          <w:rFonts w:ascii="Arial" w:cs="Arial" w:eastAsia="Arial" w:hAnsi="Arial"/>
          <w:sz w:val="15"/>
          <w:szCs w:val="15"/>
          <w:color w:val="auto"/>
        </w:rPr>
        <w:t>Family Office, Board Member of $2.5 billion in assets Family Office Governance Board (2002-2012)</w:t>
      </w:r>
    </w:p>
    <w:p>
      <w:pPr>
        <w:spacing w:after="0" w:line="2" w:lineRule="exact"/>
        <w:rPr>
          <w:rFonts w:ascii="Times New Roman" w:cs="Times New Roman" w:eastAsia="Times New Roman" w:hAnsi="Times New Roman"/>
          <w:sz w:val="15"/>
          <w:szCs w:val="15"/>
          <w:color w:val="001544"/>
        </w:rPr>
      </w:pPr>
    </w:p>
    <w:p>
      <w:pPr>
        <w:ind w:left="300" w:right="80" w:hanging="292"/>
        <w:spacing w:after="0" w:line="271" w:lineRule="auto"/>
        <w:tabs>
          <w:tab w:leader="none" w:pos="299" w:val="left"/>
        </w:tabs>
        <w:numPr>
          <w:ilvl w:val="0"/>
          <w:numId w:val="43"/>
        </w:numPr>
        <w:rPr>
          <w:rFonts w:ascii="Times New Roman" w:cs="Times New Roman" w:eastAsia="Times New Roman" w:hAnsi="Times New Roman"/>
          <w:sz w:val="15"/>
          <w:szCs w:val="15"/>
          <w:color w:val="001544"/>
        </w:rPr>
      </w:pPr>
      <w:r>
        <w:rPr>
          <w:rFonts w:ascii="Arial" w:cs="Arial" w:eastAsia="Arial" w:hAnsi="Arial"/>
          <w:sz w:val="15"/>
          <w:szCs w:val="15"/>
          <w:color w:val="auto"/>
        </w:rPr>
        <w:t>External Investment Committee Partners Capital, outsourced investment office for endowments, foundations and UHNW (2003-2018)</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EDUCATION</w:t>
      </w:r>
    </w:p>
    <w:p>
      <w:pPr>
        <w:spacing w:after="0" w:line="54" w:lineRule="exact"/>
        <w:rPr>
          <w:sz w:val="20"/>
          <w:szCs w:val="20"/>
          <w:color w:val="auto"/>
        </w:rPr>
      </w:pPr>
    </w:p>
    <w:p>
      <w:pPr>
        <w:ind w:left="300" w:right="140" w:hanging="292"/>
        <w:spacing w:after="0" w:line="270" w:lineRule="auto"/>
        <w:tabs>
          <w:tab w:leader="none" w:pos="299" w:val="left"/>
        </w:tabs>
        <w:numPr>
          <w:ilvl w:val="0"/>
          <w:numId w:val="44"/>
        </w:numPr>
        <w:rPr>
          <w:rFonts w:ascii="Times New Roman" w:cs="Times New Roman" w:eastAsia="Times New Roman" w:hAnsi="Times New Roman"/>
          <w:sz w:val="15"/>
          <w:szCs w:val="15"/>
          <w:color w:val="001544"/>
        </w:rPr>
      </w:pPr>
      <w:r>
        <w:rPr>
          <w:rFonts w:ascii="Arial" w:cs="Arial" w:eastAsia="Arial" w:hAnsi="Arial"/>
          <w:sz w:val="15"/>
          <w:szCs w:val="15"/>
          <w:color w:val="auto"/>
        </w:rPr>
        <w:t>Bachelor of Arts, Summa Cum Laude, Princeton University</w:t>
      </w:r>
    </w:p>
    <w:p>
      <w:pPr>
        <w:ind w:left="300" w:right="460" w:hanging="292"/>
        <w:spacing w:after="0" w:line="270" w:lineRule="auto"/>
        <w:tabs>
          <w:tab w:leader="none" w:pos="299" w:val="left"/>
        </w:tabs>
        <w:numPr>
          <w:ilvl w:val="0"/>
          <w:numId w:val="44"/>
        </w:numPr>
        <w:rPr>
          <w:rFonts w:ascii="Times New Roman" w:cs="Times New Roman" w:eastAsia="Times New Roman" w:hAnsi="Times New Roman"/>
          <w:sz w:val="15"/>
          <w:szCs w:val="15"/>
          <w:color w:val="001544"/>
        </w:rPr>
      </w:pPr>
      <w:r>
        <w:rPr>
          <w:rFonts w:ascii="Arial" w:cs="Arial" w:eastAsia="Arial" w:hAnsi="Arial"/>
          <w:sz w:val="15"/>
          <w:szCs w:val="15"/>
          <w:color w:val="auto"/>
        </w:rPr>
        <w:t>Master of Business Administration, Harvard Business School</w:t>
      </w:r>
    </w:p>
    <w:p>
      <w:pPr>
        <w:ind w:left="300" w:right="200" w:hanging="292"/>
        <w:spacing w:after="0" w:line="279" w:lineRule="auto"/>
        <w:tabs>
          <w:tab w:leader="none" w:pos="299" w:val="left"/>
        </w:tabs>
        <w:numPr>
          <w:ilvl w:val="0"/>
          <w:numId w:val="44"/>
        </w:numPr>
        <w:rPr>
          <w:rFonts w:ascii="Times New Roman" w:cs="Times New Roman" w:eastAsia="Times New Roman" w:hAnsi="Times New Roman"/>
          <w:sz w:val="15"/>
          <w:szCs w:val="15"/>
          <w:color w:val="001544"/>
        </w:rPr>
      </w:pPr>
      <w:r>
        <w:rPr>
          <w:rFonts w:ascii="Arial" w:cs="Arial" w:eastAsia="Arial" w:hAnsi="Arial"/>
          <w:sz w:val="15"/>
          <w:szCs w:val="15"/>
          <w:color w:val="auto"/>
        </w:rPr>
        <w:t>Harvard Business School Executive Education, Woman on Boards Certificate (2019)</w:t>
      </w:r>
    </w:p>
    <w:p>
      <w:pPr>
        <w:ind w:left="300" w:right="340" w:hanging="292"/>
        <w:spacing w:after="0" w:line="270" w:lineRule="auto"/>
        <w:tabs>
          <w:tab w:leader="none" w:pos="299" w:val="left"/>
        </w:tabs>
        <w:numPr>
          <w:ilvl w:val="0"/>
          <w:numId w:val="44"/>
        </w:numPr>
        <w:rPr>
          <w:rFonts w:ascii="Times New Roman" w:cs="Times New Roman" w:eastAsia="Times New Roman" w:hAnsi="Times New Roman"/>
          <w:sz w:val="15"/>
          <w:szCs w:val="15"/>
          <w:color w:val="001544"/>
        </w:rPr>
      </w:pPr>
      <w:r>
        <w:rPr>
          <w:rFonts w:ascii="Arial" w:cs="Arial" w:eastAsia="Arial" w:hAnsi="Arial"/>
          <w:sz w:val="15"/>
          <w:szCs w:val="15"/>
          <w:color w:val="auto"/>
        </w:rPr>
        <w:t>Harvard Business School, Corporate Director Certification:</w:t>
      </w:r>
    </w:p>
    <w:p>
      <w:pPr>
        <w:ind w:left="620" w:right="780" w:hanging="310"/>
        <w:spacing w:after="0" w:line="270" w:lineRule="auto"/>
        <w:tabs>
          <w:tab w:leader="none" w:pos="619" w:val="left"/>
        </w:tabs>
        <w:numPr>
          <w:ilvl w:val="1"/>
          <w:numId w:val="44"/>
        </w:numPr>
        <w:rPr>
          <w:rFonts w:ascii="Times New Roman" w:cs="Times New Roman" w:eastAsia="Times New Roman" w:hAnsi="Times New Roman"/>
          <w:sz w:val="15"/>
          <w:szCs w:val="15"/>
          <w:color w:val="001544"/>
        </w:rPr>
      </w:pPr>
      <w:r>
        <w:rPr>
          <w:rFonts w:ascii="Arial" w:cs="Arial" w:eastAsia="Arial" w:hAnsi="Arial"/>
          <w:sz w:val="15"/>
          <w:szCs w:val="15"/>
          <w:color w:val="auto"/>
        </w:rPr>
        <w:t>Audit Committees in a New Era of Governance-Completed</w:t>
      </w:r>
    </w:p>
    <w:p>
      <w:pPr>
        <w:ind w:left="620" w:hanging="310"/>
        <w:spacing w:after="0" w:line="270" w:lineRule="auto"/>
        <w:tabs>
          <w:tab w:leader="none" w:pos="619" w:val="left"/>
        </w:tabs>
        <w:numPr>
          <w:ilvl w:val="1"/>
          <w:numId w:val="44"/>
        </w:numPr>
        <w:rPr>
          <w:rFonts w:ascii="Times New Roman" w:cs="Times New Roman" w:eastAsia="Times New Roman" w:hAnsi="Times New Roman"/>
          <w:sz w:val="15"/>
          <w:szCs w:val="15"/>
          <w:color w:val="001544"/>
        </w:rPr>
      </w:pPr>
      <w:r>
        <w:rPr>
          <w:rFonts w:ascii="Arial" w:cs="Arial" w:eastAsia="Arial" w:hAnsi="Arial"/>
          <w:sz w:val="15"/>
          <w:szCs w:val="15"/>
          <w:color w:val="auto"/>
        </w:rPr>
        <w:t>Compensation Committees: New Challenges, New Solutions-Completed</w:t>
      </w:r>
    </w:p>
    <w:p>
      <w:pPr>
        <w:ind w:left="620" w:right="280" w:hanging="310"/>
        <w:spacing w:after="0" w:line="297" w:lineRule="auto"/>
        <w:tabs>
          <w:tab w:leader="none" w:pos="619" w:val="left"/>
        </w:tabs>
        <w:numPr>
          <w:ilvl w:val="1"/>
          <w:numId w:val="44"/>
        </w:numPr>
        <w:rPr>
          <w:rFonts w:ascii="Times New Roman" w:cs="Times New Roman" w:eastAsia="Times New Roman" w:hAnsi="Times New Roman"/>
          <w:sz w:val="15"/>
          <w:szCs w:val="15"/>
          <w:color w:val="001544"/>
        </w:rPr>
      </w:pPr>
      <w:r>
        <w:rPr>
          <w:rFonts w:ascii="Arial" w:cs="Arial" w:eastAsia="Arial" w:hAnsi="Arial"/>
          <w:sz w:val="15"/>
          <w:szCs w:val="15"/>
          <w:color w:val="auto"/>
        </w:rPr>
        <w:t>Making Corporate Boards More Effective-Completed</w:t>
      </w:r>
    </w:p>
    <w:p>
      <w:pPr>
        <w:spacing w:after="0" w:line="995" w:lineRule="exact"/>
        <w:rPr>
          <w:sz w:val="20"/>
          <w:szCs w:val="20"/>
          <w:color w:val="auto"/>
        </w:rPr>
      </w:pPr>
    </w:p>
    <w:p>
      <w:pPr>
        <w:sectPr>
          <w:pgSz w:w="11900" w:h="16838" w:orient="portrait"/>
          <w:cols w:equalWidth="0" w:num="3">
            <w:col w:w="2120" w:space="120"/>
            <w:col w:w="3420" w:space="100"/>
            <w:col w:w="3660"/>
          </w:cols>
          <w:pgMar w:left="1200" w:top="487" w:right="1279"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8  </w:t>
      </w:r>
      <w:r>
        <w:rPr>
          <w:rFonts w:ascii="Arial" w:cs="Arial" w:eastAsia="Arial" w:hAnsi="Arial"/>
          <w:sz w:val="16"/>
          <w:szCs w:val="16"/>
          <w:color w:val="008861"/>
        </w:rPr>
        <w:t>|</w:t>
      </w:r>
      <w:r>
        <w:rPr>
          <w:rFonts w:ascii="Arial" w:cs="Arial" w:eastAsia="Arial" w:hAnsi="Arial"/>
          <w:sz w:val="16"/>
          <w:szCs w:val="16"/>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20"/>
          </w:cols>
          <w:pgMar w:left="1200" w:top="487" w:right="127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141605</wp:posOffset>
            </wp:positionV>
            <wp:extent cx="6009005" cy="3035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09005" cy="3035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p>
      <w:pPr>
        <w:spacing w:after="0" w:line="301"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FFFFFF"/>
        </w:rPr>
        <w:t>JEANNIE H. DIEFENDERFER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85725</wp:posOffset>
            </wp:positionV>
            <wp:extent cx="1380490" cy="31438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80490" cy="3143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sz w:val="1"/>
          <w:szCs w:val="1"/>
          <w:color w:val="auto"/>
        </w:rPr>
        <w:drawing>
          <wp:inline distT="0" distB="0" distL="0" distR="0">
            <wp:extent cx="231140" cy="1752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1140" cy="175260"/>
                    </a:xfrm>
                    <a:prstGeom prst="rect">
                      <a:avLst/>
                    </a:prstGeom>
                    <a:noFill/>
                    <a:ln>
                      <a:noFill/>
                    </a:ln>
                  </pic:spPr>
                </pic:pic>
              </a:graphicData>
            </a:graphic>
          </wp:inline>
        </w:drawing>
      </w:r>
      <w:r>
        <w:rPr>
          <w:rFonts w:ascii="Arial" w:cs="Arial" w:eastAsia="Arial" w:hAnsi="Arial"/>
          <w:sz w:val="16"/>
          <w:szCs w:val="16"/>
          <w:color w:val="FFFFFF"/>
        </w:rPr>
        <w:t>  Independent Director since 2020</w:t>
      </w:r>
    </w:p>
    <w:p>
      <w:pPr>
        <w:spacing w:after="0" w:line="135" w:lineRule="exact"/>
        <w:rPr>
          <w:sz w:val="20"/>
          <w:szCs w:val="20"/>
          <w:color w:val="auto"/>
        </w:rPr>
      </w:pPr>
    </w:p>
    <w:p>
      <w:pPr>
        <w:sectPr>
          <w:pgSz w:w="11900" w:h="16838" w:orient="portrait"/>
          <w:cols w:equalWidth="0" w:num="2">
            <w:col w:w="5760" w:space="720"/>
            <w:col w:w="3000"/>
          </w:cols>
          <w:pgMar w:left="1200" w:top="48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40" w:right="160"/>
        <w:spacing w:after="0" w:line="268" w:lineRule="auto"/>
        <w:rPr>
          <w:sz w:val="20"/>
          <w:szCs w:val="20"/>
          <w:color w:val="auto"/>
        </w:rPr>
      </w:pPr>
      <w:r>
        <w:rPr>
          <w:rFonts w:ascii="Arial" w:cs="Arial" w:eastAsia="Arial" w:hAnsi="Arial"/>
          <w:sz w:val="15"/>
          <w:szCs w:val="15"/>
          <w:b w:val="1"/>
          <w:bCs w:val="1"/>
          <w:color w:val="auto"/>
        </w:rPr>
        <w:t>Founder and Chief Executive Officer of courageNpurpose, LLC</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 xml:space="preserve">AGE </w:t>
      </w:r>
      <w:r>
        <w:rPr>
          <w:rFonts w:ascii="Arial" w:cs="Arial" w:eastAsia="Arial" w:hAnsi="Arial"/>
          <w:sz w:val="15"/>
          <w:szCs w:val="15"/>
          <w:color w:val="000000"/>
        </w:rPr>
        <w:t>64</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COMMITTEE</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MEMBERSHIPS</w:t>
      </w:r>
    </w:p>
    <w:p>
      <w:pPr>
        <w:spacing w:after="0" w:line="90" w:lineRule="exact"/>
        <w:rPr>
          <w:sz w:val="20"/>
          <w:szCs w:val="20"/>
          <w:color w:val="auto"/>
        </w:rPr>
      </w:pPr>
    </w:p>
    <w:p>
      <w:pPr>
        <w:ind w:left="440" w:right="260" w:hanging="307"/>
        <w:spacing w:after="0" w:line="271" w:lineRule="auto"/>
        <w:tabs>
          <w:tab w:leader="none" w:pos="397" w:val="left"/>
        </w:tabs>
        <w:numPr>
          <w:ilvl w:val="0"/>
          <w:numId w:val="45"/>
        </w:numPr>
        <w:rPr>
          <w:rFonts w:ascii="Times New Roman" w:cs="Times New Roman" w:eastAsia="Times New Roman" w:hAnsi="Times New Roman"/>
          <w:sz w:val="15"/>
          <w:szCs w:val="15"/>
          <w:color w:val="001544"/>
        </w:rPr>
      </w:pPr>
      <w:r>
        <w:rPr>
          <w:rFonts w:ascii="Arial" w:cs="Arial" w:eastAsia="Arial" w:hAnsi="Arial"/>
          <w:sz w:val="15"/>
          <w:szCs w:val="15"/>
          <w:color w:val="001544"/>
        </w:rPr>
        <w:t xml:space="preserve">Human Capital and </w:t>
      </w:r>
      <w:r>
        <w:rPr>
          <w:rFonts w:ascii="Arial" w:cs="Arial" w:eastAsia="Arial" w:hAnsi="Arial"/>
          <w:sz w:val="15"/>
          <w:szCs w:val="15"/>
          <w:color w:val="000000"/>
        </w:rPr>
        <w:t>Compensation</w:t>
      </w:r>
      <w:r>
        <w:rPr>
          <w:rFonts w:ascii="Arial" w:cs="Arial" w:eastAsia="Arial" w:hAnsi="Arial"/>
          <w:sz w:val="15"/>
          <w:szCs w:val="15"/>
          <w:color w:val="001544"/>
        </w:rPr>
        <w:t xml:space="preserve"> </w:t>
      </w:r>
      <w:r>
        <w:rPr>
          <w:rFonts w:ascii="Arial" w:cs="Arial" w:eastAsia="Arial" w:hAnsi="Arial"/>
          <w:sz w:val="15"/>
          <w:szCs w:val="15"/>
          <w:color w:val="000000"/>
        </w:rPr>
        <w:t>Committee</w:t>
      </w:r>
    </w:p>
    <w:p>
      <w:pPr>
        <w:spacing w:after="0" w:line="5" w:lineRule="exact"/>
        <w:rPr>
          <w:rFonts w:ascii="Times New Roman" w:cs="Times New Roman" w:eastAsia="Times New Roman" w:hAnsi="Times New Roman"/>
          <w:sz w:val="15"/>
          <w:szCs w:val="15"/>
          <w:color w:val="001544"/>
        </w:rPr>
      </w:pPr>
    </w:p>
    <w:p>
      <w:pPr>
        <w:ind w:left="440" w:hanging="307"/>
        <w:spacing w:after="0" w:line="299" w:lineRule="auto"/>
        <w:tabs>
          <w:tab w:leader="none" w:pos="439" w:val="left"/>
        </w:tabs>
        <w:numPr>
          <w:ilvl w:val="0"/>
          <w:numId w:val="45"/>
        </w:numPr>
        <w:rPr>
          <w:rFonts w:ascii="Times New Roman" w:cs="Times New Roman" w:eastAsia="Times New Roman" w:hAnsi="Times New Roman"/>
          <w:sz w:val="14"/>
          <w:szCs w:val="14"/>
          <w:color w:val="001544"/>
        </w:rPr>
      </w:pPr>
      <w:r>
        <w:rPr>
          <w:rFonts w:ascii="Arial" w:cs="Arial" w:eastAsia="Arial" w:hAnsi="Arial"/>
          <w:sz w:val="14"/>
          <w:szCs w:val="14"/>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1544"/>
        </w:rPr>
        <w:t>EXPERIENCE</w:t>
      </w:r>
    </w:p>
    <w:p>
      <w:pPr>
        <w:spacing w:after="0" w:line="79" w:lineRule="exact"/>
        <w:rPr>
          <w:sz w:val="20"/>
          <w:szCs w:val="20"/>
          <w:color w:val="auto"/>
        </w:rPr>
      </w:pPr>
    </w:p>
    <w:p>
      <w:pPr>
        <w:ind w:left="300" w:right="500" w:hanging="293"/>
        <w:spacing w:after="0" w:line="296" w:lineRule="auto"/>
        <w:tabs>
          <w:tab w:leader="none" w:pos="299" w:val="left"/>
        </w:tabs>
        <w:numPr>
          <w:ilvl w:val="0"/>
          <w:numId w:val="46"/>
        </w:numPr>
        <w:rPr>
          <w:rFonts w:ascii="Times New Roman" w:cs="Times New Roman" w:eastAsia="Times New Roman" w:hAnsi="Times New Roman"/>
          <w:sz w:val="15"/>
          <w:szCs w:val="15"/>
          <w:color w:val="001544"/>
        </w:rPr>
      </w:pPr>
      <w:r>
        <w:rPr>
          <w:rFonts w:ascii="Arial" w:cs="Arial" w:eastAsia="Arial" w:hAnsi="Arial"/>
          <w:sz w:val="15"/>
          <w:szCs w:val="15"/>
          <w:color w:val="auto"/>
        </w:rPr>
        <w:t>Founder and Chief Executive Officer of courageNpurpose, LLC since 2014</w:t>
      </w:r>
    </w:p>
    <w:p>
      <w:pPr>
        <w:ind w:left="300" w:right="100" w:hanging="293"/>
        <w:spacing w:after="0" w:line="252" w:lineRule="auto"/>
        <w:tabs>
          <w:tab w:leader="none" w:pos="299" w:val="left"/>
        </w:tabs>
        <w:numPr>
          <w:ilvl w:val="0"/>
          <w:numId w:val="46"/>
        </w:numPr>
        <w:rPr>
          <w:rFonts w:ascii="Times New Roman" w:cs="Times New Roman" w:eastAsia="Times New Roman" w:hAnsi="Times New Roman"/>
          <w:sz w:val="15"/>
          <w:szCs w:val="15"/>
          <w:color w:val="001544"/>
        </w:rPr>
      </w:pPr>
      <w:r>
        <w:rPr>
          <w:rFonts w:ascii="Arial" w:cs="Arial" w:eastAsia="Arial" w:hAnsi="Arial"/>
          <w:sz w:val="15"/>
          <w:szCs w:val="15"/>
          <w:color w:val="auto"/>
        </w:rPr>
        <w:t>Executive leadership positions at Verizon Communications, including leading Verizon’s global customer care organization for its largest enterprise customers from 2010 to 2012, serving as Senior Vice President of Global Engineering &amp; Planning from 2008 to 2010, and as Chief Procurement Officer from 2005 to 2008</w:t>
      </w:r>
    </w:p>
    <w:p>
      <w:pPr>
        <w:spacing w:after="0" w:line="33"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001544"/>
        </w:rPr>
        <w:t>QUALIFICATIONS, ATTRIBUTES AND SKILLS</w:t>
      </w:r>
    </w:p>
    <w:p>
      <w:pPr>
        <w:spacing w:after="0" w:line="79" w:lineRule="exact"/>
        <w:rPr>
          <w:sz w:val="20"/>
          <w:szCs w:val="20"/>
          <w:color w:val="auto"/>
        </w:rPr>
      </w:pPr>
    </w:p>
    <w:p>
      <w:pPr>
        <w:ind w:left="300" w:hanging="293"/>
        <w:spacing w:after="0" w:line="296" w:lineRule="auto"/>
        <w:tabs>
          <w:tab w:leader="none" w:pos="299" w:val="left"/>
        </w:tabs>
        <w:numPr>
          <w:ilvl w:val="0"/>
          <w:numId w:val="47"/>
        </w:numPr>
        <w:rPr>
          <w:rFonts w:ascii="Times New Roman" w:cs="Times New Roman" w:eastAsia="Times New Roman" w:hAnsi="Times New Roman"/>
          <w:sz w:val="15"/>
          <w:szCs w:val="15"/>
          <w:color w:val="001544"/>
        </w:rPr>
      </w:pPr>
      <w:r>
        <w:rPr>
          <w:rFonts w:ascii="Arial" w:cs="Arial" w:eastAsia="Arial" w:hAnsi="Arial"/>
          <w:sz w:val="15"/>
          <w:szCs w:val="15"/>
          <w:color w:val="auto"/>
        </w:rPr>
        <w:t>Substantial technical and operational experience in the telecommunications industry</w:t>
      </w:r>
    </w:p>
    <w:p>
      <w:pPr>
        <w:ind w:left="300" w:right="60" w:hanging="293"/>
        <w:spacing w:after="0" w:line="257" w:lineRule="auto"/>
        <w:tabs>
          <w:tab w:leader="none" w:pos="299" w:val="left"/>
        </w:tabs>
        <w:numPr>
          <w:ilvl w:val="0"/>
          <w:numId w:val="47"/>
        </w:numPr>
        <w:rPr>
          <w:rFonts w:ascii="Times New Roman" w:cs="Times New Roman" w:eastAsia="Times New Roman" w:hAnsi="Times New Roman"/>
          <w:sz w:val="15"/>
          <w:szCs w:val="15"/>
          <w:color w:val="001544"/>
        </w:rPr>
      </w:pPr>
      <w:r>
        <w:rPr>
          <w:rFonts w:ascii="Arial" w:cs="Arial" w:eastAsia="Arial" w:hAnsi="Arial"/>
          <w:sz w:val="15"/>
          <w:szCs w:val="15"/>
          <w:color w:val="auto"/>
        </w:rPr>
        <w:t>Brings valuable insight and guidance on corporate governance matters and complex business issues from experience in senior executive positions and service on public and advisory boards</w:t>
      </w:r>
    </w:p>
    <w:p>
      <w:pPr>
        <w:spacing w:after="0" w:line="31" w:lineRule="exact"/>
        <w:rPr>
          <w:sz w:val="20"/>
          <w:szCs w:val="20"/>
          <w:color w:val="auto"/>
        </w:rPr>
      </w:pPr>
    </w:p>
    <w:p>
      <w:pPr>
        <w:ind w:right="860"/>
        <w:spacing w:after="0" w:line="292" w:lineRule="auto"/>
        <w:rPr>
          <w:sz w:val="20"/>
          <w:szCs w:val="20"/>
          <w:color w:val="auto"/>
        </w:rPr>
      </w:pPr>
      <w:r>
        <w:rPr>
          <w:rFonts w:ascii="Arial" w:cs="Arial" w:eastAsia="Arial" w:hAnsi="Arial"/>
          <w:sz w:val="15"/>
          <w:szCs w:val="15"/>
          <w:b w:val="1"/>
          <w:bCs w:val="1"/>
          <w:color w:val="001544"/>
        </w:rPr>
        <w:t>OTHER PUBLIC COMPANY BOARD EXPERIENCE</w:t>
      </w:r>
    </w:p>
    <w:p>
      <w:pPr>
        <w:spacing w:after="0" w:line="8" w:lineRule="exact"/>
        <w:rPr>
          <w:sz w:val="20"/>
          <w:szCs w:val="20"/>
          <w:color w:val="auto"/>
        </w:rPr>
      </w:pPr>
    </w:p>
    <w:p>
      <w:pPr>
        <w:ind w:left="300" w:right="580" w:hanging="293"/>
        <w:spacing w:after="0" w:line="271" w:lineRule="auto"/>
        <w:tabs>
          <w:tab w:leader="none" w:pos="299" w:val="left"/>
        </w:tabs>
        <w:numPr>
          <w:ilvl w:val="0"/>
          <w:numId w:val="48"/>
        </w:numPr>
        <w:rPr>
          <w:rFonts w:ascii="Times New Roman" w:cs="Times New Roman" w:eastAsia="Times New Roman" w:hAnsi="Times New Roman"/>
          <w:sz w:val="15"/>
          <w:szCs w:val="15"/>
          <w:color w:val="001544"/>
        </w:rPr>
      </w:pPr>
      <w:r>
        <w:rPr>
          <w:rFonts w:ascii="Arial" w:cs="Arial" w:eastAsia="Arial" w:hAnsi="Arial"/>
          <w:sz w:val="15"/>
          <w:szCs w:val="15"/>
          <w:color w:val="auto"/>
        </w:rPr>
        <w:t>Windstream Holdings, Inc. (formerly NASDAQ:WINMQ) (February 2016 to September 2020)</w:t>
      </w:r>
    </w:p>
    <w:p>
      <w:pPr>
        <w:spacing w:after="0" w:line="20" w:lineRule="exact"/>
        <w:rPr>
          <w:sz w:val="20"/>
          <w:szCs w:val="20"/>
          <w:color w:val="auto"/>
        </w:rPr>
      </w:pPr>
      <w:r>
        <w:rPr>
          <w:sz w:val="20"/>
          <w:szCs w:val="20"/>
          <w:color w:val="auto"/>
        </w:rPr>
        <w:br w:type="column"/>
      </w:r>
    </w:p>
    <w:p>
      <w:pPr>
        <w:ind w:left="300" w:right="400" w:hanging="292"/>
        <w:spacing w:after="0" w:line="297" w:lineRule="auto"/>
        <w:tabs>
          <w:tab w:leader="none" w:pos="299" w:val="left"/>
        </w:tabs>
        <w:numPr>
          <w:ilvl w:val="0"/>
          <w:numId w:val="49"/>
        </w:numPr>
        <w:rPr>
          <w:rFonts w:ascii="Times New Roman" w:cs="Times New Roman" w:eastAsia="Times New Roman" w:hAnsi="Times New Roman"/>
          <w:sz w:val="15"/>
          <w:szCs w:val="15"/>
          <w:color w:val="001544"/>
        </w:rPr>
      </w:pPr>
      <w:r>
        <w:rPr>
          <w:rFonts w:ascii="Arial" w:cs="Arial" w:eastAsia="Arial" w:hAnsi="Arial"/>
          <w:sz w:val="15"/>
          <w:szCs w:val="15"/>
          <w:color w:val="auto"/>
        </w:rPr>
        <w:t>MRV Communications, Inc. (formerly NASDAQ:MRVC) (July 2014 to August 2017)</w:t>
      </w:r>
    </w:p>
    <w:p>
      <w:pPr>
        <w:spacing w:after="0" w:line="12" w:lineRule="exact"/>
        <w:rPr>
          <w:rFonts w:ascii="Times New Roman" w:cs="Times New Roman" w:eastAsia="Times New Roman" w:hAnsi="Times New Roman"/>
          <w:sz w:val="15"/>
          <w:szCs w:val="15"/>
          <w:color w:val="001544"/>
        </w:rPr>
      </w:pPr>
    </w:p>
    <w:p>
      <w:pPr>
        <w:ind w:left="300" w:right="740" w:hanging="292"/>
        <w:spacing w:after="0" w:line="296" w:lineRule="auto"/>
        <w:tabs>
          <w:tab w:leader="none" w:pos="299" w:val="left"/>
        </w:tabs>
        <w:numPr>
          <w:ilvl w:val="0"/>
          <w:numId w:val="49"/>
        </w:numPr>
        <w:rPr>
          <w:rFonts w:ascii="Times New Roman" w:cs="Times New Roman" w:eastAsia="Times New Roman" w:hAnsi="Times New Roman"/>
          <w:sz w:val="15"/>
          <w:szCs w:val="15"/>
          <w:color w:val="001544"/>
        </w:rPr>
      </w:pPr>
      <w:r>
        <w:rPr>
          <w:rFonts w:ascii="Arial" w:cs="Arial" w:eastAsia="Arial" w:hAnsi="Arial"/>
          <w:sz w:val="15"/>
          <w:szCs w:val="15"/>
          <w:color w:val="auto"/>
        </w:rPr>
        <w:t>Westell Technologies, Inc. (OTC WSTL) (September 2015 to September 2017)</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OTHER POSITIONS/RECOGNITIONS</w:t>
      </w:r>
    </w:p>
    <w:p>
      <w:pPr>
        <w:spacing w:after="0" w:line="66" w:lineRule="exact"/>
        <w:rPr>
          <w:sz w:val="20"/>
          <w:szCs w:val="20"/>
          <w:color w:val="auto"/>
        </w:rPr>
      </w:pPr>
    </w:p>
    <w:p>
      <w:pPr>
        <w:ind w:left="300" w:right="420" w:hanging="292"/>
        <w:spacing w:after="0" w:line="297" w:lineRule="auto"/>
        <w:tabs>
          <w:tab w:leader="none" w:pos="299" w:val="left"/>
        </w:tabs>
        <w:numPr>
          <w:ilvl w:val="0"/>
          <w:numId w:val="50"/>
        </w:numPr>
        <w:rPr>
          <w:rFonts w:ascii="Times New Roman" w:cs="Times New Roman" w:eastAsia="Times New Roman" w:hAnsi="Times New Roman"/>
          <w:sz w:val="15"/>
          <w:szCs w:val="15"/>
          <w:color w:val="001544"/>
        </w:rPr>
      </w:pPr>
      <w:r>
        <w:rPr>
          <w:rFonts w:ascii="Arial" w:cs="Arial" w:eastAsia="Arial" w:hAnsi="Arial"/>
          <w:sz w:val="15"/>
          <w:szCs w:val="15"/>
          <w:color w:val="auto"/>
        </w:rPr>
        <w:t>NACD Directorship Certified and Chair of the NACD NJ Chapter</w:t>
      </w:r>
    </w:p>
    <w:p>
      <w:pPr>
        <w:spacing w:after="0" w:line="12" w:lineRule="exact"/>
        <w:rPr>
          <w:rFonts w:ascii="Times New Roman" w:cs="Times New Roman" w:eastAsia="Times New Roman" w:hAnsi="Times New Roman"/>
          <w:sz w:val="15"/>
          <w:szCs w:val="15"/>
          <w:color w:val="001544"/>
        </w:rPr>
      </w:pPr>
    </w:p>
    <w:p>
      <w:pPr>
        <w:ind w:left="300" w:right="300" w:hanging="292"/>
        <w:spacing w:after="0" w:line="296" w:lineRule="auto"/>
        <w:tabs>
          <w:tab w:leader="none" w:pos="299" w:val="left"/>
        </w:tabs>
        <w:numPr>
          <w:ilvl w:val="0"/>
          <w:numId w:val="50"/>
        </w:numPr>
        <w:rPr>
          <w:rFonts w:ascii="Times New Roman" w:cs="Times New Roman" w:eastAsia="Times New Roman" w:hAnsi="Times New Roman"/>
          <w:sz w:val="15"/>
          <w:szCs w:val="15"/>
          <w:color w:val="001544"/>
        </w:rPr>
      </w:pPr>
      <w:r>
        <w:rPr>
          <w:rFonts w:ascii="Arial" w:cs="Arial" w:eastAsia="Arial" w:hAnsi="Arial"/>
          <w:sz w:val="15"/>
          <w:szCs w:val="15"/>
          <w:color w:val="auto"/>
        </w:rPr>
        <w:t>CEO of Center for Higher Ambition Leadership (June 2021 through May 2023)</w:t>
      </w:r>
    </w:p>
    <w:p>
      <w:pPr>
        <w:ind w:left="300" w:right="620" w:hanging="292"/>
        <w:spacing w:after="0" w:line="296" w:lineRule="auto"/>
        <w:tabs>
          <w:tab w:leader="none" w:pos="299" w:val="left"/>
        </w:tabs>
        <w:numPr>
          <w:ilvl w:val="0"/>
          <w:numId w:val="50"/>
        </w:numPr>
        <w:rPr>
          <w:rFonts w:ascii="Times New Roman" w:cs="Times New Roman" w:eastAsia="Times New Roman" w:hAnsi="Times New Roman"/>
          <w:sz w:val="15"/>
          <w:szCs w:val="15"/>
          <w:color w:val="001544"/>
        </w:rPr>
      </w:pPr>
      <w:r>
        <w:rPr>
          <w:rFonts w:ascii="Arial" w:cs="Arial" w:eastAsia="Arial" w:hAnsi="Arial"/>
          <w:sz w:val="15"/>
          <w:szCs w:val="15"/>
          <w:color w:val="auto"/>
        </w:rPr>
        <w:t>Chair of Olin College of Engineering since October 2023</w:t>
      </w:r>
    </w:p>
    <w:p>
      <w:pPr>
        <w:ind w:left="300" w:right="140" w:hanging="292"/>
        <w:spacing w:after="0" w:line="297" w:lineRule="auto"/>
        <w:tabs>
          <w:tab w:leader="none" w:pos="299" w:val="left"/>
        </w:tabs>
        <w:numPr>
          <w:ilvl w:val="0"/>
          <w:numId w:val="50"/>
        </w:numPr>
        <w:rPr>
          <w:rFonts w:ascii="Times New Roman" w:cs="Times New Roman" w:eastAsia="Times New Roman" w:hAnsi="Times New Roman"/>
          <w:sz w:val="15"/>
          <w:szCs w:val="15"/>
          <w:color w:val="001544"/>
        </w:rPr>
      </w:pPr>
      <w:r>
        <w:rPr>
          <w:rFonts w:ascii="Arial" w:cs="Arial" w:eastAsia="Arial" w:hAnsi="Arial"/>
          <w:sz w:val="15"/>
          <w:szCs w:val="15"/>
          <w:color w:val="auto"/>
        </w:rPr>
        <w:t>2020 National Association of Corporate Directors (NACD) Directorship 100 list honoree</w:t>
      </w:r>
    </w:p>
    <w:p>
      <w:pPr>
        <w:spacing w:after="0" w:line="12" w:lineRule="exact"/>
        <w:rPr>
          <w:rFonts w:ascii="Times New Roman" w:cs="Times New Roman" w:eastAsia="Times New Roman" w:hAnsi="Times New Roman"/>
          <w:sz w:val="15"/>
          <w:szCs w:val="15"/>
          <w:color w:val="001544"/>
        </w:rPr>
      </w:pPr>
    </w:p>
    <w:p>
      <w:pPr>
        <w:ind w:left="300" w:right="60" w:hanging="292"/>
        <w:spacing w:after="0" w:line="296" w:lineRule="auto"/>
        <w:tabs>
          <w:tab w:leader="none" w:pos="299" w:val="left"/>
        </w:tabs>
        <w:numPr>
          <w:ilvl w:val="0"/>
          <w:numId w:val="50"/>
        </w:numPr>
        <w:rPr>
          <w:rFonts w:ascii="Times New Roman" w:cs="Times New Roman" w:eastAsia="Times New Roman" w:hAnsi="Times New Roman"/>
          <w:sz w:val="15"/>
          <w:szCs w:val="15"/>
          <w:color w:val="001544"/>
        </w:rPr>
      </w:pPr>
      <w:r>
        <w:rPr>
          <w:rFonts w:ascii="Arial" w:cs="Arial" w:eastAsia="Arial" w:hAnsi="Arial"/>
          <w:sz w:val="15"/>
          <w:szCs w:val="15"/>
          <w:color w:val="auto"/>
        </w:rPr>
        <w:t>Independent board member of Irth Solutions since March 2022</w:t>
      </w:r>
    </w:p>
    <w:p>
      <w:pPr>
        <w:ind w:left="300" w:right="240" w:hanging="292"/>
        <w:spacing w:after="0" w:line="296" w:lineRule="auto"/>
        <w:tabs>
          <w:tab w:leader="none" w:pos="299" w:val="left"/>
        </w:tabs>
        <w:numPr>
          <w:ilvl w:val="0"/>
          <w:numId w:val="50"/>
        </w:numPr>
        <w:rPr>
          <w:rFonts w:ascii="Times New Roman" w:cs="Times New Roman" w:eastAsia="Times New Roman" w:hAnsi="Times New Roman"/>
          <w:sz w:val="15"/>
          <w:szCs w:val="15"/>
          <w:color w:val="001544"/>
        </w:rPr>
      </w:pPr>
      <w:r>
        <w:rPr>
          <w:rFonts w:ascii="Arial" w:cs="Arial" w:eastAsia="Arial" w:hAnsi="Arial"/>
          <w:sz w:val="15"/>
          <w:szCs w:val="15"/>
          <w:color w:val="auto"/>
        </w:rPr>
        <w:t>Mentor/Coach at ExCo Leadership Group since December 2023</w:t>
      </w:r>
    </w:p>
    <w:p>
      <w:pPr>
        <w:ind w:left="300" w:hanging="292"/>
        <w:spacing w:after="0"/>
        <w:tabs>
          <w:tab w:leader="none" w:pos="300" w:val="left"/>
        </w:tabs>
        <w:numPr>
          <w:ilvl w:val="0"/>
          <w:numId w:val="50"/>
        </w:numPr>
        <w:rPr>
          <w:rFonts w:ascii="Times New Roman" w:cs="Times New Roman" w:eastAsia="Times New Roman" w:hAnsi="Times New Roman"/>
          <w:sz w:val="15"/>
          <w:szCs w:val="15"/>
          <w:color w:val="001544"/>
        </w:rPr>
      </w:pPr>
      <w:r>
        <w:rPr>
          <w:rFonts w:ascii="Arial" w:cs="Arial" w:eastAsia="Arial" w:hAnsi="Arial"/>
          <w:sz w:val="15"/>
          <w:szCs w:val="15"/>
          <w:color w:val="auto"/>
        </w:rPr>
        <w:t>Vice Chair of the Board, Women in America</w:t>
      </w:r>
    </w:p>
    <w:p>
      <w:pPr>
        <w:spacing w:after="0" w:line="90" w:lineRule="exact"/>
        <w:rPr>
          <w:rFonts w:ascii="Times New Roman" w:cs="Times New Roman" w:eastAsia="Times New Roman" w:hAnsi="Times New Roman"/>
          <w:sz w:val="15"/>
          <w:szCs w:val="15"/>
          <w:color w:val="001544"/>
        </w:rPr>
      </w:pPr>
    </w:p>
    <w:p>
      <w:pPr>
        <w:spacing w:after="0"/>
        <w:rPr>
          <w:rFonts w:ascii="Times New Roman" w:cs="Times New Roman" w:eastAsia="Times New Roman" w:hAnsi="Times New Roman"/>
          <w:sz w:val="15"/>
          <w:szCs w:val="15"/>
          <w:color w:val="001544"/>
        </w:rPr>
      </w:pPr>
      <w:r>
        <w:rPr>
          <w:rFonts w:ascii="Arial" w:cs="Arial" w:eastAsia="Arial" w:hAnsi="Arial"/>
          <w:sz w:val="15"/>
          <w:szCs w:val="15"/>
          <w:b w:val="1"/>
          <w:bCs w:val="1"/>
          <w:color w:val="001544"/>
        </w:rPr>
        <w:t>EDUCATION</w:t>
      </w:r>
    </w:p>
    <w:p>
      <w:pPr>
        <w:spacing w:after="0" w:line="66" w:lineRule="exact"/>
        <w:rPr>
          <w:rFonts w:ascii="Times New Roman" w:cs="Times New Roman" w:eastAsia="Times New Roman" w:hAnsi="Times New Roman"/>
          <w:sz w:val="15"/>
          <w:szCs w:val="15"/>
          <w:color w:val="001544"/>
        </w:rPr>
      </w:pPr>
    </w:p>
    <w:p>
      <w:pPr>
        <w:ind w:left="300" w:hanging="292"/>
        <w:spacing w:after="0"/>
        <w:tabs>
          <w:tab w:leader="none" w:pos="300" w:val="left"/>
        </w:tabs>
        <w:numPr>
          <w:ilvl w:val="0"/>
          <w:numId w:val="50"/>
        </w:numPr>
        <w:rPr>
          <w:rFonts w:ascii="Times New Roman" w:cs="Times New Roman" w:eastAsia="Times New Roman" w:hAnsi="Times New Roman"/>
          <w:sz w:val="15"/>
          <w:szCs w:val="15"/>
          <w:color w:val="001544"/>
        </w:rPr>
      </w:pPr>
      <w:r>
        <w:rPr>
          <w:rFonts w:ascii="Arial" w:cs="Arial" w:eastAsia="Arial" w:hAnsi="Arial"/>
          <w:sz w:val="15"/>
          <w:szCs w:val="15"/>
          <w:color w:val="auto"/>
        </w:rPr>
        <w:t>Bachelor of Science, Tufts University</w:t>
      </w:r>
    </w:p>
    <w:p>
      <w:pPr>
        <w:spacing w:after="0" w:line="78" w:lineRule="exact"/>
        <w:rPr>
          <w:rFonts w:ascii="Times New Roman" w:cs="Times New Roman" w:eastAsia="Times New Roman" w:hAnsi="Times New Roman"/>
          <w:sz w:val="15"/>
          <w:szCs w:val="15"/>
          <w:color w:val="001544"/>
        </w:rPr>
      </w:pPr>
    </w:p>
    <w:p>
      <w:pPr>
        <w:ind w:left="300" w:right="540" w:hanging="292"/>
        <w:spacing w:after="0" w:line="297" w:lineRule="auto"/>
        <w:tabs>
          <w:tab w:leader="none" w:pos="299" w:val="left"/>
        </w:tabs>
        <w:numPr>
          <w:ilvl w:val="0"/>
          <w:numId w:val="50"/>
        </w:numPr>
        <w:rPr>
          <w:rFonts w:ascii="Times New Roman" w:cs="Times New Roman" w:eastAsia="Times New Roman" w:hAnsi="Times New Roman"/>
          <w:sz w:val="15"/>
          <w:szCs w:val="15"/>
          <w:color w:val="001544"/>
        </w:rPr>
      </w:pPr>
      <w:r>
        <w:rPr>
          <w:rFonts w:ascii="Arial" w:cs="Arial" w:eastAsia="Arial" w:hAnsi="Arial"/>
          <w:sz w:val="15"/>
          <w:szCs w:val="15"/>
          <w:color w:val="auto"/>
        </w:rPr>
        <w:t>Master of Business Administration, Babson College</w:t>
      </w:r>
    </w:p>
    <w:p>
      <w:pPr>
        <w:spacing w:after="0" w:line="200" w:lineRule="exact"/>
        <w:rPr>
          <w:sz w:val="20"/>
          <w:szCs w:val="20"/>
          <w:color w:val="auto"/>
        </w:rPr>
      </w:pPr>
    </w:p>
    <w:p>
      <w:pPr>
        <w:sectPr>
          <w:pgSz w:w="11900" w:h="16838" w:orient="portrait"/>
          <w:cols w:equalWidth="0" w:num="3">
            <w:col w:w="1960" w:space="280"/>
            <w:col w:w="3400" w:space="120"/>
            <w:col w:w="3720"/>
          </w:cols>
          <w:pgMar w:left="1200" w:top="487" w:right="121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60090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153670</wp:posOffset>
            </wp:positionV>
            <wp:extent cx="6009005" cy="3035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09005" cy="303530"/>
                    </a:xfrm>
                    <a:prstGeom prst="rect">
                      <a:avLst/>
                    </a:prstGeom>
                    <a:noFill/>
                  </pic:spPr>
                </pic:pic>
              </a:graphicData>
            </a:graphic>
          </wp:anchor>
        </w:drawing>
      </w:r>
    </w:p>
    <w:p>
      <w:pPr>
        <w:sectPr>
          <w:pgSz w:w="11900" w:h="16838" w:orient="portrait"/>
          <w:cols w:equalWidth="0" w:num="1">
            <w:col w:w="9380"/>
          </w:cols>
          <w:pgMar w:left="1200" w:top="487" w:right="1319" w:bottom="1440" w:gutter="0" w:footer="0" w:header="0"/>
        </w:sectPr>
      </w:pPr>
    </w:p>
    <w:p>
      <w:pPr>
        <w:spacing w:after="0" w:line="320"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FFFFFF"/>
        </w:rPr>
        <w:t>MARC C. GANZI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85725</wp:posOffset>
            </wp:positionV>
            <wp:extent cx="1380490" cy="4500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80490" cy="45002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FFFFFF"/>
        </w:rPr>
        <w:t>Director since 2020</w:t>
      </w:r>
    </w:p>
    <w:p>
      <w:pPr>
        <w:spacing w:after="0" w:line="223" w:lineRule="exact"/>
        <w:rPr>
          <w:sz w:val="20"/>
          <w:szCs w:val="20"/>
          <w:color w:val="auto"/>
        </w:rPr>
      </w:pPr>
    </w:p>
    <w:p>
      <w:pPr>
        <w:sectPr>
          <w:pgSz w:w="11900" w:h="16838" w:orient="portrait"/>
          <w:cols w:equalWidth="0" w:num="2">
            <w:col w:w="7200" w:space="720"/>
            <w:col w:w="1460"/>
          </w:cols>
          <w:pgMar w:left="1200" w:top="48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40"/>
        <w:spacing w:after="0" w:line="292" w:lineRule="auto"/>
        <w:rPr>
          <w:sz w:val="20"/>
          <w:szCs w:val="20"/>
          <w:color w:val="auto"/>
        </w:rPr>
      </w:pPr>
      <w:r>
        <w:rPr>
          <w:rFonts w:ascii="Arial" w:cs="Arial" w:eastAsia="Arial" w:hAnsi="Arial"/>
          <w:sz w:val="15"/>
          <w:szCs w:val="15"/>
          <w:b w:val="1"/>
          <w:bCs w:val="1"/>
          <w:color w:val="auto"/>
        </w:rPr>
        <w:t>Chief Executive Officer of DigitalBridge</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 xml:space="preserve">AGE </w:t>
      </w:r>
      <w:r>
        <w:rPr>
          <w:rFonts w:ascii="Arial" w:cs="Arial" w:eastAsia="Arial" w:hAnsi="Arial"/>
          <w:sz w:val="15"/>
          <w:szCs w:val="15"/>
          <w:color w:val="000000"/>
        </w:rPr>
        <w:t>53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1544"/>
        </w:rPr>
        <w:t>EXPERIENCE</w:t>
      </w:r>
    </w:p>
    <w:p>
      <w:pPr>
        <w:spacing w:after="0" w:line="79" w:lineRule="exact"/>
        <w:rPr>
          <w:sz w:val="20"/>
          <w:szCs w:val="20"/>
          <w:color w:val="auto"/>
        </w:rPr>
      </w:pPr>
    </w:p>
    <w:p>
      <w:pPr>
        <w:ind w:left="300" w:right="140" w:hanging="293"/>
        <w:spacing w:after="0" w:line="296" w:lineRule="auto"/>
        <w:tabs>
          <w:tab w:leader="none" w:pos="299" w:val="left"/>
        </w:tabs>
        <w:numPr>
          <w:ilvl w:val="0"/>
          <w:numId w:val="51"/>
        </w:numPr>
        <w:rPr>
          <w:rFonts w:ascii="Times New Roman" w:cs="Times New Roman" w:eastAsia="Times New Roman" w:hAnsi="Times New Roman"/>
          <w:sz w:val="15"/>
          <w:szCs w:val="15"/>
          <w:color w:val="001544"/>
        </w:rPr>
      </w:pPr>
      <w:r>
        <w:rPr>
          <w:rFonts w:ascii="Arial" w:cs="Arial" w:eastAsia="Arial" w:hAnsi="Arial"/>
          <w:sz w:val="15"/>
          <w:szCs w:val="15"/>
          <w:color w:val="auto"/>
        </w:rPr>
        <w:t>Chief Executive Officer of DigitalBridge since July 2020</w:t>
      </w:r>
    </w:p>
    <w:p>
      <w:pPr>
        <w:ind w:left="300" w:hanging="293"/>
        <w:spacing w:after="0" w:line="255" w:lineRule="auto"/>
        <w:tabs>
          <w:tab w:leader="none" w:pos="299" w:val="left"/>
        </w:tabs>
        <w:numPr>
          <w:ilvl w:val="0"/>
          <w:numId w:val="51"/>
        </w:numPr>
        <w:rPr>
          <w:rFonts w:ascii="Times New Roman" w:cs="Times New Roman" w:eastAsia="Times New Roman" w:hAnsi="Times New Roman"/>
          <w:sz w:val="15"/>
          <w:szCs w:val="15"/>
          <w:color w:val="001544"/>
        </w:rPr>
      </w:pPr>
      <w:r>
        <w:rPr>
          <w:rFonts w:ascii="Arial" w:cs="Arial" w:eastAsia="Arial" w:hAnsi="Arial"/>
          <w:sz w:val="15"/>
          <w:szCs w:val="15"/>
          <w:color w:val="auto"/>
        </w:rPr>
        <w:t>Founded and served as Chief Executive Officer of Digital Bridge Holdings (“DBH”), from 2013 until its acquisition by DigitalBridge in July 2019; joined DigitalBridge as Managing Director and Chief Executive Officer of the digital realty platform</w:t>
      </w:r>
    </w:p>
    <w:p>
      <w:pPr>
        <w:spacing w:after="0" w:line="30" w:lineRule="exact"/>
        <w:rPr>
          <w:rFonts w:ascii="Times New Roman" w:cs="Times New Roman" w:eastAsia="Times New Roman" w:hAnsi="Times New Roman"/>
          <w:sz w:val="15"/>
          <w:szCs w:val="15"/>
          <w:color w:val="001544"/>
        </w:rPr>
      </w:pPr>
    </w:p>
    <w:p>
      <w:pPr>
        <w:ind w:left="300" w:right="80" w:hanging="293"/>
        <w:spacing w:after="0" w:line="257" w:lineRule="auto"/>
        <w:tabs>
          <w:tab w:leader="none" w:pos="299" w:val="left"/>
        </w:tabs>
        <w:numPr>
          <w:ilvl w:val="0"/>
          <w:numId w:val="51"/>
        </w:numPr>
        <w:rPr>
          <w:rFonts w:ascii="Times New Roman" w:cs="Times New Roman" w:eastAsia="Times New Roman" w:hAnsi="Times New Roman"/>
          <w:sz w:val="15"/>
          <w:szCs w:val="15"/>
          <w:color w:val="001544"/>
        </w:rPr>
      </w:pPr>
      <w:r>
        <w:rPr>
          <w:rFonts w:ascii="Arial" w:cs="Arial" w:eastAsia="Arial" w:hAnsi="Arial"/>
          <w:sz w:val="15"/>
          <w:szCs w:val="15"/>
          <w:color w:val="auto"/>
        </w:rPr>
        <w:t>Founded Global Tower Partners (“GTP”), which grew to become one of the largest privately-owned tower companies in the U.S. under his leadership before being acquired by American Tower Corporation in 2013</w:t>
      </w:r>
    </w:p>
    <w:p>
      <w:pPr>
        <w:spacing w:after="0" w:line="43" w:lineRule="exact"/>
        <w:rPr>
          <w:rFonts w:ascii="Times New Roman" w:cs="Times New Roman" w:eastAsia="Times New Roman" w:hAnsi="Times New Roman"/>
          <w:sz w:val="15"/>
          <w:szCs w:val="15"/>
          <w:color w:val="001544"/>
        </w:rPr>
      </w:pPr>
    </w:p>
    <w:p>
      <w:pPr>
        <w:ind w:left="300" w:right="80" w:hanging="293"/>
        <w:spacing w:after="0" w:line="262" w:lineRule="auto"/>
        <w:tabs>
          <w:tab w:leader="none" w:pos="299" w:val="left"/>
        </w:tabs>
        <w:numPr>
          <w:ilvl w:val="0"/>
          <w:numId w:val="51"/>
        </w:numPr>
        <w:rPr>
          <w:rFonts w:ascii="Times New Roman" w:cs="Times New Roman" w:eastAsia="Times New Roman" w:hAnsi="Times New Roman"/>
          <w:sz w:val="15"/>
          <w:szCs w:val="15"/>
          <w:color w:val="001544"/>
        </w:rPr>
      </w:pPr>
      <w:r>
        <w:rPr>
          <w:rFonts w:ascii="Arial" w:cs="Arial" w:eastAsia="Arial" w:hAnsi="Arial"/>
          <w:sz w:val="15"/>
          <w:szCs w:val="15"/>
          <w:color w:val="auto"/>
        </w:rPr>
        <w:t>Consulting partner for DB Capital Partners from 2000 to 2002 where he oversaw the institution’s investments in the Latin American tower sector</w:t>
      </w:r>
    </w:p>
    <w:p>
      <w:pPr>
        <w:spacing w:after="0" w:line="25" w:lineRule="exact"/>
        <w:rPr>
          <w:rFonts w:ascii="Times New Roman" w:cs="Times New Roman" w:eastAsia="Times New Roman" w:hAnsi="Times New Roman"/>
          <w:sz w:val="15"/>
          <w:szCs w:val="15"/>
          <w:color w:val="001544"/>
        </w:rPr>
      </w:pPr>
    </w:p>
    <w:p>
      <w:pPr>
        <w:ind w:left="300" w:right="120" w:hanging="293"/>
        <w:spacing w:after="0" w:line="252" w:lineRule="auto"/>
        <w:tabs>
          <w:tab w:leader="none" w:pos="299" w:val="left"/>
        </w:tabs>
        <w:numPr>
          <w:ilvl w:val="0"/>
          <w:numId w:val="51"/>
        </w:numPr>
        <w:rPr>
          <w:rFonts w:ascii="Times New Roman" w:cs="Times New Roman" w:eastAsia="Times New Roman" w:hAnsi="Times New Roman"/>
          <w:sz w:val="15"/>
          <w:szCs w:val="15"/>
          <w:color w:val="001544"/>
        </w:rPr>
      </w:pPr>
      <w:r>
        <w:rPr>
          <w:rFonts w:ascii="Arial" w:cs="Arial" w:eastAsia="Arial" w:hAnsi="Arial"/>
          <w:sz w:val="15"/>
          <w:szCs w:val="15"/>
          <w:color w:val="auto"/>
        </w:rPr>
        <w:t>Co-founded and served as President of Apex Site Management, one of the largest third-party managers of wireless and wireline communication sites in the United States. In 2000, Apex merged with SpectraSite Communications to create one of the largest telecommunications site portfolios in the United States at the time</w:t>
      </w:r>
    </w:p>
    <w:p>
      <w:pPr>
        <w:spacing w:after="0" w:line="33" w:lineRule="exact"/>
        <w:rPr>
          <w:sz w:val="20"/>
          <w:szCs w:val="20"/>
          <w:color w:val="auto"/>
        </w:rPr>
      </w:pPr>
    </w:p>
    <w:p>
      <w:pPr>
        <w:jc w:val="center"/>
        <w:ind w:right="180"/>
        <w:spacing w:after="0"/>
        <w:rPr>
          <w:sz w:val="20"/>
          <w:szCs w:val="20"/>
          <w:color w:val="auto"/>
        </w:rPr>
      </w:pPr>
      <w:r>
        <w:rPr>
          <w:rFonts w:ascii="Arial" w:cs="Arial" w:eastAsia="Arial" w:hAnsi="Arial"/>
          <w:sz w:val="15"/>
          <w:szCs w:val="15"/>
          <w:b w:val="1"/>
          <w:bCs w:val="1"/>
          <w:color w:val="001544"/>
        </w:rPr>
        <w:t>QUALIFICATIONS, ATTRIBUTES AND SKILLS</w:t>
      </w:r>
    </w:p>
    <w:p>
      <w:pPr>
        <w:spacing w:after="0" w:line="79" w:lineRule="exact"/>
        <w:rPr>
          <w:sz w:val="20"/>
          <w:szCs w:val="20"/>
          <w:color w:val="auto"/>
        </w:rPr>
      </w:pPr>
    </w:p>
    <w:p>
      <w:pPr>
        <w:ind w:left="300" w:right="100" w:hanging="293"/>
        <w:spacing w:after="0" w:line="255" w:lineRule="auto"/>
        <w:tabs>
          <w:tab w:leader="none" w:pos="299" w:val="left"/>
        </w:tabs>
        <w:numPr>
          <w:ilvl w:val="0"/>
          <w:numId w:val="52"/>
        </w:numPr>
        <w:rPr>
          <w:rFonts w:ascii="Times New Roman" w:cs="Times New Roman" w:eastAsia="Times New Roman" w:hAnsi="Times New Roman"/>
          <w:sz w:val="15"/>
          <w:szCs w:val="15"/>
          <w:color w:val="001544"/>
        </w:rPr>
      </w:pPr>
      <w:r>
        <w:rPr>
          <w:rFonts w:ascii="Arial" w:cs="Arial" w:eastAsia="Arial" w:hAnsi="Arial"/>
          <w:sz w:val="15"/>
          <w:szCs w:val="15"/>
          <w:color w:val="auto"/>
        </w:rPr>
        <w:t>Leading visionary and entrepreneur, with decades of investment experience in the digital infrastructure and telecommunications market, has led and overseen the Company’s digital transformation as Chief Executive Officer</w:t>
      </w:r>
    </w:p>
    <w:p>
      <w:pPr>
        <w:spacing w:after="0" w:line="30" w:lineRule="exact"/>
        <w:rPr>
          <w:rFonts w:ascii="Times New Roman" w:cs="Times New Roman" w:eastAsia="Times New Roman" w:hAnsi="Times New Roman"/>
          <w:sz w:val="15"/>
          <w:szCs w:val="15"/>
          <w:color w:val="001544"/>
        </w:rPr>
      </w:pPr>
    </w:p>
    <w:p>
      <w:pPr>
        <w:ind w:left="300" w:right="40" w:hanging="293"/>
        <w:spacing w:after="0" w:line="271" w:lineRule="auto"/>
        <w:tabs>
          <w:tab w:leader="none" w:pos="299" w:val="left"/>
        </w:tabs>
        <w:numPr>
          <w:ilvl w:val="0"/>
          <w:numId w:val="52"/>
        </w:numPr>
        <w:rPr>
          <w:rFonts w:ascii="Times New Roman" w:cs="Times New Roman" w:eastAsia="Times New Roman" w:hAnsi="Times New Roman"/>
          <w:sz w:val="15"/>
          <w:szCs w:val="15"/>
          <w:color w:val="001544"/>
        </w:rPr>
      </w:pPr>
      <w:r>
        <w:rPr>
          <w:rFonts w:ascii="Arial" w:cs="Arial" w:eastAsia="Arial" w:hAnsi="Arial"/>
          <w:sz w:val="15"/>
          <w:szCs w:val="15"/>
          <w:color w:val="auto"/>
        </w:rPr>
        <w:t>Extensive experience as a founder and Chief Executive Officer of several digital companies, including DBH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1544"/>
        </w:rPr>
        <w:t>OTHER POSITIONS/RECOGNITIONS</w:t>
      </w:r>
    </w:p>
    <w:p>
      <w:pPr>
        <w:spacing w:after="0" w:line="79" w:lineRule="exact"/>
        <w:rPr>
          <w:sz w:val="20"/>
          <w:szCs w:val="20"/>
          <w:color w:val="auto"/>
        </w:rPr>
      </w:pPr>
    </w:p>
    <w:p>
      <w:pPr>
        <w:ind w:left="300" w:right="20" w:hanging="292"/>
        <w:spacing w:after="0" w:line="262" w:lineRule="auto"/>
        <w:tabs>
          <w:tab w:leader="none" w:pos="299" w:val="left"/>
        </w:tabs>
        <w:numPr>
          <w:ilvl w:val="0"/>
          <w:numId w:val="53"/>
        </w:numPr>
        <w:rPr>
          <w:rFonts w:ascii="Times New Roman" w:cs="Times New Roman" w:eastAsia="Times New Roman" w:hAnsi="Times New Roman"/>
          <w:sz w:val="15"/>
          <w:szCs w:val="15"/>
          <w:color w:val="001544"/>
        </w:rPr>
      </w:pPr>
      <w:r>
        <w:rPr>
          <w:rFonts w:ascii="Arial" w:cs="Arial" w:eastAsia="Arial" w:hAnsi="Arial"/>
          <w:sz w:val="15"/>
          <w:szCs w:val="15"/>
          <w:color w:val="auto"/>
        </w:rPr>
        <w:t>Member of the boards (or equivalent governing body) of Andean Telecom Partners, ExteNet Systems, Vantage Data Centers (North America), Vertical Bridge, GD Towers and Zayo Group</w:t>
      </w:r>
    </w:p>
    <w:p>
      <w:pPr>
        <w:spacing w:after="0" w:line="25" w:lineRule="exact"/>
        <w:rPr>
          <w:rFonts w:ascii="Times New Roman" w:cs="Times New Roman" w:eastAsia="Times New Roman" w:hAnsi="Times New Roman"/>
          <w:sz w:val="15"/>
          <w:szCs w:val="15"/>
          <w:color w:val="001544"/>
        </w:rPr>
      </w:pPr>
    </w:p>
    <w:p>
      <w:pPr>
        <w:ind w:left="300" w:right="160" w:hanging="292"/>
        <w:spacing w:after="0" w:line="271" w:lineRule="auto"/>
        <w:tabs>
          <w:tab w:leader="none" w:pos="299" w:val="left"/>
        </w:tabs>
        <w:numPr>
          <w:ilvl w:val="0"/>
          <w:numId w:val="53"/>
        </w:numPr>
        <w:rPr>
          <w:rFonts w:ascii="Times New Roman" w:cs="Times New Roman" w:eastAsia="Times New Roman" w:hAnsi="Times New Roman"/>
          <w:sz w:val="15"/>
          <w:szCs w:val="15"/>
          <w:color w:val="001544"/>
        </w:rPr>
      </w:pPr>
      <w:r>
        <w:rPr>
          <w:rFonts w:ascii="Arial" w:cs="Arial" w:eastAsia="Arial" w:hAnsi="Arial"/>
          <w:sz w:val="15"/>
          <w:szCs w:val="15"/>
          <w:color w:val="auto"/>
        </w:rPr>
        <w:t>Assistant Commercial Attaché in Madrid for the U.S. Department of Commerce’s Foreign Commercial Service Department in 1990</w:t>
      </w:r>
    </w:p>
    <w:p>
      <w:pPr>
        <w:spacing w:after="0" w:line="18" w:lineRule="exact"/>
        <w:rPr>
          <w:rFonts w:ascii="Times New Roman" w:cs="Times New Roman" w:eastAsia="Times New Roman" w:hAnsi="Times New Roman"/>
          <w:sz w:val="15"/>
          <w:szCs w:val="15"/>
          <w:color w:val="001544"/>
        </w:rPr>
      </w:pPr>
    </w:p>
    <w:p>
      <w:pPr>
        <w:ind w:left="300" w:right="80" w:hanging="292"/>
        <w:spacing w:after="0" w:line="262" w:lineRule="auto"/>
        <w:tabs>
          <w:tab w:leader="none" w:pos="299" w:val="left"/>
        </w:tabs>
        <w:numPr>
          <w:ilvl w:val="0"/>
          <w:numId w:val="53"/>
        </w:numPr>
        <w:rPr>
          <w:rFonts w:ascii="Times New Roman" w:cs="Times New Roman" w:eastAsia="Times New Roman" w:hAnsi="Times New Roman"/>
          <w:sz w:val="15"/>
          <w:szCs w:val="15"/>
          <w:color w:val="001544"/>
        </w:rPr>
      </w:pPr>
      <w:r>
        <w:rPr>
          <w:rFonts w:ascii="Arial" w:cs="Arial" w:eastAsia="Arial" w:hAnsi="Arial"/>
          <w:sz w:val="15"/>
          <w:szCs w:val="15"/>
          <w:color w:val="auto"/>
        </w:rPr>
        <w:t>Presidential Intern in the White House for the George H.W. Bush administration with the Office of Special Activities and Initiatives for the Honorable Stephen M. Studdert in 1989</w:t>
      </w:r>
    </w:p>
    <w:p>
      <w:pPr>
        <w:spacing w:after="0" w:line="37" w:lineRule="exact"/>
        <w:rPr>
          <w:rFonts w:ascii="Times New Roman" w:cs="Times New Roman" w:eastAsia="Times New Roman" w:hAnsi="Times New Roman"/>
          <w:sz w:val="15"/>
          <w:szCs w:val="15"/>
          <w:color w:val="001544"/>
        </w:rPr>
      </w:pPr>
    </w:p>
    <w:p>
      <w:pPr>
        <w:ind w:left="300" w:right="280" w:hanging="292"/>
        <w:spacing w:after="0" w:line="271" w:lineRule="auto"/>
        <w:tabs>
          <w:tab w:leader="none" w:pos="299" w:val="left"/>
        </w:tabs>
        <w:numPr>
          <w:ilvl w:val="0"/>
          <w:numId w:val="53"/>
        </w:numPr>
        <w:rPr>
          <w:rFonts w:ascii="Times New Roman" w:cs="Times New Roman" w:eastAsia="Times New Roman" w:hAnsi="Times New Roman"/>
          <w:sz w:val="15"/>
          <w:szCs w:val="15"/>
          <w:color w:val="001544"/>
        </w:rPr>
      </w:pPr>
      <w:r>
        <w:rPr>
          <w:rFonts w:ascii="Arial" w:cs="Arial" w:eastAsia="Arial" w:hAnsi="Arial"/>
          <w:sz w:val="15"/>
          <w:szCs w:val="15"/>
          <w:color w:val="auto"/>
        </w:rPr>
        <w:t>Board Member of the Wireless Infrastructure Association from 2008 to 2017 and served as Chairman from 2009 to 2011</w:t>
      </w:r>
    </w:p>
    <w:p>
      <w:pPr>
        <w:spacing w:after="0" w:line="18" w:lineRule="exact"/>
        <w:rPr>
          <w:rFonts w:ascii="Times New Roman" w:cs="Times New Roman" w:eastAsia="Times New Roman" w:hAnsi="Times New Roman"/>
          <w:sz w:val="15"/>
          <w:szCs w:val="15"/>
          <w:color w:val="001544"/>
        </w:rPr>
      </w:pPr>
    </w:p>
    <w:p>
      <w:pPr>
        <w:ind w:left="300" w:right="40" w:hanging="292"/>
        <w:spacing w:after="0" w:line="255" w:lineRule="auto"/>
        <w:tabs>
          <w:tab w:leader="none" w:pos="299" w:val="left"/>
        </w:tabs>
        <w:numPr>
          <w:ilvl w:val="0"/>
          <w:numId w:val="53"/>
        </w:numPr>
        <w:rPr>
          <w:rFonts w:ascii="Times New Roman" w:cs="Times New Roman" w:eastAsia="Times New Roman" w:hAnsi="Times New Roman"/>
          <w:sz w:val="15"/>
          <w:szCs w:val="15"/>
          <w:color w:val="001544"/>
        </w:rPr>
      </w:pPr>
      <w:r>
        <w:rPr>
          <w:rFonts w:ascii="Arial" w:cs="Arial" w:eastAsia="Arial" w:hAnsi="Arial"/>
          <w:sz w:val="15"/>
          <w:szCs w:val="15"/>
          <w:color w:val="auto"/>
        </w:rPr>
        <w:t>Member of Nareit 2022 Advisory Board of Governors, Member of the Young Presidents’ Organization, the Broadband Deployment Advisory Committee of the Federal Communications Commission, and currently serves on the board of the Aspen Valley Ski Club</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EDUCATION</w:t>
      </w:r>
    </w:p>
    <w:p>
      <w:pPr>
        <w:spacing w:after="0" w:line="79" w:lineRule="exact"/>
        <w:rPr>
          <w:sz w:val="20"/>
          <w:szCs w:val="20"/>
          <w:color w:val="auto"/>
        </w:rPr>
      </w:pPr>
    </w:p>
    <w:p>
      <w:pPr>
        <w:ind w:left="300" w:hanging="292"/>
        <w:spacing w:after="0"/>
        <w:tabs>
          <w:tab w:leader="none" w:pos="300" w:val="left"/>
        </w:tabs>
        <w:numPr>
          <w:ilvl w:val="0"/>
          <w:numId w:val="54"/>
        </w:numPr>
        <w:rPr>
          <w:rFonts w:ascii="Times New Roman" w:cs="Times New Roman" w:eastAsia="Times New Roman" w:hAnsi="Times New Roman"/>
          <w:sz w:val="15"/>
          <w:szCs w:val="15"/>
          <w:color w:val="001544"/>
        </w:rPr>
      </w:pPr>
      <w:r>
        <w:rPr>
          <w:rFonts w:ascii="Arial" w:cs="Arial" w:eastAsia="Arial" w:hAnsi="Arial"/>
          <w:sz w:val="15"/>
          <w:szCs w:val="15"/>
          <w:color w:val="auto"/>
        </w:rPr>
        <w:t>Bachelor of Science, Wharton School of Business</w:t>
      </w:r>
    </w:p>
    <w:p>
      <w:pPr>
        <w:spacing w:after="0" w:line="2622" w:lineRule="exact"/>
        <w:rPr>
          <w:sz w:val="20"/>
          <w:szCs w:val="20"/>
          <w:color w:val="auto"/>
        </w:rPr>
      </w:pPr>
    </w:p>
    <w:p>
      <w:pPr>
        <w:sectPr>
          <w:pgSz w:w="11900" w:h="16838" w:orient="portrait"/>
          <w:cols w:equalWidth="0" w:num="3">
            <w:col w:w="1960" w:space="280"/>
            <w:col w:w="3440" w:space="80"/>
            <w:col w:w="3620"/>
          </w:cols>
          <w:pgMar w:left="1200" w:top="48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10  </w:t>
      </w:r>
      <w:r>
        <w:rPr>
          <w:rFonts w:ascii="Arial" w:cs="Arial" w:eastAsia="Arial" w:hAnsi="Arial"/>
          <w:sz w:val="16"/>
          <w:szCs w:val="16"/>
          <w:color w:val="008861"/>
        </w:rPr>
        <w:t>|</w:t>
      </w:r>
      <w:r>
        <w:rPr>
          <w:rFonts w:ascii="Arial" w:cs="Arial" w:eastAsia="Arial" w:hAnsi="Arial"/>
          <w:sz w:val="16"/>
          <w:szCs w:val="16"/>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380"/>
          </w:cols>
          <w:pgMar w:left="1200" w:top="487" w:right="13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149860</wp:posOffset>
            </wp:positionV>
            <wp:extent cx="6009005" cy="303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09005" cy="3035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p>
      <w:pPr>
        <w:spacing w:after="0" w:line="314"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FFFFFF"/>
        </w:rPr>
        <w:t>GREGORY J. MCCRAY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85725</wp:posOffset>
            </wp:positionV>
            <wp:extent cx="1380490" cy="3590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80490" cy="3590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sz w:val="1"/>
          <w:szCs w:val="1"/>
          <w:color w:val="auto"/>
        </w:rPr>
        <w:drawing>
          <wp:inline distT="0" distB="0" distL="0" distR="0">
            <wp:extent cx="231140" cy="1752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1140" cy="175260"/>
                    </a:xfrm>
                    <a:prstGeom prst="rect">
                      <a:avLst/>
                    </a:prstGeom>
                    <a:noFill/>
                    <a:ln>
                      <a:noFill/>
                    </a:ln>
                  </pic:spPr>
                </pic:pic>
              </a:graphicData>
            </a:graphic>
          </wp:inline>
        </w:drawing>
      </w:r>
      <w:r>
        <w:rPr>
          <w:rFonts w:ascii="Arial" w:cs="Arial" w:eastAsia="Arial" w:hAnsi="Arial"/>
          <w:sz w:val="16"/>
          <w:szCs w:val="16"/>
          <w:color w:val="FFFFFF"/>
        </w:rPr>
        <w:t>  Independent Director since 2021</w:t>
      </w:r>
    </w:p>
    <w:p>
      <w:pPr>
        <w:spacing w:after="0" w:line="135" w:lineRule="exact"/>
        <w:rPr>
          <w:sz w:val="20"/>
          <w:szCs w:val="20"/>
          <w:color w:val="auto"/>
        </w:rPr>
      </w:pPr>
    </w:p>
    <w:p>
      <w:pPr>
        <w:sectPr>
          <w:pgSz w:w="11900" w:h="16838" w:orient="portrait"/>
          <w:cols w:equalWidth="0" w:num="2">
            <w:col w:w="5760" w:space="720"/>
            <w:col w:w="3000"/>
          </w:cols>
          <w:pgMar w:left="1200" w:top="48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40"/>
        <w:spacing w:after="0" w:line="292" w:lineRule="auto"/>
        <w:rPr>
          <w:sz w:val="20"/>
          <w:szCs w:val="20"/>
          <w:color w:val="auto"/>
        </w:rPr>
      </w:pPr>
      <w:r>
        <w:rPr>
          <w:rFonts w:ascii="Arial" w:cs="Arial" w:eastAsia="Arial" w:hAnsi="Arial"/>
          <w:sz w:val="15"/>
          <w:szCs w:val="15"/>
          <w:b w:val="1"/>
          <w:bCs w:val="1"/>
          <w:color w:val="auto"/>
        </w:rPr>
        <w:t>Chief Executive Officer of PBE Axell</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 xml:space="preserve">AGE </w:t>
      </w:r>
      <w:r>
        <w:rPr>
          <w:rFonts w:ascii="Arial" w:cs="Arial" w:eastAsia="Arial" w:hAnsi="Arial"/>
          <w:sz w:val="15"/>
          <w:szCs w:val="15"/>
          <w:color w:val="000000"/>
        </w:rPr>
        <w:t>62</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COMMITTEE</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MEMBERSHIPS</w:t>
      </w:r>
    </w:p>
    <w:p>
      <w:pPr>
        <w:spacing w:after="0" w:line="77" w:lineRule="exact"/>
        <w:rPr>
          <w:sz w:val="20"/>
          <w:szCs w:val="20"/>
          <w:color w:val="auto"/>
        </w:rPr>
      </w:pPr>
    </w:p>
    <w:p>
      <w:pPr>
        <w:ind w:left="440" w:hanging="307"/>
        <w:spacing w:after="0" w:line="293" w:lineRule="auto"/>
        <w:tabs>
          <w:tab w:leader="none" w:pos="439" w:val="left"/>
        </w:tabs>
        <w:numPr>
          <w:ilvl w:val="0"/>
          <w:numId w:val="55"/>
        </w:numPr>
        <w:rPr>
          <w:rFonts w:ascii="Times New Roman" w:cs="Times New Roman" w:eastAsia="Times New Roman" w:hAnsi="Times New Roman"/>
          <w:sz w:val="14"/>
          <w:szCs w:val="14"/>
          <w:color w:val="001544"/>
        </w:rPr>
      </w:pPr>
      <w:r>
        <w:rPr>
          <w:rFonts w:ascii="Arial" w:cs="Arial" w:eastAsia="Arial" w:hAnsi="Arial"/>
          <w:sz w:val="14"/>
          <w:szCs w:val="14"/>
          <w:color w:val="auto"/>
        </w:rPr>
        <w:t>Nominating and Corporate Governance Committee</w:t>
      </w:r>
    </w:p>
    <w:p>
      <w:pPr>
        <w:ind w:left="400" w:hanging="267"/>
        <w:spacing w:after="0"/>
        <w:tabs>
          <w:tab w:leader="none" w:pos="400" w:val="left"/>
        </w:tabs>
        <w:numPr>
          <w:ilvl w:val="0"/>
          <w:numId w:val="55"/>
        </w:numPr>
        <w:rPr>
          <w:rFonts w:ascii="Times New Roman" w:cs="Times New Roman" w:eastAsia="Times New Roman" w:hAnsi="Times New Roman"/>
          <w:sz w:val="15"/>
          <w:szCs w:val="15"/>
          <w:color w:val="001544"/>
        </w:rPr>
      </w:pPr>
      <w:r>
        <w:rPr>
          <w:rFonts w:ascii="Arial" w:cs="Arial" w:eastAsia="Arial" w:hAnsi="Arial"/>
          <w:sz w:val="15"/>
          <w:szCs w:val="15"/>
          <w:color w:val="001544"/>
        </w:rPr>
        <w:t>Human Capital</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5"/>
          <w:szCs w:val="15"/>
          <w:color w:val="001544"/>
        </w:rPr>
        <w:t xml:space="preserve">and </w:t>
      </w:r>
      <w:r>
        <w:rPr>
          <w:rFonts w:ascii="Arial" w:cs="Arial" w:eastAsia="Arial" w:hAnsi="Arial"/>
          <w:sz w:val="15"/>
          <w:szCs w:val="15"/>
          <w:color w:val="000000"/>
        </w:rPr>
        <w:t>Compensation</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 xml:space="preserve">Committee </w:t>
      </w:r>
      <w:r>
        <w:rPr>
          <w:rFonts w:ascii="Arial" w:cs="Arial" w:eastAsia="Arial" w:hAnsi="Arial"/>
          <w:sz w:val="15"/>
          <w:szCs w:val="15"/>
          <w:i w:val="1"/>
          <w:iCs w:val="1"/>
          <w:color w:val="auto"/>
        </w:rPr>
        <w:t>(Chair)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1544"/>
        </w:rPr>
        <w:t>EXPERIENCE</w:t>
      </w:r>
    </w:p>
    <w:p>
      <w:pPr>
        <w:spacing w:after="0" w:line="79" w:lineRule="exact"/>
        <w:rPr>
          <w:sz w:val="20"/>
          <w:szCs w:val="20"/>
          <w:color w:val="auto"/>
        </w:rPr>
      </w:pPr>
    </w:p>
    <w:p>
      <w:pPr>
        <w:ind w:left="300" w:right="300" w:hanging="293"/>
        <w:spacing w:after="0" w:line="296" w:lineRule="auto"/>
        <w:tabs>
          <w:tab w:leader="none" w:pos="299" w:val="left"/>
        </w:tabs>
        <w:numPr>
          <w:ilvl w:val="0"/>
          <w:numId w:val="56"/>
        </w:numPr>
        <w:rPr>
          <w:rFonts w:ascii="Times New Roman" w:cs="Times New Roman" w:eastAsia="Times New Roman" w:hAnsi="Times New Roman"/>
          <w:sz w:val="15"/>
          <w:szCs w:val="15"/>
          <w:color w:val="001544"/>
        </w:rPr>
      </w:pPr>
      <w:r>
        <w:rPr>
          <w:rFonts w:ascii="Arial" w:cs="Arial" w:eastAsia="Arial" w:hAnsi="Arial"/>
          <w:sz w:val="15"/>
          <w:szCs w:val="15"/>
          <w:color w:val="auto"/>
        </w:rPr>
        <w:t>Chief Executive Officer of PBE Axell since August 2024</w:t>
      </w:r>
    </w:p>
    <w:p>
      <w:pPr>
        <w:jc w:val="both"/>
        <w:ind w:left="300" w:right="140" w:hanging="293"/>
        <w:spacing w:after="0" w:line="296" w:lineRule="auto"/>
        <w:tabs>
          <w:tab w:leader="none" w:pos="299" w:val="left"/>
        </w:tabs>
        <w:numPr>
          <w:ilvl w:val="0"/>
          <w:numId w:val="56"/>
        </w:numPr>
        <w:rPr>
          <w:rFonts w:ascii="Times New Roman" w:cs="Times New Roman" w:eastAsia="Times New Roman" w:hAnsi="Times New Roman"/>
          <w:sz w:val="15"/>
          <w:szCs w:val="15"/>
          <w:color w:val="001544"/>
        </w:rPr>
      </w:pPr>
      <w:r>
        <w:rPr>
          <w:rFonts w:ascii="Arial" w:cs="Arial" w:eastAsia="Arial" w:hAnsi="Arial"/>
          <w:sz w:val="15"/>
          <w:szCs w:val="15"/>
          <w:color w:val="auto"/>
        </w:rPr>
        <w:t>Chief Executive Officer of FDH Infrastructure Services, from June 2018 through May 2024</w:t>
      </w:r>
    </w:p>
    <w:p>
      <w:pPr>
        <w:ind w:left="300" w:right="360" w:hanging="293"/>
        <w:spacing w:after="0" w:line="297" w:lineRule="auto"/>
        <w:tabs>
          <w:tab w:leader="none" w:pos="299" w:val="left"/>
        </w:tabs>
        <w:numPr>
          <w:ilvl w:val="0"/>
          <w:numId w:val="56"/>
        </w:numPr>
        <w:rPr>
          <w:rFonts w:ascii="Times New Roman" w:cs="Times New Roman" w:eastAsia="Times New Roman" w:hAnsi="Times New Roman"/>
          <w:sz w:val="15"/>
          <w:szCs w:val="15"/>
          <w:color w:val="001544"/>
        </w:rPr>
      </w:pPr>
      <w:r>
        <w:rPr>
          <w:rFonts w:ascii="Arial" w:cs="Arial" w:eastAsia="Arial" w:hAnsi="Arial"/>
          <w:sz w:val="15"/>
          <w:szCs w:val="15"/>
          <w:color w:val="auto"/>
        </w:rPr>
        <w:t>Chief Executive Officer of Access/Google Fiber in 2017</w:t>
      </w:r>
    </w:p>
    <w:p>
      <w:pPr>
        <w:spacing w:after="0" w:line="12" w:lineRule="exact"/>
        <w:rPr>
          <w:rFonts w:ascii="Times New Roman" w:cs="Times New Roman" w:eastAsia="Times New Roman" w:hAnsi="Times New Roman"/>
          <w:sz w:val="15"/>
          <w:szCs w:val="15"/>
          <w:color w:val="001544"/>
        </w:rPr>
      </w:pPr>
    </w:p>
    <w:p>
      <w:pPr>
        <w:ind w:left="300" w:right="160" w:hanging="293"/>
        <w:spacing w:after="0" w:line="262" w:lineRule="auto"/>
        <w:tabs>
          <w:tab w:leader="none" w:pos="299" w:val="left"/>
        </w:tabs>
        <w:numPr>
          <w:ilvl w:val="0"/>
          <w:numId w:val="56"/>
        </w:numPr>
        <w:rPr>
          <w:rFonts w:ascii="Times New Roman" w:cs="Times New Roman" w:eastAsia="Times New Roman" w:hAnsi="Times New Roman"/>
          <w:sz w:val="15"/>
          <w:szCs w:val="15"/>
          <w:color w:val="001544"/>
        </w:rPr>
      </w:pPr>
      <w:r>
        <w:rPr>
          <w:rFonts w:ascii="Arial" w:cs="Arial" w:eastAsia="Arial" w:hAnsi="Arial"/>
          <w:sz w:val="15"/>
          <w:szCs w:val="15"/>
          <w:color w:val="auto"/>
        </w:rPr>
        <w:t>Chief Executive Officer of Aero Communications Inc., which provides installation, services and support to the communications industry, from 2013 to 2016</w:t>
      </w:r>
    </w:p>
    <w:p>
      <w:pPr>
        <w:spacing w:after="0" w:line="25" w:lineRule="exact"/>
        <w:rPr>
          <w:rFonts w:ascii="Times New Roman" w:cs="Times New Roman" w:eastAsia="Times New Roman" w:hAnsi="Times New Roman"/>
          <w:sz w:val="15"/>
          <w:szCs w:val="15"/>
          <w:color w:val="001544"/>
        </w:rPr>
      </w:pPr>
    </w:p>
    <w:p>
      <w:pPr>
        <w:ind w:left="300" w:right="240" w:hanging="293"/>
        <w:spacing w:after="0" w:line="262" w:lineRule="auto"/>
        <w:tabs>
          <w:tab w:leader="none" w:pos="299" w:val="left"/>
        </w:tabs>
        <w:numPr>
          <w:ilvl w:val="0"/>
          <w:numId w:val="56"/>
        </w:numPr>
        <w:rPr>
          <w:rFonts w:ascii="Times New Roman" w:cs="Times New Roman" w:eastAsia="Times New Roman" w:hAnsi="Times New Roman"/>
          <w:sz w:val="15"/>
          <w:szCs w:val="15"/>
          <w:color w:val="001544"/>
        </w:rPr>
      </w:pPr>
      <w:r>
        <w:rPr>
          <w:rFonts w:ascii="Arial" w:cs="Arial" w:eastAsia="Arial" w:hAnsi="Arial"/>
          <w:sz w:val="15"/>
          <w:szCs w:val="15"/>
          <w:color w:val="auto"/>
        </w:rPr>
        <w:t>Chief Executive Officer of Antenova, a developer of antennas and radio frequency modules for mobile devices, from 2003 to 2012</w:t>
      </w:r>
    </w:p>
    <w:p>
      <w:pPr>
        <w:spacing w:after="0" w:line="25" w:lineRule="exact"/>
        <w:rPr>
          <w:rFonts w:ascii="Times New Roman" w:cs="Times New Roman" w:eastAsia="Times New Roman" w:hAnsi="Times New Roman"/>
          <w:sz w:val="15"/>
          <w:szCs w:val="15"/>
          <w:color w:val="001544"/>
        </w:rPr>
      </w:pPr>
    </w:p>
    <w:p>
      <w:pPr>
        <w:ind w:left="300" w:hanging="293"/>
        <w:spacing w:after="0" w:line="262" w:lineRule="auto"/>
        <w:tabs>
          <w:tab w:leader="none" w:pos="299" w:val="left"/>
        </w:tabs>
        <w:numPr>
          <w:ilvl w:val="0"/>
          <w:numId w:val="56"/>
        </w:numPr>
        <w:rPr>
          <w:rFonts w:ascii="Times New Roman" w:cs="Times New Roman" w:eastAsia="Times New Roman" w:hAnsi="Times New Roman"/>
          <w:sz w:val="15"/>
          <w:szCs w:val="15"/>
          <w:color w:val="001544"/>
        </w:rPr>
      </w:pPr>
      <w:r>
        <w:rPr>
          <w:rFonts w:ascii="Arial" w:cs="Arial" w:eastAsia="Arial" w:hAnsi="Arial"/>
          <w:sz w:val="15"/>
          <w:szCs w:val="15"/>
          <w:color w:val="auto"/>
        </w:rPr>
        <w:t>Chairman and Chief Executive Officer of PipingHot Networks, which brought broadband fixed wireless access equipment to market, from 2001 to 2002</w:t>
      </w:r>
    </w:p>
    <w:p>
      <w:pPr>
        <w:spacing w:after="0" w:line="37" w:lineRule="exact"/>
        <w:rPr>
          <w:rFonts w:ascii="Times New Roman" w:cs="Times New Roman" w:eastAsia="Times New Roman" w:hAnsi="Times New Roman"/>
          <w:sz w:val="15"/>
          <w:szCs w:val="15"/>
          <w:color w:val="001544"/>
        </w:rPr>
      </w:pPr>
    </w:p>
    <w:p>
      <w:pPr>
        <w:ind w:left="300" w:right="80" w:hanging="293"/>
        <w:spacing w:after="0" w:line="296" w:lineRule="auto"/>
        <w:tabs>
          <w:tab w:leader="none" w:pos="299" w:val="left"/>
        </w:tabs>
        <w:numPr>
          <w:ilvl w:val="0"/>
          <w:numId w:val="56"/>
        </w:numPr>
        <w:rPr>
          <w:rFonts w:ascii="Times New Roman" w:cs="Times New Roman" w:eastAsia="Times New Roman" w:hAnsi="Times New Roman"/>
          <w:sz w:val="15"/>
          <w:szCs w:val="15"/>
          <w:color w:val="001544"/>
        </w:rPr>
      </w:pPr>
      <w:r>
        <w:rPr>
          <w:rFonts w:ascii="Arial" w:cs="Arial" w:eastAsia="Arial" w:hAnsi="Arial"/>
          <w:sz w:val="15"/>
          <w:szCs w:val="15"/>
          <w:color w:val="auto"/>
        </w:rPr>
        <w:t>Senior Vice President of customer operations at Lucent Technologies from 1996 to 2000</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15"/>
          <w:szCs w:val="15"/>
          <w:b w:val="1"/>
          <w:bCs w:val="1"/>
          <w:color w:val="001544"/>
        </w:rPr>
        <w:t>QUALIFICATIONS, ATTRIBUTES AND SKILLS</w:t>
      </w:r>
    </w:p>
    <w:p>
      <w:pPr>
        <w:spacing w:after="0" w:line="66" w:lineRule="exact"/>
        <w:rPr>
          <w:sz w:val="20"/>
          <w:szCs w:val="20"/>
          <w:color w:val="auto"/>
        </w:rPr>
      </w:pPr>
    </w:p>
    <w:p>
      <w:pPr>
        <w:ind w:left="300" w:right="80" w:hanging="293"/>
        <w:spacing w:after="0" w:line="257" w:lineRule="auto"/>
        <w:tabs>
          <w:tab w:leader="none" w:pos="299" w:val="left"/>
        </w:tabs>
        <w:numPr>
          <w:ilvl w:val="0"/>
          <w:numId w:val="57"/>
        </w:numPr>
        <w:rPr>
          <w:rFonts w:ascii="Times New Roman" w:cs="Times New Roman" w:eastAsia="Times New Roman" w:hAnsi="Times New Roman"/>
          <w:sz w:val="15"/>
          <w:szCs w:val="15"/>
          <w:color w:val="001544"/>
        </w:rPr>
      </w:pPr>
      <w:r>
        <w:rPr>
          <w:rFonts w:ascii="Arial" w:cs="Arial" w:eastAsia="Arial" w:hAnsi="Arial"/>
          <w:sz w:val="15"/>
          <w:szCs w:val="15"/>
          <w:color w:val="auto"/>
        </w:rPr>
        <w:t>Extensive executive experience with 30 years of business, marketing, sales, engineering, operations, mergers and acquisitions, management and international experience in the communications technology industry</w:t>
      </w:r>
    </w:p>
    <w:p>
      <w:pPr>
        <w:spacing w:after="0" w:line="20" w:lineRule="exact"/>
        <w:rPr>
          <w:sz w:val="20"/>
          <w:szCs w:val="20"/>
          <w:color w:val="auto"/>
        </w:rPr>
      </w:pPr>
      <w:r>
        <w:rPr>
          <w:sz w:val="20"/>
          <w:szCs w:val="20"/>
          <w:color w:val="auto"/>
        </w:rPr>
        <w:br w:type="column"/>
      </w:r>
    </w:p>
    <w:p>
      <w:pPr>
        <w:ind w:left="300" w:right="240" w:hanging="292"/>
        <w:spacing w:after="0" w:line="262" w:lineRule="auto"/>
        <w:tabs>
          <w:tab w:leader="none" w:pos="299" w:val="left"/>
        </w:tabs>
        <w:numPr>
          <w:ilvl w:val="0"/>
          <w:numId w:val="58"/>
        </w:numPr>
        <w:rPr>
          <w:rFonts w:ascii="Times New Roman" w:cs="Times New Roman" w:eastAsia="Times New Roman" w:hAnsi="Times New Roman"/>
          <w:sz w:val="15"/>
          <w:szCs w:val="15"/>
          <w:color w:val="001544"/>
        </w:rPr>
      </w:pPr>
      <w:r>
        <w:rPr>
          <w:rFonts w:ascii="Arial" w:cs="Arial" w:eastAsia="Arial" w:hAnsi="Arial"/>
          <w:sz w:val="15"/>
          <w:szCs w:val="15"/>
          <w:color w:val="auto"/>
        </w:rPr>
        <w:t>Experience as a current and former director at other public companies, which enables him to provide significant insight as to governance and risk-related matters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OTHER PUBLIC COMPANY BOARD EXPERIENCE</w:t>
      </w:r>
    </w:p>
    <w:p>
      <w:pPr>
        <w:spacing w:after="0" w:line="66" w:lineRule="exact"/>
        <w:rPr>
          <w:sz w:val="20"/>
          <w:szCs w:val="20"/>
          <w:color w:val="auto"/>
        </w:rPr>
      </w:pPr>
    </w:p>
    <w:p>
      <w:pPr>
        <w:ind w:left="300" w:right="460" w:hanging="292"/>
        <w:spacing w:after="0" w:line="262" w:lineRule="auto"/>
        <w:tabs>
          <w:tab w:leader="none" w:pos="299" w:val="left"/>
        </w:tabs>
        <w:numPr>
          <w:ilvl w:val="0"/>
          <w:numId w:val="59"/>
        </w:numPr>
        <w:rPr>
          <w:rFonts w:ascii="Times New Roman" w:cs="Times New Roman" w:eastAsia="Times New Roman" w:hAnsi="Times New Roman"/>
          <w:sz w:val="15"/>
          <w:szCs w:val="15"/>
          <w:color w:val="001544"/>
        </w:rPr>
      </w:pPr>
      <w:r>
        <w:rPr>
          <w:rFonts w:ascii="Arial" w:cs="Arial" w:eastAsia="Arial" w:hAnsi="Arial"/>
          <w:sz w:val="15"/>
          <w:szCs w:val="15"/>
          <w:color w:val="auto"/>
        </w:rPr>
        <w:t>Belden Inc. (NYSE: BDC) (February 2022 to present; Member of the Nominating and Corporate Governance Committee and the Finance Committee)</w:t>
      </w:r>
    </w:p>
    <w:p>
      <w:pPr>
        <w:spacing w:after="0" w:line="25" w:lineRule="exact"/>
        <w:rPr>
          <w:rFonts w:ascii="Times New Roman" w:cs="Times New Roman" w:eastAsia="Times New Roman" w:hAnsi="Times New Roman"/>
          <w:sz w:val="15"/>
          <w:szCs w:val="15"/>
          <w:color w:val="001544"/>
        </w:rPr>
      </w:pPr>
    </w:p>
    <w:p>
      <w:pPr>
        <w:ind w:left="300" w:right="560" w:hanging="292"/>
        <w:spacing w:after="0" w:line="262" w:lineRule="auto"/>
        <w:tabs>
          <w:tab w:leader="none" w:pos="299" w:val="left"/>
        </w:tabs>
        <w:numPr>
          <w:ilvl w:val="0"/>
          <w:numId w:val="59"/>
        </w:numPr>
        <w:rPr>
          <w:rFonts w:ascii="Times New Roman" w:cs="Times New Roman" w:eastAsia="Times New Roman" w:hAnsi="Times New Roman"/>
          <w:sz w:val="15"/>
          <w:szCs w:val="15"/>
          <w:color w:val="001544"/>
        </w:rPr>
      </w:pPr>
      <w:r>
        <w:rPr>
          <w:rFonts w:ascii="Arial" w:cs="Arial" w:eastAsia="Arial" w:hAnsi="Arial"/>
          <w:sz w:val="15"/>
          <w:szCs w:val="15"/>
          <w:color w:val="auto"/>
        </w:rPr>
        <w:t>ADTRAN Holdings, Inc. (NASDAQ: ADTN) (May 2017 to present; Member of the Compensation Committee and the Audit Committee)</w:t>
      </w:r>
    </w:p>
    <w:p>
      <w:pPr>
        <w:spacing w:after="0" w:line="37" w:lineRule="exact"/>
        <w:rPr>
          <w:rFonts w:ascii="Times New Roman" w:cs="Times New Roman" w:eastAsia="Times New Roman" w:hAnsi="Times New Roman"/>
          <w:sz w:val="15"/>
          <w:szCs w:val="15"/>
          <w:color w:val="001544"/>
        </w:rPr>
      </w:pPr>
    </w:p>
    <w:p>
      <w:pPr>
        <w:ind w:left="300" w:right="240" w:hanging="292"/>
        <w:spacing w:after="0" w:line="257" w:lineRule="auto"/>
        <w:tabs>
          <w:tab w:leader="none" w:pos="299" w:val="left"/>
        </w:tabs>
        <w:numPr>
          <w:ilvl w:val="0"/>
          <w:numId w:val="59"/>
        </w:numPr>
        <w:rPr>
          <w:rFonts w:ascii="Times New Roman" w:cs="Times New Roman" w:eastAsia="Times New Roman" w:hAnsi="Times New Roman"/>
          <w:sz w:val="15"/>
          <w:szCs w:val="15"/>
          <w:color w:val="001544"/>
        </w:rPr>
      </w:pPr>
      <w:r>
        <w:rPr>
          <w:rFonts w:ascii="Arial" w:cs="Arial" w:eastAsia="Arial" w:hAnsi="Arial"/>
          <w:sz w:val="15"/>
          <w:szCs w:val="15"/>
          <w:color w:val="auto"/>
        </w:rPr>
        <w:t>Centurylink, Inc. (NYSE: CTL) (January 2005 to February 2017; Chair of the Cyber Security and Risk Committee and Member of the Compensation Committee and Nominating and Corporate Governance Committee)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OTHER POSITIONS/RECOGNITIONS</w:t>
      </w:r>
    </w:p>
    <w:p>
      <w:pPr>
        <w:spacing w:after="0" w:line="66" w:lineRule="exact"/>
        <w:rPr>
          <w:sz w:val="20"/>
          <w:szCs w:val="20"/>
          <w:color w:val="auto"/>
        </w:rPr>
      </w:pPr>
    </w:p>
    <w:p>
      <w:pPr>
        <w:ind w:left="300" w:right="600" w:hanging="292"/>
        <w:spacing w:after="0" w:line="297" w:lineRule="auto"/>
        <w:tabs>
          <w:tab w:leader="none" w:pos="299" w:val="left"/>
        </w:tabs>
        <w:numPr>
          <w:ilvl w:val="0"/>
          <w:numId w:val="60"/>
        </w:numPr>
        <w:rPr>
          <w:rFonts w:ascii="Times New Roman" w:cs="Times New Roman" w:eastAsia="Times New Roman" w:hAnsi="Times New Roman"/>
          <w:sz w:val="15"/>
          <w:szCs w:val="15"/>
          <w:color w:val="001544"/>
        </w:rPr>
      </w:pPr>
      <w:r>
        <w:rPr>
          <w:rFonts w:ascii="Arial" w:cs="Arial" w:eastAsia="Arial" w:hAnsi="Arial"/>
          <w:sz w:val="15"/>
          <w:szCs w:val="15"/>
          <w:color w:val="auto"/>
        </w:rPr>
        <w:t>Board Member of FreeWave Technologies (February 2020 to present)</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EDUCATION</w:t>
      </w:r>
    </w:p>
    <w:p>
      <w:pPr>
        <w:spacing w:after="0" w:line="66" w:lineRule="exact"/>
        <w:rPr>
          <w:sz w:val="20"/>
          <w:szCs w:val="20"/>
          <w:color w:val="auto"/>
        </w:rPr>
      </w:pPr>
    </w:p>
    <w:p>
      <w:pPr>
        <w:ind w:left="300" w:hanging="292"/>
        <w:spacing w:after="0"/>
        <w:tabs>
          <w:tab w:leader="none" w:pos="300" w:val="left"/>
        </w:tabs>
        <w:numPr>
          <w:ilvl w:val="0"/>
          <w:numId w:val="61"/>
        </w:numPr>
        <w:rPr>
          <w:rFonts w:ascii="Times New Roman" w:cs="Times New Roman" w:eastAsia="Times New Roman" w:hAnsi="Times New Roman"/>
          <w:sz w:val="15"/>
          <w:szCs w:val="15"/>
          <w:color w:val="001544"/>
        </w:rPr>
      </w:pPr>
      <w:r>
        <w:rPr>
          <w:rFonts w:ascii="Arial" w:cs="Arial" w:eastAsia="Arial" w:hAnsi="Arial"/>
          <w:sz w:val="15"/>
          <w:szCs w:val="15"/>
          <w:color w:val="auto"/>
        </w:rPr>
        <w:t>Bachelor of Science, Iowa State University</w:t>
      </w:r>
    </w:p>
    <w:p>
      <w:pPr>
        <w:spacing w:after="0" w:line="78" w:lineRule="exact"/>
        <w:rPr>
          <w:rFonts w:ascii="Times New Roman" w:cs="Times New Roman" w:eastAsia="Times New Roman" w:hAnsi="Times New Roman"/>
          <w:sz w:val="15"/>
          <w:szCs w:val="15"/>
          <w:color w:val="001544"/>
        </w:rPr>
      </w:pPr>
    </w:p>
    <w:p>
      <w:pPr>
        <w:ind w:left="300" w:right="740" w:hanging="292"/>
        <w:spacing w:after="0" w:line="297" w:lineRule="auto"/>
        <w:tabs>
          <w:tab w:leader="none" w:pos="299" w:val="left"/>
        </w:tabs>
        <w:numPr>
          <w:ilvl w:val="0"/>
          <w:numId w:val="61"/>
        </w:numPr>
        <w:rPr>
          <w:rFonts w:ascii="Times New Roman" w:cs="Times New Roman" w:eastAsia="Times New Roman" w:hAnsi="Times New Roman"/>
          <w:sz w:val="15"/>
          <w:szCs w:val="15"/>
          <w:color w:val="001544"/>
        </w:rPr>
      </w:pPr>
      <w:r>
        <w:rPr>
          <w:rFonts w:ascii="Arial" w:cs="Arial" w:eastAsia="Arial" w:hAnsi="Arial"/>
          <w:sz w:val="15"/>
          <w:szCs w:val="15"/>
          <w:color w:val="auto"/>
        </w:rPr>
        <w:t>Master of Science, Industrial &amp; Systems Engineering, Purdue University</w:t>
      </w:r>
    </w:p>
    <w:p>
      <w:pPr>
        <w:spacing w:after="0" w:line="12" w:lineRule="exact"/>
        <w:rPr>
          <w:rFonts w:ascii="Times New Roman" w:cs="Times New Roman" w:eastAsia="Times New Roman" w:hAnsi="Times New Roman"/>
          <w:sz w:val="15"/>
          <w:szCs w:val="15"/>
          <w:color w:val="001544"/>
        </w:rPr>
      </w:pPr>
    </w:p>
    <w:p>
      <w:pPr>
        <w:ind w:left="300" w:right="500" w:hanging="292"/>
        <w:spacing w:after="0" w:line="297" w:lineRule="auto"/>
        <w:tabs>
          <w:tab w:leader="none" w:pos="299" w:val="left"/>
        </w:tabs>
        <w:numPr>
          <w:ilvl w:val="0"/>
          <w:numId w:val="61"/>
        </w:numPr>
        <w:rPr>
          <w:rFonts w:ascii="Times New Roman" w:cs="Times New Roman" w:eastAsia="Times New Roman" w:hAnsi="Times New Roman"/>
          <w:sz w:val="15"/>
          <w:szCs w:val="15"/>
          <w:color w:val="001544"/>
        </w:rPr>
      </w:pPr>
      <w:r>
        <w:rPr>
          <w:rFonts w:ascii="Arial" w:cs="Arial" w:eastAsia="Arial" w:hAnsi="Arial"/>
          <w:sz w:val="15"/>
          <w:szCs w:val="15"/>
          <w:color w:val="auto"/>
        </w:rPr>
        <w:t>Executive Business Programs, University of Illinois, Harvard, and INSEAD</w:t>
      </w:r>
    </w:p>
    <w:p>
      <w:pPr>
        <w:spacing w:after="0" w:line="200" w:lineRule="exact"/>
        <w:rPr>
          <w:sz w:val="20"/>
          <w:szCs w:val="20"/>
          <w:color w:val="auto"/>
        </w:rPr>
      </w:pPr>
    </w:p>
    <w:p>
      <w:pPr>
        <w:sectPr>
          <w:pgSz w:w="11900" w:h="16838" w:orient="portrait"/>
          <w:cols w:equalWidth="0" w:num="3">
            <w:col w:w="1960" w:space="280"/>
            <w:col w:w="3420" w:space="100"/>
            <w:col w:w="3720"/>
          </w:cols>
          <w:pgMar w:left="1200" w:top="487" w:right="121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60090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153670</wp:posOffset>
            </wp:positionV>
            <wp:extent cx="6009005" cy="3035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09005" cy="303530"/>
                    </a:xfrm>
                    <a:prstGeom prst="rect">
                      <a:avLst/>
                    </a:prstGeom>
                    <a:noFill/>
                  </pic:spPr>
                </pic:pic>
              </a:graphicData>
            </a:graphic>
          </wp:anchor>
        </w:drawing>
      </w:r>
    </w:p>
    <w:p>
      <w:pPr>
        <w:sectPr>
          <w:pgSz w:w="11900" w:h="16838" w:orient="portrait"/>
          <w:cols w:equalWidth="0" w:num="1">
            <w:col w:w="9420"/>
          </w:cols>
          <w:pgMar w:left="1200" w:top="487" w:right="1279" w:bottom="1440" w:gutter="0" w:footer="0" w:header="0"/>
        </w:sectPr>
      </w:pPr>
    </w:p>
    <w:p>
      <w:pPr>
        <w:spacing w:after="0" w:line="320"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FFFFFF"/>
        </w:rPr>
        <w:t>SHÁKA RASHEED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85725</wp:posOffset>
            </wp:positionV>
            <wp:extent cx="1380490" cy="40538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80490" cy="40538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sz w:val="1"/>
          <w:szCs w:val="1"/>
          <w:color w:val="auto"/>
        </w:rPr>
        <w:drawing>
          <wp:inline distT="0" distB="0" distL="0" distR="0">
            <wp:extent cx="231140" cy="1752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1140" cy="175260"/>
                    </a:xfrm>
                    <a:prstGeom prst="rect">
                      <a:avLst/>
                    </a:prstGeom>
                    <a:noFill/>
                    <a:ln>
                      <a:noFill/>
                    </a:ln>
                  </pic:spPr>
                </pic:pic>
              </a:graphicData>
            </a:graphic>
          </wp:inline>
        </w:drawing>
      </w:r>
      <w:r>
        <w:rPr>
          <w:rFonts w:ascii="Arial" w:cs="Arial" w:eastAsia="Arial" w:hAnsi="Arial"/>
          <w:sz w:val="16"/>
          <w:szCs w:val="16"/>
          <w:color w:val="FFFFFF"/>
        </w:rPr>
        <w:t>  Independent Director since 2021</w:t>
      </w:r>
    </w:p>
    <w:p>
      <w:pPr>
        <w:spacing w:after="0" w:line="135" w:lineRule="exact"/>
        <w:rPr>
          <w:sz w:val="20"/>
          <w:szCs w:val="20"/>
          <w:color w:val="auto"/>
        </w:rPr>
      </w:pPr>
    </w:p>
    <w:p>
      <w:pPr>
        <w:sectPr>
          <w:pgSz w:w="11900" w:h="16838" w:orient="portrait"/>
          <w:cols w:equalWidth="0" w:num="2">
            <w:col w:w="5760" w:space="720"/>
            <w:col w:w="2940"/>
          </w:cols>
          <w:pgMar w:left="1200" w:top="48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140" w:right="220"/>
        <w:spacing w:after="0" w:line="330" w:lineRule="auto"/>
        <w:rPr>
          <w:sz w:val="20"/>
          <w:szCs w:val="20"/>
          <w:color w:val="auto"/>
        </w:rPr>
      </w:pPr>
      <w:r>
        <w:rPr>
          <w:rFonts w:ascii="Arial" w:cs="Arial" w:eastAsia="Arial" w:hAnsi="Arial"/>
          <w:sz w:val="14"/>
          <w:szCs w:val="14"/>
          <w:b w:val="1"/>
          <w:bCs w:val="1"/>
          <w:color w:val="auto"/>
        </w:rPr>
        <w:t>General Partner, Open Opportunity Fund, L.P.</w:t>
      </w:r>
    </w:p>
    <w:p>
      <w:pPr>
        <w:spacing w:after="0" w:line="10"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 xml:space="preserve">AGE </w:t>
      </w:r>
      <w:r>
        <w:rPr>
          <w:rFonts w:ascii="Arial" w:cs="Arial" w:eastAsia="Arial" w:hAnsi="Arial"/>
          <w:sz w:val="15"/>
          <w:szCs w:val="15"/>
          <w:color w:val="000000"/>
        </w:rPr>
        <w:t>53</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COMMITTEE</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MEMBERSHIPS</w:t>
      </w:r>
    </w:p>
    <w:p>
      <w:pPr>
        <w:spacing w:after="0" w:line="90" w:lineRule="exact"/>
        <w:rPr>
          <w:sz w:val="20"/>
          <w:szCs w:val="20"/>
          <w:color w:val="auto"/>
        </w:rPr>
      </w:pPr>
    </w:p>
    <w:p>
      <w:pPr>
        <w:ind w:left="440" w:hanging="307"/>
        <w:spacing w:after="0"/>
        <w:tabs>
          <w:tab w:leader="none" w:pos="440" w:val="left"/>
        </w:tabs>
        <w:numPr>
          <w:ilvl w:val="0"/>
          <w:numId w:val="62"/>
        </w:numPr>
        <w:rPr>
          <w:rFonts w:ascii="Times New Roman" w:cs="Times New Roman" w:eastAsia="Times New Roman" w:hAnsi="Times New Roman"/>
          <w:sz w:val="15"/>
          <w:szCs w:val="15"/>
          <w:color w:val="001544"/>
        </w:rPr>
      </w:pPr>
      <w:r>
        <w:rPr>
          <w:rFonts w:ascii="Arial" w:cs="Arial" w:eastAsia="Arial" w:hAnsi="Arial"/>
          <w:sz w:val="15"/>
          <w:szCs w:val="15"/>
          <w:color w:val="auto"/>
        </w:rPr>
        <w:t>Audit Committee</w:t>
      </w:r>
    </w:p>
    <w:p>
      <w:pPr>
        <w:spacing w:after="0" w:line="65" w:lineRule="exact"/>
        <w:rPr>
          <w:rFonts w:ascii="Times New Roman" w:cs="Times New Roman" w:eastAsia="Times New Roman" w:hAnsi="Times New Roman"/>
          <w:sz w:val="15"/>
          <w:szCs w:val="15"/>
          <w:color w:val="001544"/>
        </w:rPr>
      </w:pPr>
    </w:p>
    <w:p>
      <w:pPr>
        <w:ind w:left="440" w:hanging="307"/>
        <w:spacing w:after="0" w:line="299" w:lineRule="auto"/>
        <w:tabs>
          <w:tab w:leader="none" w:pos="439" w:val="left"/>
        </w:tabs>
        <w:numPr>
          <w:ilvl w:val="0"/>
          <w:numId w:val="62"/>
        </w:numPr>
        <w:rPr>
          <w:rFonts w:ascii="Times New Roman" w:cs="Times New Roman" w:eastAsia="Times New Roman" w:hAnsi="Times New Roman"/>
          <w:sz w:val="14"/>
          <w:szCs w:val="14"/>
          <w:color w:val="001544"/>
        </w:rPr>
      </w:pPr>
      <w:r>
        <w:rPr>
          <w:rFonts w:ascii="Arial" w:cs="Arial" w:eastAsia="Arial" w:hAnsi="Arial"/>
          <w:sz w:val="14"/>
          <w:szCs w:val="14"/>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1544"/>
        </w:rPr>
        <w:t>EXPERIENCE</w:t>
      </w:r>
    </w:p>
    <w:p>
      <w:pPr>
        <w:spacing w:after="0" w:line="79" w:lineRule="exact"/>
        <w:rPr>
          <w:sz w:val="20"/>
          <w:szCs w:val="20"/>
          <w:color w:val="auto"/>
        </w:rPr>
      </w:pPr>
    </w:p>
    <w:p>
      <w:pPr>
        <w:ind w:left="300" w:right="60" w:hanging="293"/>
        <w:spacing w:after="0" w:line="296" w:lineRule="auto"/>
        <w:tabs>
          <w:tab w:leader="none" w:pos="299" w:val="left"/>
        </w:tabs>
        <w:numPr>
          <w:ilvl w:val="0"/>
          <w:numId w:val="63"/>
        </w:numPr>
        <w:rPr>
          <w:rFonts w:ascii="Times New Roman" w:cs="Times New Roman" w:eastAsia="Times New Roman" w:hAnsi="Times New Roman"/>
          <w:sz w:val="15"/>
          <w:szCs w:val="15"/>
          <w:color w:val="001544"/>
        </w:rPr>
      </w:pPr>
      <w:r>
        <w:rPr>
          <w:rFonts w:ascii="Arial" w:cs="Arial" w:eastAsia="Arial" w:hAnsi="Arial"/>
          <w:sz w:val="15"/>
          <w:szCs w:val="15"/>
          <w:color w:val="auto"/>
        </w:rPr>
        <w:t>General Partner, Open Opportunity Fund, L.P. since August 2024</w:t>
      </w:r>
    </w:p>
    <w:p>
      <w:pPr>
        <w:ind w:left="300" w:hanging="293"/>
        <w:spacing w:after="0" w:line="271" w:lineRule="auto"/>
        <w:tabs>
          <w:tab w:leader="none" w:pos="299" w:val="left"/>
        </w:tabs>
        <w:numPr>
          <w:ilvl w:val="0"/>
          <w:numId w:val="63"/>
        </w:numPr>
        <w:rPr>
          <w:rFonts w:ascii="Times New Roman" w:cs="Times New Roman" w:eastAsia="Times New Roman" w:hAnsi="Times New Roman"/>
          <w:sz w:val="15"/>
          <w:szCs w:val="15"/>
          <w:color w:val="001544"/>
        </w:rPr>
      </w:pPr>
      <w:r>
        <w:rPr>
          <w:rFonts w:ascii="Arial" w:cs="Arial" w:eastAsia="Arial" w:hAnsi="Arial"/>
          <w:sz w:val="15"/>
          <w:szCs w:val="15"/>
          <w:color w:val="auto"/>
        </w:rPr>
        <w:t>SVP, Strategic Banking &amp; Wealth Management at Salesforce, Inc. (NYSE: CRM) from September 2022 to October 2023</w:t>
      </w:r>
    </w:p>
    <w:p>
      <w:pPr>
        <w:spacing w:after="0" w:line="18" w:lineRule="exact"/>
        <w:rPr>
          <w:rFonts w:ascii="Times New Roman" w:cs="Times New Roman" w:eastAsia="Times New Roman" w:hAnsi="Times New Roman"/>
          <w:sz w:val="15"/>
          <w:szCs w:val="15"/>
          <w:color w:val="001544"/>
        </w:rPr>
      </w:pPr>
    </w:p>
    <w:p>
      <w:pPr>
        <w:ind w:left="300" w:right="100" w:hanging="293"/>
        <w:spacing w:after="0" w:line="262" w:lineRule="auto"/>
        <w:tabs>
          <w:tab w:leader="none" w:pos="299" w:val="left"/>
        </w:tabs>
        <w:numPr>
          <w:ilvl w:val="0"/>
          <w:numId w:val="63"/>
        </w:numPr>
        <w:rPr>
          <w:rFonts w:ascii="Times New Roman" w:cs="Times New Roman" w:eastAsia="Times New Roman" w:hAnsi="Times New Roman"/>
          <w:sz w:val="15"/>
          <w:szCs w:val="15"/>
          <w:color w:val="001544"/>
        </w:rPr>
      </w:pPr>
      <w:r>
        <w:rPr>
          <w:rFonts w:ascii="Arial" w:cs="Arial" w:eastAsia="Arial" w:hAnsi="Arial"/>
          <w:sz w:val="15"/>
          <w:szCs w:val="15"/>
          <w:color w:val="auto"/>
        </w:rPr>
        <w:t>Managing Director, General Manager-Capital Markets, Microsoft Corporation, where he led the US Capital Markets division from September 2019 to September 2022</w:t>
      </w:r>
    </w:p>
    <w:p>
      <w:pPr>
        <w:spacing w:after="0" w:line="37" w:lineRule="exact"/>
        <w:rPr>
          <w:rFonts w:ascii="Times New Roman" w:cs="Times New Roman" w:eastAsia="Times New Roman" w:hAnsi="Times New Roman"/>
          <w:sz w:val="15"/>
          <w:szCs w:val="15"/>
          <w:color w:val="001544"/>
        </w:rPr>
      </w:pPr>
    </w:p>
    <w:p>
      <w:pPr>
        <w:ind w:left="300" w:right="300" w:hanging="293"/>
        <w:spacing w:after="0" w:line="271" w:lineRule="auto"/>
        <w:tabs>
          <w:tab w:leader="none" w:pos="299" w:val="left"/>
        </w:tabs>
        <w:numPr>
          <w:ilvl w:val="0"/>
          <w:numId w:val="63"/>
        </w:numPr>
        <w:rPr>
          <w:rFonts w:ascii="Times New Roman" w:cs="Times New Roman" w:eastAsia="Times New Roman" w:hAnsi="Times New Roman"/>
          <w:sz w:val="15"/>
          <w:szCs w:val="15"/>
          <w:color w:val="001544"/>
        </w:rPr>
      </w:pPr>
      <w:r>
        <w:rPr>
          <w:rFonts w:ascii="Arial" w:cs="Arial" w:eastAsia="Arial" w:hAnsi="Arial"/>
          <w:sz w:val="15"/>
          <w:szCs w:val="15"/>
          <w:color w:val="auto"/>
        </w:rPr>
        <w:t>Head of Sales &amp; Marketing at Bridgewater Associates from December 2016 to January 2019</w:t>
      </w:r>
    </w:p>
    <w:p>
      <w:pPr>
        <w:spacing w:after="0" w:line="18" w:lineRule="exact"/>
        <w:rPr>
          <w:rFonts w:ascii="Times New Roman" w:cs="Times New Roman" w:eastAsia="Times New Roman" w:hAnsi="Times New Roman"/>
          <w:sz w:val="15"/>
          <w:szCs w:val="15"/>
          <w:color w:val="001544"/>
        </w:rPr>
      </w:pPr>
    </w:p>
    <w:p>
      <w:pPr>
        <w:ind w:left="300" w:hanging="293"/>
        <w:spacing w:after="0" w:line="252" w:lineRule="auto"/>
        <w:tabs>
          <w:tab w:leader="none" w:pos="299" w:val="left"/>
        </w:tabs>
        <w:numPr>
          <w:ilvl w:val="0"/>
          <w:numId w:val="63"/>
        </w:numPr>
        <w:rPr>
          <w:rFonts w:ascii="Times New Roman" w:cs="Times New Roman" w:eastAsia="Times New Roman" w:hAnsi="Times New Roman"/>
          <w:sz w:val="15"/>
          <w:szCs w:val="15"/>
          <w:color w:val="001544"/>
        </w:rPr>
      </w:pPr>
      <w:r>
        <w:rPr>
          <w:rFonts w:ascii="Arial" w:cs="Arial" w:eastAsia="Arial" w:hAnsi="Arial"/>
          <w:sz w:val="15"/>
          <w:szCs w:val="15"/>
          <w:color w:val="auto"/>
        </w:rPr>
        <w:t>Key sales leadership, business development, management and other senior client engagement roles at: Lazard Asset Management (as Managing Director &amp; Head of Alternative Investments—Americas, from 2013 to 2016); and Citadel Asset Management (as Acting Head, and Director of Distribution— Americas from 2010 to 2013)</w:t>
      </w:r>
    </w:p>
    <w:p>
      <w:pPr>
        <w:spacing w:after="0" w:line="33" w:lineRule="exact"/>
        <w:rPr>
          <w:rFonts w:ascii="Times New Roman" w:cs="Times New Roman" w:eastAsia="Times New Roman" w:hAnsi="Times New Roman"/>
          <w:sz w:val="15"/>
          <w:szCs w:val="15"/>
          <w:color w:val="001544"/>
        </w:rPr>
      </w:pPr>
    </w:p>
    <w:p>
      <w:pPr>
        <w:ind w:left="300" w:right="220" w:hanging="293"/>
        <w:spacing w:after="0" w:line="257" w:lineRule="auto"/>
        <w:tabs>
          <w:tab w:leader="none" w:pos="299" w:val="left"/>
        </w:tabs>
        <w:numPr>
          <w:ilvl w:val="0"/>
          <w:numId w:val="63"/>
        </w:numPr>
        <w:rPr>
          <w:rFonts w:ascii="Times New Roman" w:cs="Times New Roman" w:eastAsia="Times New Roman" w:hAnsi="Times New Roman"/>
          <w:sz w:val="15"/>
          <w:szCs w:val="15"/>
          <w:color w:val="001544"/>
        </w:rPr>
      </w:pPr>
      <w:r>
        <w:rPr>
          <w:rFonts w:ascii="Arial" w:cs="Arial" w:eastAsia="Arial" w:hAnsi="Arial"/>
          <w:sz w:val="15"/>
          <w:szCs w:val="15"/>
          <w:color w:val="auto"/>
        </w:rPr>
        <w:t>Various roles over 16 years at J.P. Morgan Chase &amp; Co., with the last four years of his tenure at J.P. Morgan Asset Management, serving as Managing Director, Senior Client Advisor, overseeing business development</w:t>
      </w:r>
    </w:p>
    <w:p>
      <w:pPr>
        <w:spacing w:after="0" w:line="43" w:lineRule="exact"/>
        <w:rPr>
          <w:sz w:val="20"/>
          <w:szCs w:val="20"/>
          <w:color w:val="auto"/>
        </w:rPr>
      </w:pPr>
    </w:p>
    <w:p>
      <w:pPr>
        <w:jc w:val="center"/>
        <w:ind w:right="160"/>
        <w:spacing w:after="0"/>
        <w:rPr>
          <w:sz w:val="20"/>
          <w:szCs w:val="20"/>
          <w:color w:val="auto"/>
        </w:rPr>
      </w:pPr>
      <w:r>
        <w:rPr>
          <w:rFonts w:ascii="Arial" w:cs="Arial" w:eastAsia="Arial" w:hAnsi="Arial"/>
          <w:sz w:val="15"/>
          <w:szCs w:val="15"/>
          <w:b w:val="1"/>
          <w:bCs w:val="1"/>
          <w:color w:val="001544"/>
        </w:rPr>
        <w:t>QUALIFICATIONS, ATTRIBUTES AND SKILLS</w:t>
      </w:r>
    </w:p>
    <w:p>
      <w:pPr>
        <w:spacing w:after="0" w:line="66" w:lineRule="exact"/>
        <w:rPr>
          <w:sz w:val="20"/>
          <w:szCs w:val="20"/>
          <w:color w:val="auto"/>
        </w:rPr>
      </w:pPr>
    </w:p>
    <w:p>
      <w:pPr>
        <w:ind w:left="300" w:right="140" w:hanging="293"/>
        <w:spacing w:after="0" w:line="257" w:lineRule="auto"/>
        <w:tabs>
          <w:tab w:leader="none" w:pos="299" w:val="left"/>
        </w:tabs>
        <w:numPr>
          <w:ilvl w:val="0"/>
          <w:numId w:val="64"/>
        </w:numPr>
        <w:rPr>
          <w:rFonts w:ascii="Times New Roman" w:cs="Times New Roman" w:eastAsia="Times New Roman" w:hAnsi="Times New Roman"/>
          <w:sz w:val="15"/>
          <w:szCs w:val="15"/>
          <w:color w:val="001544"/>
        </w:rPr>
      </w:pPr>
      <w:r>
        <w:rPr>
          <w:rFonts w:ascii="Arial" w:cs="Arial" w:eastAsia="Arial" w:hAnsi="Arial"/>
          <w:sz w:val="15"/>
          <w:szCs w:val="15"/>
          <w:color w:val="auto"/>
        </w:rPr>
        <w:t>Seasoned professional with over 25 years of business development, sales, strategy, leadership and management experience at premier financial services organizations and technology companies</w:t>
      </w:r>
    </w:p>
    <w:p>
      <w:pPr>
        <w:spacing w:after="0" w:line="20" w:lineRule="exact"/>
        <w:rPr>
          <w:sz w:val="20"/>
          <w:szCs w:val="20"/>
          <w:color w:val="auto"/>
        </w:rPr>
      </w:pPr>
      <w:r>
        <w:rPr>
          <w:sz w:val="20"/>
          <w:szCs w:val="20"/>
          <w:color w:val="auto"/>
        </w:rPr>
        <w:br w:type="column"/>
      </w:r>
    </w:p>
    <w:p>
      <w:pPr>
        <w:ind w:left="300" w:right="160" w:hanging="292"/>
        <w:spacing w:after="0" w:line="255" w:lineRule="auto"/>
        <w:tabs>
          <w:tab w:leader="none" w:pos="299" w:val="left"/>
        </w:tabs>
        <w:numPr>
          <w:ilvl w:val="0"/>
          <w:numId w:val="65"/>
        </w:numPr>
        <w:rPr>
          <w:rFonts w:ascii="Times New Roman" w:cs="Times New Roman" w:eastAsia="Times New Roman" w:hAnsi="Times New Roman"/>
          <w:sz w:val="15"/>
          <w:szCs w:val="15"/>
          <w:color w:val="001544"/>
        </w:rPr>
      </w:pPr>
      <w:r>
        <w:rPr>
          <w:rFonts w:ascii="Arial" w:cs="Arial" w:eastAsia="Arial" w:hAnsi="Arial"/>
          <w:sz w:val="15"/>
          <w:szCs w:val="15"/>
          <w:color w:val="auto"/>
        </w:rPr>
        <w:t>Possesses fintech acumen and deep financial services industry expertise across investment banking, debt &amp; equity capital markets, private wealth &amp; institutional asset management across traditional assets and alternative investments (hedge funds, private equity, and real assets)</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OTHER POSITIONS/RECOGNITIONS</w:t>
      </w:r>
    </w:p>
    <w:p>
      <w:pPr>
        <w:spacing w:after="0" w:line="66" w:lineRule="exact"/>
        <w:rPr>
          <w:sz w:val="20"/>
          <w:szCs w:val="20"/>
          <w:color w:val="auto"/>
        </w:rPr>
      </w:pPr>
    </w:p>
    <w:p>
      <w:pPr>
        <w:ind w:left="300" w:right="160" w:hanging="292"/>
        <w:spacing w:after="0" w:line="271" w:lineRule="auto"/>
        <w:tabs>
          <w:tab w:leader="none" w:pos="299" w:val="left"/>
        </w:tabs>
        <w:numPr>
          <w:ilvl w:val="0"/>
          <w:numId w:val="66"/>
        </w:numPr>
        <w:rPr>
          <w:rFonts w:ascii="Times New Roman" w:cs="Times New Roman" w:eastAsia="Times New Roman" w:hAnsi="Times New Roman"/>
          <w:sz w:val="15"/>
          <w:szCs w:val="15"/>
          <w:color w:val="001544"/>
        </w:rPr>
      </w:pPr>
      <w:r>
        <w:rPr>
          <w:rFonts w:ascii="Arial" w:cs="Arial" w:eastAsia="Arial" w:hAnsi="Arial"/>
          <w:sz w:val="15"/>
          <w:szCs w:val="15"/>
          <w:color w:val="auto"/>
        </w:rPr>
        <w:t>New York Hall of Science (non-profit) 2022-present, Co-Chair, Nominating and Governance Committee</w:t>
      </w:r>
    </w:p>
    <w:p>
      <w:pPr>
        <w:spacing w:after="0" w:line="18" w:lineRule="exact"/>
        <w:rPr>
          <w:rFonts w:ascii="Times New Roman" w:cs="Times New Roman" w:eastAsia="Times New Roman" w:hAnsi="Times New Roman"/>
          <w:sz w:val="15"/>
          <w:szCs w:val="15"/>
          <w:color w:val="001544"/>
        </w:rPr>
      </w:pPr>
    </w:p>
    <w:p>
      <w:pPr>
        <w:ind w:left="300" w:right="660" w:hanging="292"/>
        <w:spacing w:after="0" w:line="297" w:lineRule="auto"/>
        <w:tabs>
          <w:tab w:leader="none" w:pos="299" w:val="left"/>
        </w:tabs>
        <w:numPr>
          <w:ilvl w:val="0"/>
          <w:numId w:val="66"/>
        </w:numPr>
        <w:rPr>
          <w:rFonts w:ascii="Times New Roman" w:cs="Times New Roman" w:eastAsia="Times New Roman" w:hAnsi="Times New Roman"/>
          <w:sz w:val="15"/>
          <w:szCs w:val="15"/>
          <w:color w:val="001544"/>
        </w:rPr>
      </w:pPr>
      <w:r>
        <w:rPr>
          <w:rFonts w:ascii="Arial" w:cs="Arial" w:eastAsia="Arial" w:hAnsi="Arial"/>
          <w:sz w:val="15"/>
          <w:szCs w:val="15"/>
          <w:color w:val="auto"/>
        </w:rPr>
        <w:t>Former Expert Network Member at M12, Microsoft’s venture fund (2021 to 2022)</w:t>
      </w:r>
    </w:p>
    <w:p>
      <w:pPr>
        <w:spacing w:after="0" w:line="12" w:lineRule="exact"/>
        <w:rPr>
          <w:rFonts w:ascii="Times New Roman" w:cs="Times New Roman" w:eastAsia="Times New Roman" w:hAnsi="Times New Roman"/>
          <w:sz w:val="15"/>
          <w:szCs w:val="15"/>
          <w:color w:val="001544"/>
        </w:rPr>
      </w:pPr>
    </w:p>
    <w:p>
      <w:pPr>
        <w:ind w:left="300" w:right="160" w:hanging="292"/>
        <w:spacing w:after="0" w:line="271" w:lineRule="auto"/>
        <w:tabs>
          <w:tab w:leader="none" w:pos="299" w:val="left"/>
        </w:tabs>
        <w:numPr>
          <w:ilvl w:val="0"/>
          <w:numId w:val="66"/>
        </w:numPr>
        <w:rPr>
          <w:rFonts w:ascii="Times New Roman" w:cs="Times New Roman" w:eastAsia="Times New Roman" w:hAnsi="Times New Roman"/>
          <w:sz w:val="15"/>
          <w:szCs w:val="15"/>
          <w:color w:val="001544"/>
        </w:rPr>
      </w:pPr>
      <w:r>
        <w:rPr>
          <w:rFonts w:ascii="Arial" w:cs="Arial" w:eastAsia="Arial" w:hAnsi="Arial"/>
          <w:sz w:val="15"/>
          <w:szCs w:val="15"/>
          <w:color w:val="auto"/>
        </w:rPr>
        <w:t>Former Board Member, Chair of Finance Committee, The Robert Toigo Foundation (2008 to 2012)</w:t>
      </w:r>
    </w:p>
    <w:p>
      <w:pPr>
        <w:spacing w:after="0" w:line="18" w:lineRule="exact"/>
        <w:rPr>
          <w:rFonts w:ascii="Times New Roman" w:cs="Times New Roman" w:eastAsia="Times New Roman" w:hAnsi="Times New Roman"/>
          <w:sz w:val="15"/>
          <w:szCs w:val="15"/>
          <w:color w:val="001544"/>
        </w:rPr>
      </w:pPr>
    </w:p>
    <w:p>
      <w:pPr>
        <w:ind w:left="300" w:hanging="292"/>
        <w:spacing w:after="0" w:line="296" w:lineRule="auto"/>
        <w:tabs>
          <w:tab w:leader="none" w:pos="299" w:val="left"/>
        </w:tabs>
        <w:numPr>
          <w:ilvl w:val="0"/>
          <w:numId w:val="66"/>
        </w:numPr>
        <w:rPr>
          <w:rFonts w:ascii="Times New Roman" w:cs="Times New Roman" w:eastAsia="Times New Roman" w:hAnsi="Times New Roman"/>
          <w:sz w:val="15"/>
          <w:szCs w:val="15"/>
          <w:color w:val="001544"/>
        </w:rPr>
      </w:pPr>
      <w:r>
        <w:rPr>
          <w:rFonts w:ascii="Arial" w:cs="Arial" w:eastAsia="Arial" w:hAnsi="Arial"/>
          <w:sz w:val="15"/>
          <w:szCs w:val="15"/>
          <w:color w:val="auto"/>
        </w:rPr>
        <w:t>Achievement First-Endeavor Charter School (non-profit), Chairman of the Board (2005 to 2010)</w:t>
      </w:r>
    </w:p>
    <w:p>
      <w:pPr>
        <w:ind w:left="300" w:right="120" w:hanging="292"/>
        <w:spacing w:after="0" w:line="297" w:lineRule="auto"/>
        <w:tabs>
          <w:tab w:leader="none" w:pos="299" w:val="left"/>
        </w:tabs>
        <w:numPr>
          <w:ilvl w:val="0"/>
          <w:numId w:val="66"/>
        </w:numPr>
        <w:rPr>
          <w:rFonts w:ascii="Times New Roman" w:cs="Times New Roman" w:eastAsia="Times New Roman" w:hAnsi="Times New Roman"/>
          <w:sz w:val="15"/>
          <w:szCs w:val="15"/>
          <w:color w:val="001544"/>
        </w:rPr>
      </w:pPr>
      <w:r>
        <w:rPr>
          <w:rFonts w:ascii="Arial" w:cs="Arial" w:eastAsia="Arial" w:hAnsi="Arial"/>
          <w:sz w:val="15"/>
          <w:szCs w:val="15"/>
          <w:color w:val="auto"/>
        </w:rPr>
        <w:t>Robert Toigo Fellow recipient (Harvard Business School)</w:t>
      </w:r>
    </w:p>
    <w:p>
      <w:pPr>
        <w:spacing w:after="0" w:line="12" w:lineRule="exact"/>
        <w:rPr>
          <w:rFonts w:ascii="Times New Roman" w:cs="Times New Roman" w:eastAsia="Times New Roman" w:hAnsi="Times New Roman"/>
          <w:sz w:val="15"/>
          <w:szCs w:val="15"/>
          <w:color w:val="001544"/>
        </w:rPr>
      </w:pPr>
    </w:p>
    <w:p>
      <w:pPr>
        <w:ind w:left="300" w:right="60" w:hanging="292"/>
        <w:spacing w:after="0" w:line="253" w:lineRule="auto"/>
        <w:tabs>
          <w:tab w:leader="none" w:pos="299" w:val="left"/>
        </w:tabs>
        <w:numPr>
          <w:ilvl w:val="0"/>
          <w:numId w:val="66"/>
        </w:numPr>
        <w:rPr>
          <w:rFonts w:ascii="Times New Roman" w:cs="Times New Roman" w:eastAsia="Times New Roman" w:hAnsi="Times New Roman"/>
          <w:sz w:val="15"/>
          <w:szCs w:val="15"/>
          <w:color w:val="001544"/>
        </w:rPr>
      </w:pPr>
      <w:r>
        <w:rPr>
          <w:rFonts w:ascii="Arial" w:cs="Arial" w:eastAsia="Arial" w:hAnsi="Arial"/>
          <w:sz w:val="15"/>
          <w:szCs w:val="15"/>
          <w:color w:val="auto"/>
        </w:rPr>
        <w:t>At Morehouse College: Oprah Winfrey full-academic scholarship recipient, a Ford Foundation Doctoral Scholar and a Woodrow Wilson Foundation Public Policy &amp; International Affairs Fellow, and as president of the student body and a representative on Morehouse’s Board of Trustees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EDUCATION</w:t>
      </w:r>
    </w:p>
    <w:p>
      <w:pPr>
        <w:spacing w:after="0" w:line="66" w:lineRule="exact"/>
        <w:rPr>
          <w:sz w:val="20"/>
          <w:szCs w:val="20"/>
          <w:color w:val="auto"/>
        </w:rPr>
      </w:pPr>
    </w:p>
    <w:p>
      <w:pPr>
        <w:ind w:left="300" w:hanging="292"/>
        <w:spacing w:after="0"/>
        <w:tabs>
          <w:tab w:leader="none" w:pos="300" w:val="left"/>
        </w:tabs>
        <w:numPr>
          <w:ilvl w:val="0"/>
          <w:numId w:val="67"/>
        </w:numPr>
        <w:rPr>
          <w:rFonts w:ascii="Times New Roman" w:cs="Times New Roman" w:eastAsia="Times New Roman" w:hAnsi="Times New Roman"/>
          <w:sz w:val="15"/>
          <w:szCs w:val="15"/>
          <w:color w:val="001544"/>
        </w:rPr>
      </w:pPr>
      <w:r>
        <w:rPr>
          <w:rFonts w:ascii="Arial" w:cs="Arial" w:eastAsia="Arial" w:hAnsi="Arial"/>
          <w:sz w:val="15"/>
          <w:szCs w:val="15"/>
          <w:color w:val="auto"/>
        </w:rPr>
        <w:t>Bachelor of Arts, Morehouse College</w:t>
      </w:r>
    </w:p>
    <w:p>
      <w:pPr>
        <w:spacing w:after="0" w:line="90" w:lineRule="exact"/>
        <w:rPr>
          <w:rFonts w:ascii="Times New Roman" w:cs="Times New Roman" w:eastAsia="Times New Roman" w:hAnsi="Times New Roman"/>
          <w:sz w:val="15"/>
          <w:szCs w:val="15"/>
          <w:color w:val="001544"/>
        </w:rPr>
      </w:pPr>
    </w:p>
    <w:p>
      <w:pPr>
        <w:ind w:left="300" w:right="460" w:hanging="292"/>
        <w:spacing w:after="0" w:line="297" w:lineRule="auto"/>
        <w:tabs>
          <w:tab w:leader="none" w:pos="299" w:val="left"/>
        </w:tabs>
        <w:numPr>
          <w:ilvl w:val="0"/>
          <w:numId w:val="67"/>
        </w:numPr>
        <w:rPr>
          <w:rFonts w:ascii="Times New Roman" w:cs="Times New Roman" w:eastAsia="Times New Roman" w:hAnsi="Times New Roman"/>
          <w:sz w:val="15"/>
          <w:szCs w:val="15"/>
          <w:color w:val="001544"/>
        </w:rPr>
      </w:pPr>
      <w:r>
        <w:rPr>
          <w:rFonts w:ascii="Arial" w:cs="Arial" w:eastAsia="Arial" w:hAnsi="Arial"/>
          <w:sz w:val="15"/>
          <w:szCs w:val="15"/>
          <w:color w:val="auto"/>
        </w:rPr>
        <w:t>Master of Business Administration, Harvard Business School</w:t>
      </w:r>
    </w:p>
    <w:p>
      <w:pPr>
        <w:spacing w:after="0" w:line="357" w:lineRule="exact"/>
        <w:rPr>
          <w:sz w:val="20"/>
          <w:szCs w:val="20"/>
          <w:color w:val="auto"/>
        </w:rPr>
      </w:pPr>
    </w:p>
    <w:p>
      <w:pPr>
        <w:sectPr>
          <w:pgSz w:w="11900" w:h="16838" w:orient="portrait"/>
          <w:cols w:equalWidth="0" w:num="3">
            <w:col w:w="1960" w:space="280"/>
            <w:col w:w="3420" w:space="100"/>
            <w:col w:w="3660"/>
          </w:cols>
          <w:pgMar w:left="1200" w:top="48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color w:val="008861"/>
        </w:rPr>
        <w:t>|</w:t>
      </w:r>
      <w:r>
        <w:rPr>
          <w:rFonts w:ascii="Arial" w:cs="Arial" w:eastAsia="Arial" w:hAnsi="Arial"/>
          <w:sz w:val="16"/>
          <w:szCs w:val="16"/>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20"/>
          </w:cols>
          <w:pgMar w:left="1200" w:top="487" w:right="127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149860</wp:posOffset>
            </wp:positionV>
            <wp:extent cx="6009005" cy="3035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09005" cy="3035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p>
      <w:pPr>
        <w:spacing w:after="0" w:line="314"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FFFFFF"/>
        </w:rPr>
        <w:t>DALE ANNE REISS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85725</wp:posOffset>
            </wp:positionV>
            <wp:extent cx="1380490" cy="4588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80490" cy="4588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sz w:val="1"/>
          <w:szCs w:val="1"/>
          <w:color w:val="auto"/>
        </w:rPr>
        <w:drawing>
          <wp:inline distT="0" distB="0" distL="0" distR="0">
            <wp:extent cx="231140" cy="1752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1140" cy="175260"/>
                    </a:xfrm>
                    <a:prstGeom prst="rect">
                      <a:avLst/>
                    </a:prstGeom>
                    <a:noFill/>
                    <a:ln>
                      <a:noFill/>
                    </a:ln>
                  </pic:spPr>
                </pic:pic>
              </a:graphicData>
            </a:graphic>
          </wp:inline>
        </w:drawing>
      </w:r>
      <w:r>
        <w:rPr>
          <w:rFonts w:ascii="Arial" w:cs="Arial" w:eastAsia="Arial" w:hAnsi="Arial"/>
          <w:sz w:val="16"/>
          <w:szCs w:val="16"/>
          <w:color w:val="FFFFFF"/>
        </w:rPr>
        <w:t>  Independent Director since 2019</w:t>
      </w:r>
    </w:p>
    <w:p>
      <w:pPr>
        <w:spacing w:after="0" w:line="135" w:lineRule="exact"/>
        <w:rPr>
          <w:sz w:val="20"/>
          <w:szCs w:val="20"/>
          <w:color w:val="auto"/>
        </w:rPr>
      </w:pPr>
    </w:p>
    <w:p>
      <w:pPr>
        <w:sectPr>
          <w:pgSz w:w="11900" w:h="16838" w:orient="portrait"/>
          <w:cols w:equalWidth="0" w:num="2">
            <w:col w:w="5760" w:space="720"/>
            <w:col w:w="3000"/>
          </w:cols>
          <w:pgMar w:left="1200" w:top="48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40"/>
        <w:spacing w:after="0" w:line="256" w:lineRule="auto"/>
        <w:rPr>
          <w:sz w:val="20"/>
          <w:szCs w:val="20"/>
          <w:color w:val="auto"/>
        </w:rPr>
      </w:pPr>
      <w:r>
        <w:rPr>
          <w:rFonts w:ascii="Arial" w:cs="Arial" w:eastAsia="Arial" w:hAnsi="Arial"/>
          <w:sz w:val="15"/>
          <w:szCs w:val="15"/>
          <w:b w:val="1"/>
          <w:bCs w:val="1"/>
          <w:color w:val="auto"/>
        </w:rPr>
        <w:t>Former Global and Americas Director of Real Estate, Hospitality and Construction of Ernst &amp; Young LLP</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 xml:space="preserve">AGE </w:t>
      </w:r>
      <w:r>
        <w:rPr>
          <w:rFonts w:ascii="Arial" w:cs="Arial" w:eastAsia="Arial" w:hAnsi="Arial"/>
          <w:sz w:val="15"/>
          <w:szCs w:val="15"/>
          <w:color w:val="000000"/>
        </w:rPr>
        <w:t>77</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COMMITTEE</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MEMBERSHIPS</w:t>
      </w:r>
    </w:p>
    <w:p>
      <w:pPr>
        <w:spacing w:after="0" w:line="90" w:lineRule="exact"/>
        <w:rPr>
          <w:sz w:val="20"/>
          <w:szCs w:val="20"/>
          <w:color w:val="auto"/>
        </w:rPr>
      </w:pPr>
    </w:p>
    <w:p>
      <w:pPr>
        <w:ind w:left="440" w:hanging="307"/>
        <w:spacing w:after="0"/>
        <w:tabs>
          <w:tab w:leader="none" w:pos="440" w:val="left"/>
        </w:tabs>
        <w:numPr>
          <w:ilvl w:val="0"/>
          <w:numId w:val="68"/>
        </w:numPr>
        <w:rPr>
          <w:rFonts w:ascii="Times New Roman" w:cs="Times New Roman" w:eastAsia="Times New Roman" w:hAnsi="Times New Roman"/>
          <w:sz w:val="15"/>
          <w:szCs w:val="15"/>
          <w:color w:val="001544"/>
        </w:rPr>
      </w:pPr>
      <w:r>
        <w:rPr>
          <w:rFonts w:ascii="Arial" w:cs="Arial" w:eastAsia="Arial" w:hAnsi="Arial"/>
          <w:sz w:val="15"/>
          <w:szCs w:val="15"/>
          <w:color w:val="auto"/>
        </w:rPr>
        <w:t>Audit Committee</w:t>
      </w:r>
    </w:p>
    <w:p>
      <w:pPr>
        <w:spacing w:after="0" w:line="65" w:lineRule="exact"/>
        <w:rPr>
          <w:rFonts w:ascii="Times New Roman" w:cs="Times New Roman" w:eastAsia="Times New Roman" w:hAnsi="Times New Roman"/>
          <w:sz w:val="15"/>
          <w:szCs w:val="15"/>
          <w:color w:val="001544"/>
        </w:rPr>
      </w:pPr>
    </w:p>
    <w:p>
      <w:pPr>
        <w:ind w:left="440" w:right="20" w:hanging="307"/>
        <w:spacing w:after="0" w:line="299" w:lineRule="auto"/>
        <w:tabs>
          <w:tab w:leader="none" w:pos="439" w:val="left"/>
        </w:tabs>
        <w:numPr>
          <w:ilvl w:val="0"/>
          <w:numId w:val="68"/>
        </w:numPr>
        <w:rPr>
          <w:rFonts w:ascii="Times New Roman" w:cs="Times New Roman" w:eastAsia="Times New Roman" w:hAnsi="Times New Roman"/>
          <w:sz w:val="14"/>
          <w:szCs w:val="14"/>
          <w:color w:val="001544"/>
        </w:rPr>
      </w:pPr>
      <w:r>
        <w:rPr>
          <w:rFonts w:ascii="Arial" w:cs="Arial" w:eastAsia="Arial" w:hAnsi="Arial"/>
          <w:sz w:val="14"/>
          <w:szCs w:val="14"/>
          <w:color w:val="auto"/>
        </w:rPr>
        <w:t xml:space="preserve">Nominating and Corporate Governance Committee </w:t>
      </w:r>
      <w:r>
        <w:rPr>
          <w:rFonts w:ascii="Arial" w:cs="Arial" w:eastAsia="Arial" w:hAnsi="Arial"/>
          <w:sz w:val="14"/>
          <w:szCs w:val="14"/>
          <w:i w:val="1"/>
          <w:iCs w:val="1"/>
          <w:color w:val="auto"/>
        </w:rPr>
        <w:t>(Chair)</w:t>
      </w:r>
    </w:p>
    <w:p>
      <w:pPr>
        <w:spacing w:after="0" w:line="20" w:lineRule="exact"/>
        <w:rPr>
          <w:sz w:val="20"/>
          <w:szCs w:val="20"/>
          <w:color w:val="auto"/>
        </w:rPr>
      </w:pPr>
      <w:r>
        <w:rPr>
          <w:sz w:val="20"/>
          <w:szCs w:val="20"/>
          <w:color w:val="auto"/>
        </w:rPr>
        <w:br w:type="column"/>
      </w:r>
    </w:p>
    <w:p>
      <w:pPr>
        <w:ind w:left="8"/>
        <w:spacing w:after="0"/>
        <w:rPr>
          <w:sz w:val="20"/>
          <w:szCs w:val="20"/>
          <w:color w:val="auto"/>
        </w:rPr>
      </w:pPr>
      <w:r>
        <w:rPr>
          <w:rFonts w:ascii="Arial" w:cs="Arial" w:eastAsia="Arial" w:hAnsi="Arial"/>
          <w:sz w:val="15"/>
          <w:szCs w:val="15"/>
          <w:b w:val="1"/>
          <w:bCs w:val="1"/>
          <w:color w:val="001544"/>
        </w:rPr>
        <w:t>EXPERIENCE</w:t>
      </w:r>
    </w:p>
    <w:p>
      <w:pPr>
        <w:spacing w:after="0" w:line="79" w:lineRule="exact"/>
        <w:rPr>
          <w:sz w:val="20"/>
          <w:szCs w:val="20"/>
          <w:color w:val="auto"/>
        </w:rPr>
      </w:pPr>
    </w:p>
    <w:p>
      <w:pPr>
        <w:ind w:left="308" w:right="320" w:hanging="293"/>
        <w:spacing w:after="0" w:line="296" w:lineRule="auto"/>
        <w:tabs>
          <w:tab w:leader="none" w:pos="307" w:val="left"/>
        </w:tabs>
        <w:numPr>
          <w:ilvl w:val="0"/>
          <w:numId w:val="69"/>
        </w:numPr>
        <w:rPr>
          <w:rFonts w:ascii="Times New Roman" w:cs="Times New Roman" w:eastAsia="Times New Roman" w:hAnsi="Times New Roman"/>
          <w:sz w:val="15"/>
          <w:szCs w:val="15"/>
          <w:color w:val="001544"/>
        </w:rPr>
      </w:pPr>
      <w:r>
        <w:rPr>
          <w:rFonts w:ascii="Arial" w:cs="Arial" w:eastAsia="Arial" w:hAnsi="Arial"/>
          <w:sz w:val="15"/>
          <w:szCs w:val="15"/>
          <w:color w:val="auto"/>
        </w:rPr>
        <w:t>Senior Managing Director of Brock Capital Group LLC since December 2009</w:t>
      </w:r>
    </w:p>
    <w:p>
      <w:pPr>
        <w:ind w:left="308" w:right="140" w:hanging="293"/>
        <w:spacing w:after="0" w:line="253" w:lineRule="auto"/>
        <w:tabs>
          <w:tab w:leader="none" w:pos="307" w:val="left"/>
        </w:tabs>
        <w:numPr>
          <w:ilvl w:val="0"/>
          <w:numId w:val="69"/>
        </w:numPr>
        <w:rPr>
          <w:rFonts w:ascii="Times New Roman" w:cs="Times New Roman" w:eastAsia="Times New Roman" w:hAnsi="Times New Roman"/>
          <w:sz w:val="15"/>
          <w:szCs w:val="15"/>
          <w:color w:val="001544"/>
        </w:rPr>
      </w:pPr>
      <w:r>
        <w:rPr>
          <w:rFonts w:ascii="Arial" w:cs="Arial" w:eastAsia="Arial" w:hAnsi="Arial"/>
          <w:sz w:val="15"/>
          <w:szCs w:val="15"/>
          <w:color w:val="auto"/>
        </w:rPr>
        <w:t>Senior Partner at Ernst &amp; Young LLP and predecessor firm from 1985 until her retirement in 2008; Global and Americas Director of Real Estate, Hospitality and Construction from 1999 to 2008. Senior consultant to Global Real Estate Center from 2008 to 2011</w:t>
      </w:r>
    </w:p>
    <w:p>
      <w:pPr>
        <w:spacing w:after="0" w:line="33" w:lineRule="exact"/>
        <w:rPr>
          <w:rFonts w:ascii="Times New Roman" w:cs="Times New Roman" w:eastAsia="Times New Roman" w:hAnsi="Times New Roman"/>
          <w:sz w:val="15"/>
          <w:szCs w:val="15"/>
          <w:color w:val="001544"/>
        </w:rPr>
      </w:pPr>
    </w:p>
    <w:p>
      <w:pPr>
        <w:ind w:left="308" w:right="80" w:hanging="293"/>
        <w:spacing w:after="0" w:line="271" w:lineRule="auto"/>
        <w:tabs>
          <w:tab w:leader="none" w:pos="307" w:val="left"/>
        </w:tabs>
        <w:numPr>
          <w:ilvl w:val="0"/>
          <w:numId w:val="69"/>
        </w:numPr>
        <w:rPr>
          <w:rFonts w:ascii="Times New Roman" w:cs="Times New Roman" w:eastAsia="Times New Roman" w:hAnsi="Times New Roman"/>
          <w:sz w:val="15"/>
          <w:szCs w:val="15"/>
          <w:color w:val="001544"/>
        </w:rPr>
      </w:pPr>
      <w:r>
        <w:rPr>
          <w:rFonts w:ascii="Arial" w:cs="Arial" w:eastAsia="Arial" w:hAnsi="Arial"/>
          <w:sz w:val="15"/>
          <w:szCs w:val="15"/>
          <w:color w:val="auto"/>
        </w:rPr>
        <w:t>Senior Vice President and Controller at Urban Investment &amp; Development Company from 1980 to 1985</w:t>
      </w:r>
    </w:p>
    <w:p>
      <w:pPr>
        <w:spacing w:after="0" w:line="31" w:lineRule="exact"/>
        <w:rPr>
          <w:sz w:val="20"/>
          <w:szCs w:val="20"/>
          <w:color w:val="auto"/>
        </w:rPr>
      </w:pPr>
    </w:p>
    <w:p>
      <w:pPr>
        <w:jc w:val="center"/>
        <w:ind w:right="172"/>
        <w:spacing w:after="0"/>
        <w:rPr>
          <w:sz w:val="20"/>
          <w:szCs w:val="20"/>
          <w:color w:val="auto"/>
        </w:rPr>
      </w:pPr>
      <w:r>
        <w:rPr>
          <w:rFonts w:ascii="Arial" w:cs="Arial" w:eastAsia="Arial" w:hAnsi="Arial"/>
          <w:sz w:val="15"/>
          <w:szCs w:val="15"/>
          <w:b w:val="1"/>
          <w:bCs w:val="1"/>
          <w:color w:val="001544"/>
        </w:rPr>
        <w:t>QUALIFICATIONS, ATTRIBUTES AND SKILLS</w:t>
      </w:r>
    </w:p>
    <w:p>
      <w:pPr>
        <w:spacing w:after="0" w:line="66" w:lineRule="exact"/>
        <w:rPr>
          <w:sz w:val="20"/>
          <w:szCs w:val="20"/>
          <w:color w:val="auto"/>
        </w:rPr>
      </w:pPr>
    </w:p>
    <w:p>
      <w:pPr>
        <w:jc w:val="both"/>
        <w:ind w:left="308" w:hanging="293"/>
        <w:spacing w:after="0" w:line="271" w:lineRule="auto"/>
        <w:tabs>
          <w:tab w:leader="none" w:pos="307" w:val="left"/>
        </w:tabs>
        <w:numPr>
          <w:ilvl w:val="1"/>
          <w:numId w:val="70"/>
        </w:numPr>
        <w:rPr>
          <w:rFonts w:ascii="Times New Roman" w:cs="Times New Roman" w:eastAsia="Times New Roman" w:hAnsi="Times New Roman"/>
          <w:sz w:val="15"/>
          <w:szCs w:val="15"/>
          <w:color w:val="001544"/>
        </w:rPr>
      </w:pPr>
      <w:r>
        <w:rPr>
          <w:rFonts w:ascii="Arial" w:cs="Arial" w:eastAsia="Arial" w:hAnsi="Arial"/>
          <w:sz w:val="15"/>
          <w:szCs w:val="15"/>
          <w:color w:val="auto"/>
        </w:rPr>
        <w:t>Extensive expertise in financial and accounting matters from her experience over an extended period at several major public accounting firms</w:t>
      </w:r>
    </w:p>
    <w:p>
      <w:pPr>
        <w:spacing w:after="0" w:line="18" w:lineRule="exact"/>
        <w:rPr>
          <w:rFonts w:ascii="Times New Roman" w:cs="Times New Roman" w:eastAsia="Times New Roman" w:hAnsi="Times New Roman"/>
          <w:sz w:val="15"/>
          <w:szCs w:val="15"/>
          <w:color w:val="001544"/>
        </w:rPr>
      </w:pPr>
    </w:p>
    <w:p>
      <w:pPr>
        <w:ind w:left="308" w:hanging="308"/>
        <w:spacing w:after="0"/>
        <w:tabs>
          <w:tab w:leader="none" w:pos="308" w:val="left"/>
        </w:tabs>
        <w:numPr>
          <w:ilvl w:val="0"/>
          <w:numId w:val="70"/>
        </w:numPr>
        <w:rPr>
          <w:rFonts w:ascii="Times New Roman" w:cs="Times New Roman" w:eastAsia="Times New Roman" w:hAnsi="Times New Roman"/>
          <w:sz w:val="15"/>
          <w:szCs w:val="15"/>
          <w:color w:val="001544"/>
        </w:rPr>
      </w:pPr>
      <w:r>
        <w:rPr>
          <w:rFonts w:ascii="Arial" w:cs="Arial" w:eastAsia="Arial" w:hAnsi="Arial"/>
          <w:sz w:val="15"/>
          <w:szCs w:val="15"/>
          <w:color w:val="auto"/>
        </w:rPr>
        <w:t>Certified Public Accountant</w:t>
      </w:r>
    </w:p>
    <w:p>
      <w:pPr>
        <w:spacing w:after="0" w:line="90" w:lineRule="exact"/>
        <w:rPr>
          <w:rFonts w:ascii="Times New Roman" w:cs="Times New Roman" w:eastAsia="Times New Roman" w:hAnsi="Times New Roman"/>
          <w:sz w:val="15"/>
          <w:szCs w:val="15"/>
          <w:color w:val="001544"/>
        </w:rPr>
      </w:pPr>
    </w:p>
    <w:p>
      <w:pPr>
        <w:ind w:left="308" w:right="20" w:hanging="293"/>
        <w:spacing w:after="0" w:line="271" w:lineRule="auto"/>
        <w:tabs>
          <w:tab w:leader="none" w:pos="307" w:val="left"/>
        </w:tabs>
        <w:numPr>
          <w:ilvl w:val="1"/>
          <w:numId w:val="70"/>
        </w:numPr>
        <w:rPr>
          <w:rFonts w:ascii="Times New Roman" w:cs="Times New Roman" w:eastAsia="Times New Roman" w:hAnsi="Times New Roman"/>
          <w:sz w:val="15"/>
          <w:szCs w:val="15"/>
          <w:color w:val="001544"/>
        </w:rPr>
      </w:pPr>
      <w:r>
        <w:rPr>
          <w:rFonts w:ascii="Arial" w:cs="Arial" w:eastAsia="Arial" w:hAnsi="Arial"/>
          <w:sz w:val="15"/>
          <w:szCs w:val="15"/>
          <w:color w:val="auto"/>
        </w:rPr>
        <w:t>Leadership experience in management and operations from her experience at major public accounting firms</w:t>
      </w:r>
    </w:p>
    <w:p>
      <w:pPr>
        <w:spacing w:after="0" w:line="18" w:lineRule="exact"/>
        <w:rPr>
          <w:rFonts w:ascii="Times New Roman" w:cs="Times New Roman" w:eastAsia="Times New Roman" w:hAnsi="Times New Roman"/>
          <w:sz w:val="15"/>
          <w:szCs w:val="15"/>
          <w:color w:val="001544"/>
        </w:rPr>
      </w:pPr>
    </w:p>
    <w:p>
      <w:pPr>
        <w:ind w:left="308" w:right="220" w:hanging="293"/>
        <w:spacing w:after="0" w:line="296" w:lineRule="auto"/>
        <w:tabs>
          <w:tab w:leader="none" w:pos="307" w:val="left"/>
        </w:tabs>
        <w:numPr>
          <w:ilvl w:val="1"/>
          <w:numId w:val="70"/>
        </w:numPr>
        <w:rPr>
          <w:rFonts w:ascii="Times New Roman" w:cs="Times New Roman" w:eastAsia="Times New Roman" w:hAnsi="Times New Roman"/>
          <w:sz w:val="15"/>
          <w:szCs w:val="15"/>
          <w:color w:val="001544"/>
        </w:rPr>
      </w:pPr>
      <w:r>
        <w:rPr>
          <w:rFonts w:ascii="Arial" w:cs="Arial" w:eastAsia="Arial" w:hAnsi="Arial"/>
          <w:sz w:val="15"/>
          <w:szCs w:val="15"/>
          <w:color w:val="auto"/>
        </w:rPr>
        <w:t>Experience as a director of other public and private companies</w:t>
      </w:r>
    </w:p>
    <w:p>
      <w:pPr>
        <w:spacing w:after="0" w:line="1" w:lineRule="exact"/>
        <w:rPr>
          <w:sz w:val="20"/>
          <w:szCs w:val="20"/>
          <w:color w:val="auto"/>
        </w:rPr>
      </w:pPr>
    </w:p>
    <w:p>
      <w:pPr>
        <w:ind w:left="8" w:right="900"/>
        <w:spacing w:after="0" w:line="292" w:lineRule="auto"/>
        <w:rPr>
          <w:sz w:val="20"/>
          <w:szCs w:val="20"/>
          <w:color w:val="auto"/>
        </w:rPr>
      </w:pPr>
      <w:r>
        <w:rPr>
          <w:rFonts w:ascii="Arial" w:cs="Arial" w:eastAsia="Arial" w:hAnsi="Arial"/>
          <w:sz w:val="15"/>
          <w:szCs w:val="15"/>
          <w:b w:val="1"/>
          <w:bCs w:val="1"/>
          <w:color w:val="001544"/>
        </w:rPr>
        <w:t>OTHER PUBLIC COMPANY BOARD EXPERIENCE</w:t>
      </w:r>
    </w:p>
    <w:p>
      <w:pPr>
        <w:spacing w:after="0" w:line="8" w:lineRule="exact"/>
        <w:rPr>
          <w:sz w:val="20"/>
          <w:szCs w:val="20"/>
          <w:color w:val="auto"/>
        </w:rPr>
      </w:pPr>
    </w:p>
    <w:p>
      <w:pPr>
        <w:ind w:left="308" w:right="400" w:hanging="293"/>
        <w:spacing w:after="0" w:line="262" w:lineRule="auto"/>
        <w:tabs>
          <w:tab w:leader="none" w:pos="307" w:val="left"/>
        </w:tabs>
        <w:numPr>
          <w:ilvl w:val="0"/>
          <w:numId w:val="71"/>
        </w:numPr>
        <w:rPr>
          <w:rFonts w:ascii="Times New Roman" w:cs="Times New Roman" w:eastAsia="Times New Roman" w:hAnsi="Times New Roman"/>
          <w:sz w:val="15"/>
          <w:szCs w:val="15"/>
          <w:color w:val="001544"/>
        </w:rPr>
      </w:pPr>
      <w:r>
        <w:rPr>
          <w:rFonts w:ascii="Arial" w:cs="Arial" w:eastAsia="Arial" w:hAnsi="Arial"/>
          <w:sz w:val="15"/>
          <w:szCs w:val="15"/>
          <w:color w:val="auto"/>
        </w:rPr>
        <w:t>Tutor Perini Corporation (NYSE: TPC) (May 2014 to present; Chair of Audit Committee; Nominating and Governance Committee)</w:t>
      </w:r>
    </w:p>
    <w:p>
      <w:pPr>
        <w:spacing w:after="0" w:line="25" w:lineRule="exact"/>
        <w:rPr>
          <w:rFonts w:ascii="Times New Roman" w:cs="Times New Roman" w:eastAsia="Times New Roman" w:hAnsi="Times New Roman"/>
          <w:sz w:val="15"/>
          <w:szCs w:val="15"/>
          <w:color w:val="001544"/>
        </w:rPr>
      </w:pPr>
    </w:p>
    <w:p>
      <w:pPr>
        <w:ind w:left="308" w:right="300" w:hanging="293"/>
        <w:spacing w:after="0" w:line="271" w:lineRule="auto"/>
        <w:tabs>
          <w:tab w:leader="none" w:pos="307" w:val="left"/>
        </w:tabs>
        <w:numPr>
          <w:ilvl w:val="0"/>
          <w:numId w:val="71"/>
        </w:numPr>
        <w:rPr>
          <w:rFonts w:ascii="Times New Roman" w:cs="Times New Roman" w:eastAsia="Times New Roman" w:hAnsi="Times New Roman"/>
          <w:sz w:val="15"/>
          <w:szCs w:val="15"/>
          <w:color w:val="001544"/>
        </w:rPr>
      </w:pPr>
      <w:r>
        <w:rPr>
          <w:rFonts w:ascii="Arial" w:cs="Arial" w:eastAsia="Arial" w:hAnsi="Arial"/>
          <w:sz w:val="15"/>
          <w:szCs w:val="15"/>
          <w:color w:val="auto"/>
        </w:rPr>
        <w:t>Starwood Real Estate Income Trust, Inc. (November 2017 to present; Chair of Audit Committee)</w:t>
      </w:r>
    </w:p>
    <w:p>
      <w:pPr>
        <w:spacing w:after="0" w:line="18" w:lineRule="exact"/>
        <w:rPr>
          <w:rFonts w:ascii="Times New Roman" w:cs="Times New Roman" w:eastAsia="Times New Roman" w:hAnsi="Times New Roman"/>
          <w:sz w:val="15"/>
          <w:szCs w:val="15"/>
          <w:color w:val="001544"/>
        </w:rPr>
      </w:pPr>
    </w:p>
    <w:p>
      <w:pPr>
        <w:ind w:left="308" w:hanging="293"/>
        <w:spacing w:after="0"/>
        <w:tabs>
          <w:tab w:leader="none" w:pos="308" w:val="left"/>
        </w:tabs>
        <w:numPr>
          <w:ilvl w:val="0"/>
          <w:numId w:val="71"/>
        </w:numPr>
        <w:rPr>
          <w:rFonts w:ascii="Times New Roman" w:cs="Times New Roman" w:eastAsia="Times New Roman" w:hAnsi="Times New Roman"/>
          <w:sz w:val="15"/>
          <w:szCs w:val="15"/>
          <w:color w:val="001544"/>
        </w:rPr>
      </w:pPr>
      <w:r>
        <w:rPr>
          <w:rFonts w:ascii="Arial" w:cs="Arial" w:eastAsia="Arial" w:hAnsi="Arial"/>
          <w:sz w:val="15"/>
          <w:szCs w:val="15"/>
          <w:color w:val="auto"/>
        </w:rPr>
        <w:t>iStar Inc. (NYSE: STAR) (July 2008 to</w:t>
      </w:r>
    </w:p>
    <w:p>
      <w:pPr>
        <w:spacing w:after="0" w:line="25" w:lineRule="exact"/>
        <w:rPr>
          <w:rFonts w:ascii="Times New Roman" w:cs="Times New Roman" w:eastAsia="Times New Roman" w:hAnsi="Times New Roman"/>
          <w:sz w:val="15"/>
          <w:szCs w:val="15"/>
          <w:color w:val="001544"/>
        </w:rPr>
      </w:pPr>
    </w:p>
    <w:p>
      <w:pPr>
        <w:ind w:left="308" w:right="60"/>
        <w:spacing w:after="0" w:line="267" w:lineRule="auto"/>
        <w:rPr>
          <w:rFonts w:ascii="Times New Roman" w:cs="Times New Roman" w:eastAsia="Times New Roman" w:hAnsi="Times New Roman"/>
          <w:sz w:val="15"/>
          <w:szCs w:val="15"/>
          <w:color w:val="001544"/>
        </w:rPr>
      </w:pPr>
      <w:r>
        <w:rPr>
          <w:rFonts w:ascii="Arial" w:cs="Arial" w:eastAsia="Arial" w:hAnsi="Arial"/>
          <w:sz w:val="15"/>
          <w:szCs w:val="15"/>
          <w:color w:val="auto"/>
        </w:rPr>
        <w:t>May 2019; Chair of Audit Committee, Member of Nominating and Governance Committee)</w:t>
      </w:r>
    </w:p>
    <w:p>
      <w:pPr>
        <w:spacing w:after="0" w:line="20" w:lineRule="exact"/>
        <w:rPr>
          <w:sz w:val="20"/>
          <w:szCs w:val="20"/>
          <w:color w:val="auto"/>
        </w:rPr>
      </w:pPr>
      <w:r>
        <w:rPr>
          <w:sz w:val="20"/>
          <w:szCs w:val="20"/>
          <w:color w:val="auto"/>
        </w:rPr>
        <w:br w:type="column"/>
      </w:r>
    </w:p>
    <w:p>
      <w:pPr>
        <w:ind w:left="300" w:right="340" w:hanging="292"/>
        <w:spacing w:after="0" w:line="271" w:lineRule="auto"/>
        <w:tabs>
          <w:tab w:leader="none" w:pos="299" w:val="left"/>
        </w:tabs>
        <w:numPr>
          <w:ilvl w:val="0"/>
          <w:numId w:val="72"/>
        </w:numPr>
        <w:rPr>
          <w:rFonts w:ascii="Times New Roman" w:cs="Times New Roman" w:eastAsia="Times New Roman" w:hAnsi="Times New Roman"/>
          <w:sz w:val="15"/>
          <w:szCs w:val="15"/>
          <w:color w:val="001544"/>
        </w:rPr>
      </w:pPr>
      <w:r>
        <w:rPr>
          <w:rFonts w:ascii="Arial" w:cs="Arial" w:eastAsia="Arial" w:hAnsi="Arial"/>
          <w:sz w:val="15"/>
          <w:szCs w:val="15"/>
          <w:color w:val="auto"/>
        </w:rPr>
        <w:t>Post Properties, Inc. (formerly NYSE: PPS) (October 2008 to May 2013; Audit Committee, Nominating and Governance Committee)</w:t>
      </w:r>
    </w:p>
    <w:p>
      <w:pPr>
        <w:spacing w:after="0" w:line="30" w:lineRule="exact"/>
        <w:rPr>
          <w:rFonts w:ascii="Times New Roman" w:cs="Times New Roman" w:eastAsia="Times New Roman" w:hAnsi="Times New Roman"/>
          <w:sz w:val="15"/>
          <w:szCs w:val="15"/>
          <w:color w:val="001544"/>
        </w:rPr>
      </w:pPr>
    </w:p>
    <w:p>
      <w:pPr>
        <w:ind w:left="300" w:right="420" w:hanging="292"/>
        <w:spacing w:after="0" w:line="262" w:lineRule="auto"/>
        <w:tabs>
          <w:tab w:leader="none" w:pos="299" w:val="left"/>
        </w:tabs>
        <w:numPr>
          <w:ilvl w:val="0"/>
          <w:numId w:val="72"/>
        </w:numPr>
        <w:rPr>
          <w:rFonts w:ascii="Times New Roman" w:cs="Times New Roman" w:eastAsia="Times New Roman" w:hAnsi="Times New Roman"/>
          <w:sz w:val="15"/>
          <w:szCs w:val="15"/>
          <w:color w:val="001544"/>
        </w:rPr>
      </w:pPr>
      <w:r>
        <w:rPr>
          <w:rFonts w:ascii="Arial" w:cs="Arial" w:eastAsia="Arial" w:hAnsi="Arial"/>
          <w:sz w:val="15"/>
          <w:szCs w:val="15"/>
          <w:color w:val="auto"/>
        </w:rPr>
        <w:t>Care Capital Properties Inc. (formerly NYSE: CCP) (August 2015 to August 2017; Chair of Compensation Committee, Nominating and Governance Committee)</w:t>
      </w:r>
    </w:p>
    <w:p>
      <w:pPr>
        <w:spacing w:after="0" w:line="25" w:lineRule="exact"/>
        <w:rPr>
          <w:rFonts w:ascii="Times New Roman" w:cs="Times New Roman" w:eastAsia="Times New Roman" w:hAnsi="Times New Roman"/>
          <w:sz w:val="15"/>
          <w:szCs w:val="15"/>
          <w:color w:val="001544"/>
        </w:rPr>
      </w:pPr>
    </w:p>
    <w:p>
      <w:pPr>
        <w:jc w:val="both"/>
        <w:ind w:left="300" w:right="360" w:hanging="292"/>
        <w:spacing w:after="0" w:line="271" w:lineRule="auto"/>
        <w:tabs>
          <w:tab w:leader="none" w:pos="299" w:val="left"/>
        </w:tabs>
        <w:numPr>
          <w:ilvl w:val="0"/>
          <w:numId w:val="72"/>
        </w:numPr>
        <w:rPr>
          <w:rFonts w:ascii="Times New Roman" w:cs="Times New Roman" w:eastAsia="Times New Roman" w:hAnsi="Times New Roman"/>
          <w:sz w:val="15"/>
          <w:szCs w:val="15"/>
          <w:color w:val="001544"/>
        </w:rPr>
      </w:pPr>
      <w:r>
        <w:rPr>
          <w:rFonts w:ascii="Arial" w:cs="Arial" w:eastAsia="Arial" w:hAnsi="Arial"/>
          <w:sz w:val="15"/>
          <w:szCs w:val="15"/>
          <w:color w:val="auto"/>
        </w:rPr>
        <w:t>CYS Investments, Inc. (formerly NYSE: CYS0 (January 2015 to July 2018; Audit Committee; Nominating and Governance Committee)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OTHER POSITIONS/RECOGNITIONS</w:t>
      </w:r>
    </w:p>
    <w:p>
      <w:pPr>
        <w:spacing w:after="0" w:line="79" w:lineRule="exact"/>
        <w:rPr>
          <w:sz w:val="20"/>
          <w:szCs w:val="20"/>
          <w:color w:val="auto"/>
        </w:rPr>
      </w:pPr>
    </w:p>
    <w:p>
      <w:pPr>
        <w:ind w:left="300" w:right="420" w:hanging="292"/>
        <w:spacing w:after="0" w:line="296" w:lineRule="auto"/>
        <w:tabs>
          <w:tab w:leader="none" w:pos="299" w:val="left"/>
        </w:tabs>
        <w:numPr>
          <w:ilvl w:val="0"/>
          <w:numId w:val="73"/>
        </w:numPr>
        <w:rPr>
          <w:rFonts w:ascii="Times New Roman" w:cs="Times New Roman" w:eastAsia="Times New Roman" w:hAnsi="Times New Roman"/>
          <w:sz w:val="15"/>
          <w:szCs w:val="15"/>
          <w:color w:val="001544"/>
        </w:rPr>
      </w:pPr>
      <w:r>
        <w:rPr>
          <w:rFonts w:ascii="Arial" w:cs="Arial" w:eastAsia="Arial" w:hAnsi="Arial"/>
          <w:sz w:val="15"/>
          <w:szCs w:val="15"/>
          <w:color w:val="auto"/>
        </w:rPr>
        <w:t>Governor and Former Trustee of Urban Land Institute (1998 to present)</w:t>
      </w:r>
    </w:p>
    <w:p>
      <w:pPr>
        <w:ind w:left="300" w:right="680" w:hanging="292"/>
        <w:spacing w:after="0" w:line="296" w:lineRule="auto"/>
        <w:tabs>
          <w:tab w:leader="none" w:pos="299" w:val="left"/>
        </w:tabs>
        <w:numPr>
          <w:ilvl w:val="0"/>
          <w:numId w:val="73"/>
        </w:numPr>
        <w:rPr>
          <w:rFonts w:ascii="Times New Roman" w:cs="Times New Roman" w:eastAsia="Times New Roman" w:hAnsi="Times New Roman"/>
          <w:sz w:val="15"/>
          <w:szCs w:val="15"/>
          <w:color w:val="001544"/>
        </w:rPr>
      </w:pPr>
      <w:r>
        <w:rPr>
          <w:rFonts w:ascii="Arial" w:cs="Arial" w:eastAsia="Arial" w:hAnsi="Arial"/>
          <w:sz w:val="15"/>
          <w:szCs w:val="15"/>
          <w:color w:val="auto"/>
        </w:rPr>
        <w:t>Trustee of Southwest Florida Community Foundation (a/k/a Collaboratory)</w:t>
      </w:r>
    </w:p>
    <w:p>
      <w:pPr>
        <w:ind w:left="300" w:right="200" w:hanging="292"/>
        <w:spacing w:after="0" w:line="297" w:lineRule="auto"/>
        <w:tabs>
          <w:tab w:leader="none" w:pos="299" w:val="left"/>
        </w:tabs>
        <w:numPr>
          <w:ilvl w:val="0"/>
          <w:numId w:val="73"/>
        </w:numPr>
        <w:rPr>
          <w:rFonts w:ascii="Times New Roman" w:cs="Times New Roman" w:eastAsia="Times New Roman" w:hAnsi="Times New Roman"/>
          <w:sz w:val="15"/>
          <w:szCs w:val="15"/>
          <w:color w:val="001544"/>
        </w:rPr>
      </w:pPr>
      <w:r>
        <w:rPr>
          <w:rFonts w:ascii="Arial" w:cs="Arial" w:eastAsia="Arial" w:hAnsi="Arial"/>
          <w:sz w:val="15"/>
          <w:szCs w:val="15"/>
          <w:color w:val="auto"/>
        </w:rPr>
        <w:t>Board member of Educational Housing Services (NYC)</w:t>
      </w:r>
    </w:p>
    <w:p>
      <w:pPr>
        <w:spacing w:after="0" w:line="12" w:lineRule="exact"/>
        <w:rPr>
          <w:rFonts w:ascii="Times New Roman" w:cs="Times New Roman" w:eastAsia="Times New Roman" w:hAnsi="Times New Roman"/>
          <w:sz w:val="15"/>
          <w:szCs w:val="15"/>
          <w:color w:val="001544"/>
        </w:rPr>
      </w:pPr>
    </w:p>
    <w:p>
      <w:pPr>
        <w:ind w:left="300" w:hanging="292"/>
        <w:spacing w:after="0"/>
        <w:tabs>
          <w:tab w:leader="none" w:pos="300" w:val="left"/>
        </w:tabs>
        <w:numPr>
          <w:ilvl w:val="0"/>
          <w:numId w:val="73"/>
        </w:numPr>
        <w:rPr>
          <w:rFonts w:ascii="Times New Roman" w:cs="Times New Roman" w:eastAsia="Times New Roman" w:hAnsi="Times New Roman"/>
          <w:sz w:val="15"/>
          <w:szCs w:val="15"/>
          <w:color w:val="001544"/>
        </w:rPr>
      </w:pPr>
      <w:r>
        <w:rPr>
          <w:rFonts w:ascii="Arial" w:cs="Arial" w:eastAsia="Arial" w:hAnsi="Arial"/>
          <w:sz w:val="15"/>
          <w:szCs w:val="15"/>
          <w:color w:val="auto"/>
        </w:rPr>
        <w:t>Trustee of Sanibel Police Pension Board</w:t>
      </w:r>
    </w:p>
    <w:p>
      <w:pPr>
        <w:spacing w:after="0" w:line="78" w:lineRule="exact"/>
        <w:rPr>
          <w:rFonts w:ascii="Times New Roman" w:cs="Times New Roman" w:eastAsia="Times New Roman" w:hAnsi="Times New Roman"/>
          <w:sz w:val="15"/>
          <w:szCs w:val="15"/>
          <w:color w:val="001544"/>
        </w:rPr>
      </w:pPr>
    </w:p>
    <w:p>
      <w:pPr>
        <w:spacing w:after="0"/>
        <w:rPr>
          <w:rFonts w:ascii="Times New Roman" w:cs="Times New Roman" w:eastAsia="Times New Roman" w:hAnsi="Times New Roman"/>
          <w:sz w:val="15"/>
          <w:szCs w:val="15"/>
          <w:color w:val="001544"/>
        </w:rPr>
      </w:pPr>
      <w:r>
        <w:rPr>
          <w:rFonts w:ascii="Arial" w:cs="Arial" w:eastAsia="Arial" w:hAnsi="Arial"/>
          <w:sz w:val="15"/>
          <w:szCs w:val="15"/>
          <w:b w:val="1"/>
          <w:bCs w:val="1"/>
          <w:color w:val="001544"/>
        </w:rPr>
        <w:t>EDUCATION</w:t>
      </w:r>
    </w:p>
    <w:p>
      <w:pPr>
        <w:spacing w:after="0" w:line="66" w:lineRule="exact"/>
        <w:rPr>
          <w:rFonts w:ascii="Times New Roman" w:cs="Times New Roman" w:eastAsia="Times New Roman" w:hAnsi="Times New Roman"/>
          <w:sz w:val="15"/>
          <w:szCs w:val="15"/>
          <w:color w:val="001544"/>
        </w:rPr>
      </w:pPr>
    </w:p>
    <w:p>
      <w:pPr>
        <w:ind w:left="300" w:right="840" w:hanging="292"/>
        <w:spacing w:after="0" w:line="297" w:lineRule="auto"/>
        <w:tabs>
          <w:tab w:leader="none" w:pos="299" w:val="left"/>
        </w:tabs>
        <w:numPr>
          <w:ilvl w:val="0"/>
          <w:numId w:val="73"/>
        </w:numPr>
        <w:rPr>
          <w:rFonts w:ascii="Times New Roman" w:cs="Times New Roman" w:eastAsia="Times New Roman" w:hAnsi="Times New Roman"/>
          <w:sz w:val="15"/>
          <w:szCs w:val="15"/>
          <w:color w:val="001544"/>
        </w:rPr>
      </w:pPr>
      <w:r>
        <w:rPr>
          <w:rFonts w:ascii="Arial" w:cs="Arial" w:eastAsia="Arial" w:hAnsi="Arial"/>
          <w:sz w:val="15"/>
          <w:szCs w:val="15"/>
          <w:color w:val="auto"/>
        </w:rPr>
        <w:t>Bachelor of Science, Illinois Institute of Technology</w:t>
      </w:r>
    </w:p>
    <w:p>
      <w:pPr>
        <w:spacing w:after="0" w:line="12" w:lineRule="exact"/>
        <w:rPr>
          <w:rFonts w:ascii="Times New Roman" w:cs="Times New Roman" w:eastAsia="Times New Roman" w:hAnsi="Times New Roman"/>
          <w:sz w:val="15"/>
          <w:szCs w:val="15"/>
          <w:color w:val="001544"/>
        </w:rPr>
      </w:pPr>
    </w:p>
    <w:p>
      <w:pPr>
        <w:ind w:left="300" w:right="220" w:hanging="292"/>
        <w:spacing w:after="0" w:line="297" w:lineRule="auto"/>
        <w:tabs>
          <w:tab w:leader="none" w:pos="299" w:val="left"/>
        </w:tabs>
        <w:numPr>
          <w:ilvl w:val="0"/>
          <w:numId w:val="73"/>
        </w:numPr>
        <w:rPr>
          <w:rFonts w:ascii="Times New Roman" w:cs="Times New Roman" w:eastAsia="Times New Roman" w:hAnsi="Times New Roman"/>
          <w:sz w:val="15"/>
          <w:szCs w:val="15"/>
          <w:color w:val="001544"/>
        </w:rPr>
      </w:pPr>
      <w:r>
        <w:rPr>
          <w:rFonts w:ascii="Arial" w:cs="Arial" w:eastAsia="Arial" w:hAnsi="Arial"/>
          <w:sz w:val="15"/>
          <w:szCs w:val="15"/>
          <w:color w:val="auto"/>
        </w:rPr>
        <w:t>Master of Business Administration, University of Chicago</w:t>
      </w:r>
    </w:p>
    <w:p>
      <w:pPr>
        <w:spacing w:after="0" w:line="2427" w:lineRule="exact"/>
        <w:rPr>
          <w:sz w:val="20"/>
          <w:szCs w:val="20"/>
          <w:color w:val="auto"/>
        </w:rPr>
      </w:pPr>
    </w:p>
    <w:p>
      <w:pPr>
        <w:sectPr>
          <w:pgSz w:w="11900" w:h="16838" w:orient="portrait"/>
          <w:cols w:equalWidth="0" w:num="3">
            <w:col w:w="1980" w:space="252"/>
            <w:col w:w="3448" w:space="80"/>
            <w:col w:w="3720"/>
          </w:cols>
          <w:pgMar w:left="1200" w:top="48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60090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153670</wp:posOffset>
            </wp:positionV>
            <wp:extent cx="6009005" cy="3035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09005" cy="303530"/>
                    </a:xfrm>
                    <a:prstGeom prst="rect">
                      <a:avLst/>
                    </a:prstGeom>
                    <a:noFill/>
                  </pic:spPr>
                </pic:pic>
              </a:graphicData>
            </a:graphic>
          </wp:anchor>
        </w:drawing>
      </w:r>
    </w:p>
    <w:p>
      <w:pPr>
        <w:sectPr>
          <w:pgSz w:w="11900" w:h="16838" w:orient="portrait"/>
          <w:cols w:equalWidth="0" w:num="1">
            <w:col w:w="9360"/>
          </w:cols>
          <w:pgMar w:left="1200" w:top="487" w:right="1339" w:bottom="1440" w:gutter="0" w:footer="0" w:header="0"/>
        </w:sectPr>
      </w:pPr>
    </w:p>
    <w:p>
      <w:pPr>
        <w:spacing w:after="0" w:line="320"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FFFFFF"/>
        </w:rPr>
        <w:t>IAN SCHAPIRO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85725</wp:posOffset>
            </wp:positionV>
            <wp:extent cx="1380490" cy="4396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80490" cy="439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0"/>
        <w:spacing w:after="0" w:line="292" w:lineRule="auto"/>
        <w:rPr>
          <w:sz w:val="20"/>
          <w:szCs w:val="20"/>
          <w:color w:val="auto"/>
        </w:rPr>
      </w:pPr>
      <w:r>
        <w:rPr>
          <w:rFonts w:ascii="Arial" w:cs="Arial" w:eastAsia="Arial" w:hAnsi="Arial"/>
          <w:sz w:val="15"/>
          <w:szCs w:val="15"/>
          <w:b w:val="1"/>
          <w:bCs w:val="1"/>
          <w:color w:val="auto"/>
        </w:rPr>
        <w:t>Senior Advisor to Oaktree Capital Management</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 xml:space="preserve">AGE </w:t>
      </w:r>
      <w:r>
        <w:rPr>
          <w:rFonts w:ascii="Arial" w:cs="Arial" w:eastAsia="Arial" w:hAnsi="Arial"/>
          <w:sz w:val="15"/>
          <w:szCs w:val="15"/>
          <w:color w:val="000000"/>
        </w:rPr>
        <w:t>68</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COMMITTEE</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MEMBERSHIPS</w:t>
      </w:r>
    </w:p>
    <w:p>
      <w:pPr>
        <w:spacing w:after="0" w:line="40" w:lineRule="exact"/>
        <w:rPr>
          <w:sz w:val="20"/>
          <w:szCs w:val="20"/>
          <w:color w:val="auto"/>
        </w:rPr>
      </w:pPr>
    </w:p>
    <w:p>
      <w:pPr>
        <w:ind w:left="400" w:hanging="267"/>
        <w:spacing w:after="0"/>
        <w:tabs>
          <w:tab w:leader="none" w:pos="400" w:val="left"/>
        </w:tabs>
        <w:numPr>
          <w:ilvl w:val="0"/>
          <w:numId w:val="74"/>
        </w:numPr>
        <w:rPr>
          <w:rFonts w:ascii="Times New Roman" w:cs="Times New Roman" w:eastAsia="Times New Roman" w:hAnsi="Times New Roman"/>
          <w:sz w:val="15"/>
          <w:szCs w:val="15"/>
          <w:color w:val="001544"/>
        </w:rPr>
      </w:pPr>
      <w:r>
        <w:rPr>
          <w:rFonts w:ascii="Arial" w:cs="Arial" w:eastAsia="Arial" w:hAnsi="Arial"/>
          <w:sz w:val="15"/>
          <w:szCs w:val="15"/>
          <w:color w:val="auto"/>
        </w:rPr>
        <w:t>Audit Committee</w:t>
      </w:r>
    </w:p>
    <w:p>
      <w:pPr>
        <w:spacing w:after="0" w:line="65" w:lineRule="exact"/>
        <w:rPr>
          <w:rFonts w:ascii="Times New Roman" w:cs="Times New Roman" w:eastAsia="Times New Roman" w:hAnsi="Times New Roman"/>
          <w:sz w:val="15"/>
          <w:szCs w:val="15"/>
          <w:color w:val="001544"/>
        </w:rPr>
      </w:pPr>
    </w:p>
    <w:p>
      <w:pPr>
        <w:ind w:left="440" w:right="300" w:hanging="307"/>
        <w:spacing w:after="0" w:line="271" w:lineRule="auto"/>
        <w:tabs>
          <w:tab w:leader="none" w:pos="397" w:val="left"/>
        </w:tabs>
        <w:numPr>
          <w:ilvl w:val="0"/>
          <w:numId w:val="74"/>
        </w:numPr>
        <w:rPr>
          <w:rFonts w:ascii="Times New Roman" w:cs="Times New Roman" w:eastAsia="Times New Roman" w:hAnsi="Times New Roman"/>
          <w:sz w:val="15"/>
          <w:szCs w:val="15"/>
          <w:color w:val="001544"/>
        </w:rPr>
      </w:pPr>
      <w:r>
        <w:rPr>
          <w:rFonts w:ascii="Arial" w:cs="Arial" w:eastAsia="Arial" w:hAnsi="Arial"/>
          <w:sz w:val="15"/>
          <w:szCs w:val="15"/>
          <w:color w:val="auto"/>
        </w:rPr>
        <w:t>Human Capital and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EXPERIENCE</w:t>
      </w:r>
    </w:p>
    <w:p>
      <w:pPr>
        <w:spacing w:after="0" w:line="79" w:lineRule="exact"/>
        <w:rPr>
          <w:sz w:val="20"/>
          <w:szCs w:val="20"/>
          <w:color w:val="auto"/>
        </w:rPr>
      </w:pPr>
    </w:p>
    <w:p>
      <w:pPr>
        <w:ind w:left="300" w:right="360" w:hanging="293"/>
        <w:spacing w:after="0" w:line="296" w:lineRule="auto"/>
        <w:tabs>
          <w:tab w:leader="none" w:pos="299" w:val="left"/>
        </w:tabs>
        <w:numPr>
          <w:ilvl w:val="0"/>
          <w:numId w:val="75"/>
        </w:numPr>
        <w:rPr>
          <w:rFonts w:ascii="Times New Roman" w:cs="Times New Roman" w:eastAsia="Times New Roman" w:hAnsi="Times New Roman"/>
          <w:sz w:val="15"/>
          <w:szCs w:val="15"/>
          <w:color w:val="001544"/>
        </w:rPr>
      </w:pPr>
      <w:r>
        <w:rPr>
          <w:rFonts w:ascii="Arial" w:cs="Arial" w:eastAsia="Arial" w:hAnsi="Arial"/>
          <w:sz w:val="15"/>
          <w:szCs w:val="15"/>
          <w:color w:val="auto"/>
        </w:rPr>
        <w:t>Senior Advisor to Oaktree Capital Management (“Oaktree”) since April 2024</w:t>
      </w:r>
    </w:p>
    <w:p>
      <w:pPr>
        <w:ind w:left="300" w:right="100" w:hanging="293"/>
        <w:spacing w:after="0" w:line="262" w:lineRule="auto"/>
        <w:tabs>
          <w:tab w:leader="none" w:pos="299" w:val="left"/>
        </w:tabs>
        <w:numPr>
          <w:ilvl w:val="0"/>
          <w:numId w:val="75"/>
        </w:numPr>
        <w:rPr>
          <w:rFonts w:ascii="Times New Roman" w:cs="Times New Roman" w:eastAsia="Times New Roman" w:hAnsi="Times New Roman"/>
          <w:sz w:val="15"/>
          <w:szCs w:val="15"/>
          <w:color w:val="001544"/>
        </w:rPr>
      </w:pPr>
      <w:r>
        <w:rPr>
          <w:rFonts w:ascii="Arial" w:cs="Arial" w:eastAsia="Arial" w:hAnsi="Arial"/>
          <w:sz w:val="15"/>
          <w:szCs w:val="15"/>
          <w:color w:val="auto"/>
        </w:rPr>
        <w:t>Managing Director and Portfolio Manager of Oaktree’s GFI Energy Group, which executes Oaktree's Power Opportunities investment strategy, from 2009 to April 2024</w:t>
      </w:r>
    </w:p>
    <w:p>
      <w:pPr>
        <w:spacing w:after="0" w:line="25" w:lineRule="exact"/>
        <w:rPr>
          <w:rFonts w:ascii="Times New Roman" w:cs="Times New Roman" w:eastAsia="Times New Roman" w:hAnsi="Times New Roman"/>
          <w:sz w:val="15"/>
          <w:szCs w:val="15"/>
          <w:color w:val="001544"/>
        </w:rPr>
      </w:pPr>
    </w:p>
    <w:p>
      <w:pPr>
        <w:ind w:left="300" w:right="220" w:hanging="293"/>
        <w:spacing w:after="0" w:line="262" w:lineRule="auto"/>
        <w:tabs>
          <w:tab w:leader="none" w:pos="250" w:val="left"/>
        </w:tabs>
        <w:numPr>
          <w:ilvl w:val="0"/>
          <w:numId w:val="75"/>
        </w:numPr>
        <w:rPr>
          <w:rFonts w:ascii="Times New Roman" w:cs="Times New Roman" w:eastAsia="Times New Roman" w:hAnsi="Times New Roman"/>
          <w:sz w:val="15"/>
          <w:szCs w:val="15"/>
          <w:color w:val="001544"/>
        </w:rPr>
      </w:pPr>
      <w:r>
        <w:rPr>
          <w:rFonts w:ascii="Arial" w:cs="Arial" w:eastAsia="Arial" w:hAnsi="Arial"/>
          <w:sz w:val="15"/>
          <w:szCs w:val="15"/>
          <w:color w:val="auto"/>
        </w:rPr>
        <w:t>Co-Portfolio Manager of Oaktree’s Infrastructure Investing strategy following Oaktree’s acquisition of the Highstar Capital team, from 2014 to April 2024</w:t>
      </w:r>
    </w:p>
    <w:p>
      <w:pPr>
        <w:spacing w:after="0" w:line="37" w:lineRule="exact"/>
        <w:rPr>
          <w:rFonts w:ascii="Times New Roman" w:cs="Times New Roman" w:eastAsia="Times New Roman" w:hAnsi="Times New Roman"/>
          <w:sz w:val="15"/>
          <w:szCs w:val="15"/>
          <w:color w:val="001544"/>
        </w:rPr>
      </w:pPr>
    </w:p>
    <w:p>
      <w:pPr>
        <w:ind w:left="300" w:hanging="293"/>
        <w:spacing w:after="0" w:line="271" w:lineRule="auto"/>
        <w:tabs>
          <w:tab w:leader="none" w:pos="257" w:val="left"/>
        </w:tabs>
        <w:numPr>
          <w:ilvl w:val="0"/>
          <w:numId w:val="75"/>
        </w:numPr>
        <w:rPr>
          <w:rFonts w:ascii="Times New Roman" w:cs="Times New Roman" w:eastAsia="Times New Roman" w:hAnsi="Times New Roman"/>
          <w:sz w:val="15"/>
          <w:szCs w:val="15"/>
          <w:color w:val="001544"/>
        </w:rPr>
      </w:pPr>
      <w:r>
        <w:rPr>
          <w:rFonts w:ascii="Arial" w:cs="Arial" w:eastAsia="Arial" w:hAnsi="Arial"/>
          <w:sz w:val="15"/>
          <w:szCs w:val="15"/>
          <w:color w:val="auto"/>
        </w:rPr>
        <w:t>Co-founder and Managing Director, GFI Energy Ventures, the predecessor to the GFI Energy Group, from 1995 through 2009</w:t>
      </w:r>
    </w:p>
    <w:p>
      <w:pPr>
        <w:spacing w:after="0" w:line="18" w:lineRule="exact"/>
        <w:rPr>
          <w:rFonts w:ascii="Times New Roman" w:cs="Times New Roman" w:eastAsia="Times New Roman" w:hAnsi="Times New Roman"/>
          <w:sz w:val="15"/>
          <w:szCs w:val="15"/>
          <w:color w:val="001544"/>
        </w:rPr>
      </w:pPr>
    </w:p>
    <w:p>
      <w:pPr>
        <w:ind w:left="300" w:right="360" w:hanging="293"/>
        <w:spacing w:after="0" w:line="262" w:lineRule="auto"/>
        <w:tabs>
          <w:tab w:leader="none" w:pos="257" w:val="left"/>
        </w:tabs>
        <w:numPr>
          <w:ilvl w:val="0"/>
          <w:numId w:val="75"/>
        </w:numPr>
        <w:rPr>
          <w:rFonts w:ascii="Times New Roman" w:cs="Times New Roman" w:eastAsia="Times New Roman" w:hAnsi="Times New Roman"/>
          <w:sz w:val="15"/>
          <w:szCs w:val="15"/>
          <w:color w:val="001544"/>
        </w:rPr>
      </w:pPr>
      <w:r>
        <w:rPr>
          <w:rFonts w:ascii="Arial" w:cs="Arial" w:eastAsia="Arial" w:hAnsi="Arial"/>
          <w:sz w:val="15"/>
          <w:szCs w:val="15"/>
          <w:color w:val="auto"/>
        </w:rPr>
        <w:t>Partner of utility consulting firm Venture Associates and of Arthur Andersen &amp; Co. following that firm’s acquisition of Venture Associates</w:t>
      </w:r>
    </w:p>
    <w:p>
      <w:pPr>
        <w:spacing w:after="0" w:line="25" w:lineRule="exact"/>
        <w:rPr>
          <w:rFonts w:ascii="Times New Roman" w:cs="Times New Roman" w:eastAsia="Times New Roman" w:hAnsi="Times New Roman"/>
          <w:sz w:val="15"/>
          <w:szCs w:val="15"/>
          <w:color w:val="001544"/>
        </w:rPr>
      </w:pPr>
    </w:p>
    <w:p>
      <w:pPr>
        <w:ind w:left="300" w:right="60" w:hanging="293"/>
        <w:spacing w:after="0" w:line="271" w:lineRule="auto"/>
        <w:tabs>
          <w:tab w:leader="none" w:pos="299" w:val="left"/>
        </w:tabs>
        <w:numPr>
          <w:ilvl w:val="0"/>
          <w:numId w:val="75"/>
        </w:numPr>
        <w:rPr>
          <w:rFonts w:ascii="Times New Roman" w:cs="Times New Roman" w:eastAsia="Times New Roman" w:hAnsi="Times New Roman"/>
          <w:sz w:val="15"/>
          <w:szCs w:val="15"/>
          <w:color w:val="001544"/>
        </w:rPr>
      </w:pPr>
      <w:r>
        <w:rPr>
          <w:rFonts w:ascii="Arial" w:cs="Arial" w:eastAsia="Arial" w:hAnsi="Arial"/>
          <w:sz w:val="15"/>
          <w:szCs w:val="15"/>
          <w:color w:val="001544"/>
        </w:rPr>
        <w:t>P</w:t>
      </w:r>
      <w:r>
        <w:rPr>
          <w:rFonts w:ascii="Arial" w:cs="Arial" w:eastAsia="Arial" w:hAnsi="Arial"/>
          <w:sz w:val="15"/>
          <w:szCs w:val="15"/>
          <w:color w:val="000000"/>
        </w:rPr>
        <w:t>reviously served as Chief Financial Officer of</w:t>
      </w:r>
      <w:r>
        <w:rPr>
          <w:rFonts w:ascii="Arial" w:cs="Arial" w:eastAsia="Arial" w:hAnsi="Arial"/>
          <w:sz w:val="15"/>
          <w:szCs w:val="15"/>
          <w:color w:val="001544"/>
        </w:rPr>
        <w:t xml:space="preserve"> </w:t>
      </w:r>
      <w:r>
        <w:rPr>
          <w:rFonts w:ascii="Arial" w:cs="Arial" w:eastAsia="Arial" w:hAnsi="Arial"/>
          <w:sz w:val="15"/>
          <w:szCs w:val="15"/>
          <w:color w:val="000000"/>
        </w:rPr>
        <w:t>a technology company and as a commercial banker focused on the energy sector</w:t>
      </w:r>
    </w:p>
    <w:p>
      <w:pPr>
        <w:spacing w:after="0" w:line="31" w:lineRule="exact"/>
        <w:rPr>
          <w:sz w:val="20"/>
          <w:szCs w:val="20"/>
          <w:color w:val="auto"/>
        </w:rPr>
      </w:pPr>
    </w:p>
    <w:p>
      <w:pPr>
        <w:jc w:val="center"/>
        <w:ind w:right="180"/>
        <w:spacing w:after="0"/>
        <w:rPr>
          <w:sz w:val="20"/>
          <w:szCs w:val="20"/>
          <w:color w:val="auto"/>
        </w:rPr>
      </w:pPr>
      <w:r>
        <w:rPr>
          <w:rFonts w:ascii="Arial" w:cs="Arial" w:eastAsia="Arial" w:hAnsi="Arial"/>
          <w:sz w:val="15"/>
          <w:szCs w:val="15"/>
          <w:b w:val="1"/>
          <w:bCs w:val="1"/>
          <w:color w:val="001544"/>
        </w:rPr>
        <w:t>QUALIFICATIONS, ATTRIBUTES AND SKILLS</w:t>
      </w:r>
    </w:p>
    <w:p>
      <w:pPr>
        <w:spacing w:after="0" w:line="66" w:lineRule="exact"/>
        <w:rPr>
          <w:sz w:val="20"/>
          <w:szCs w:val="20"/>
          <w:color w:val="auto"/>
        </w:rPr>
      </w:pPr>
    </w:p>
    <w:p>
      <w:pPr>
        <w:ind w:left="300" w:right="520" w:hanging="293"/>
        <w:spacing w:after="0" w:line="271" w:lineRule="auto"/>
        <w:tabs>
          <w:tab w:leader="none" w:pos="299" w:val="left"/>
        </w:tabs>
        <w:numPr>
          <w:ilvl w:val="0"/>
          <w:numId w:val="76"/>
        </w:numPr>
        <w:rPr>
          <w:rFonts w:ascii="Times New Roman" w:cs="Times New Roman" w:eastAsia="Times New Roman" w:hAnsi="Times New Roman"/>
          <w:sz w:val="15"/>
          <w:szCs w:val="15"/>
          <w:color w:val="001544"/>
        </w:rPr>
      </w:pPr>
      <w:r>
        <w:rPr>
          <w:rFonts w:ascii="Arial" w:cs="Arial" w:eastAsia="Arial" w:hAnsi="Arial"/>
          <w:sz w:val="15"/>
          <w:szCs w:val="15"/>
          <w:color w:val="auto"/>
        </w:rPr>
        <w:t>Extensive experience in corporate governance, strategic acquisitions, and operational leadership</w:t>
      </w:r>
    </w:p>
    <w:p>
      <w:pPr>
        <w:spacing w:after="0" w:line="18" w:lineRule="exact"/>
        <w:rPr>
          <w:rFonts w:ascii="Times New Roman" w:cs="Times New Roman" w:eastAsia="Times New Roman" w:hAnsi="Times New Roman"/>
          <w:sz w:val="15"/>
          <w:szCs w:val="15"/>
          <w:color w:val="001544"/>
        </w:rPr>
      </w:pPr>
    </w:p>
    <w:p>
      <w:pPr>
        <w:jc w:val="both"/>
        <w:ind w:left="300" w:right="280" w:hanging="293"/>
        <w:spacing w:after="0" w:line="271" w:lineRule="auto"/>
        <w:tabs>
          <w:tab w:leader="none" w:pos="299" w:val="left"/>
        </w:tabs>
        <w:numPr>
          <w:ilvl w:val="0"/>
          <w:numId w:val="76"/>
        </w:numPr>
        <w:rPr>
          <w:rFonts w:ascii="Times New Roman" w:cs="Times New Roman" w:eastAsia="Times New Roman" w:hAnsi="Times New Roman"/>
          <w:sz w:val="15"/>
          <w:szCs w:val="15"/>
          <w:color w:val="001544"/>
        </w:rPr>
      </w:pPr>
      <w:r>
        <w:rPr>
          <w:rFonts w:ascii="Arial" w:cs="Arial" w:eastAsia="Arial" w:hAnsi="Arial"/>
          <w:sz w:val="15"/>
          <w:szCs w:val="15"/>
          <w:color w:val="auto"/>
        </w:rPr>
        <w:t>Over two decades of experience in energy sector, with significant focus on investment strategies and infrastructure development</w:t>
      </w:r>
    </w:p>
    <w:p>
      <w:pPr>
        <w:spacing w:after="0" w:line="30" w:lineRule="exact"/>
        <w:rPr>
          <w:rFonts w:ascii="Times New Roman" w:cs="Times New Roman" w:eastAsia="Times New Roman" w:hAnsi="Times New Roman"/>
          <w:sz w:val="15"/>
          <w:szCs w:val="15"/>
          <w:color w:val="001544"/>
        </w:rPr>
      </w:pPr>
    </w:p>
    <w:p>
      <w:pPr>
        <w:ind w:left="300" w:right="100" w:hanging="293"/>
        <w:spacing w:after="0" w:line="297" w:lineRule="auto"/>
        <w:tabs>
          <w:tab w:leader="none" w:pos="299" w:val="left"/>
        </w:tabs>
        <w:numPr>
          <w:ilvl w:val="0"/>
          <w:numId w:val="76"/>
        </w:numPr>
        <w:rPr>
          <w:rFonts w:ascii="Times New Roman" w:cs="Times New Roman" w:eastAsia="Times New Roman" w:hAnsi="Times New Roman"/>
          <w:sz w:val="15"/>
          <w:szCs w:val="15"/>
          <w:color w:val="001544"/>
        </w:rPr>
      </w:pPr>
      <w:r>
        <w:rPr>
          <w:rFonts w:ascii="Arial" w:cs="Arial" w:eastAsia="Arial" w:hAnsi="Arial"/>
          <w:sz w:val="15"/>
          <w:szCs w:val="15"/>
          <w:color w:val="auto"/>
        </w:rPr>
        <w:t>Expertise in financial analysis and accounting matters</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left="720"/>
        <w:spacing w:after="0"/>
        <w:rPr>
          <w:sz w:val="20"/>
          <w:szCs w:val="20"/>
          <w:color w:val="auto"/>
        </w:rPr>
      </w:pPr>
      <w:r>
        <w:rPr>
          <w:sz w:val="1"/>
          <w:szCs w:val="1"/>
          <w:color w:val="auto"/>
        </w:rPr>
        <w:drawing>
          <wp:inline distT="0" distB="0" distL="0" distR="0">
            <wp:extent cx="231140" cy="1752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1140" cy="175260"/>
                    </a:xfrm>
                    <a:prstGeom prst="rect">
                      <a:avLst/>
                    </a:prstGeom>
                    <a:noFill/>
                    <a:ln>
                      <a:noFill/>
                    </a:ln>
                  </pic:spPr>
                </pic:pic>
              </a:graphicData>
            </a:graphic>
          </wp:inline>
        </w:drawing>
      </w:r>
      <w:r>
        <w:rPr>
          <w:rFonts w:ascii="Arial" w:cs="Arial" w:eastAsia="Arial" w:hAnsi="Arial"/>
          <w:sz w:val="16"/>
          <w:szCs w:val="16"/>
          <w:color w:val="FFFFFF"/>
        </w:rPr>
        <w:t>  Independent Director since 2024</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1544"/>
        </w:rPr>
        <w:t>OTHER PUBLIC COMPANY BOARD EXPERIENCE</w:t>
      </w:r>
    </w:p>
    <w:p>
      <w:pPr>
        <w:spacing w:after="0" w:line="79" w:lineRule="exact"/>
        <w:rPr>
          <w:sz w:val="20"/>
          <w:szCs w:val="20"/>
          <w:color w:val="auto"/>
        </w:rPr>
      </w:pPr>
    </w:p>
    <w:p>
      <w:pPr>
        <w:ind w:left="320" w:hanging="303"/>
        <w:spacing w:after="0" w:line="271" w:lineRule="auto"/>
        <w:tabs>
          <w:tab w:leader="none" w:pos="277" w:val="left"/>
        </w:tabs>
        <w:numPr>
          <w:ilvl w:val="0"/>
          <w:numId w:val="77"/>
        </w:numPr>
        <w:rPr>
          <w:rFonts w:ascii="Times New Roman" w:cs="Times New Roman" w:eastAsia="Times New Roman" w:hAnsi="Times New Roman"/>
          <w:sz w:val="15"/>
          <w:szCs w:val="15"/>
          <w:color w:val="001544"/>
        </w:rPr>
      </w:pPr>
      <w:r>
        <w:rPr>
          <w:rFonts w:ascii="Arial" w:cs="Arial" w:eastAsia="Arial" w:hAnsi="Arial"/>
          <w:sz w:val="15"/>
          <w:szCs w:val="15"/>
          <w:color w:val="auto"/>
        </w:rPr>
        <w:t>Board member o</w:t>
      </w:r>
      <w:r>
        <w:rPr>
          <w:rFonts w:ascii="Arial" w:cs="Arial" w:eastAsia="Arial" w:hAnsi="Arial"/>
          <w:sz w:val="15"/>
          <w:szCs w:val="15"/>
          <w:color w:val="001544"/>
        </w:rPr>
        <w:t>f</w:t>
      </w:r>
      <w:r>
        <w:rPr>
          <w:rFonts w:ascii="Arial" w:cs="Arial" w:eastAsia="Arial" w:hAnsi="Arial"/>
          <w:sz w:val="15"/>
          <w:szCs w:val="15"/>
          <w:color w:val="auto"/>
        </w:rPr>
        <w:t xml:space="preserve"> Infrastructure and Energy Alternatives, Inc. (NASDAQ: IEA) (March 2018 to January 2020)</w:t>
      </w:r>
    </w:p>
    <w:p>
      <w:pPr>
        <w:spacing w:after="0" w:line="18" w:lineRule="exact"/>
        <w:rPr>
          <w:rFonts w:ascii="Times New Roman" w:cs="Times New Roman" w:eastAsia="Times New Roman" w:hAnsi="Times New Roman"/>
          <w:sz w:val="15"/>
          <w:szCs w:val="15"/>
          <w:color w:val="001544"/>
        </w:rPr>
      </w:pPr>
    </w:p>
    <w:p>
      <w:pPr>
        <w:jc w:val="both"/>
        <w:ind w:left="320" w:right="540" w:hanging="303"/>
        <w:spacing w:after="0" w:line="271" w:lineRule="auto"/>
        <w:tabs>
          <w:tab w:leader="none" w:pos="277" w:val="left"/>
        </w:tabs>
        <w:numPr>
          <w:ilvl w:val="0"/>
          <w:numId w:val="77"/>
        </w:numPr>
        <w:rPr>
          <w:rFonts w:ascii="Times New Roman" w:cs="Times New Roman" w:eastAsia="Times New Roman" w:hAnsi="Times New Roman"/>
          <w:sz w:val="15"/>
          <w:szCs w:val="15"/>
          <w:color w:val="001544"/>
        </w:rPr>
      </w:pPr>
      <w:r>
        <w:rPr>
          <w:rFonts w:ascii="Arial" w:cs="Arial" w:eastAsia="Arial" w:hAnsi="Arial"/>
          <w:sz w:val="15"/>
          <w:szCs w:val="15"/>
          <w:color w:val="auto"/>
        </w:rPr>
        <w:t>Board member of Cherokee International Corporation (NASDAQ:CHRK) prior to its acquisition in 2007</w:t>
      </w:r>
    </w:p>
    <w:p>
      <w:pPr>
        <w:spacing w:after="0" w:line="18" w:lineRule="exact"/>
        <w:rPr>
          <w:rFonts w:ascii="Times New Roman" w:cs="Times New Roman" w:eastAsia="Times New Roman" w:hAnsi="Times New Roman"/>
          <w:sz w:val="15"/>
          <w:szCs w:val="15"/>
          <w:color w:val="001544"/>
        </w:rPr>
      </w:pPr>
    </w:p>
    <w:p>
      <w:pPr>
        <w:ind w:left="320" w:right="400" w:hanging="303"/>
        <w:spacing w:after="0" w:line="297" w:lineRule="auto"/>
        <w:tabs>
          <w:tab w:leader="none" w:pos="277" w:val="left"/>
        </w:tabs>
        <w:numPr>
          <w:ilvl w:val="0"/>
          <w:numId w:val="77"/>
        </w:numPr>
        <w:rPr>
          <w:rFonts w:ascii="Times New Roman" w:cs="Times New Roman" w:eastAsia="Times New Roman" w:hAnsi="Times New Roman"/>
          <w:sz w:val="15"/>
          <w:szCs w:val="15"/>
          <w:color w:val="001544"/>
        </w:rPr>
      </w:pPr>
      <w:r>
        <w:rPr>
          <w:rFonts w:ascii="Arial" w:cs="Arial" w:eastAsia="Arial" w:hAnsi="Arial"/>
          <w:sz w:val="15"/>
          <w:szCs w:val="15"/>
          <w:color w:val="auto"/>
        </w:rPr>
        <w:t>Board member o</w:t>
      </w:r>
      <w:r>
        <w:rPr>
          <w:rFonts w:ascii="Arial" w:cs="Arial" w:eastAsia="Arial" w:hAnsi="Arial"/>
          <w:sz w:val="15"/>
          <w:szCs w:val="15"/>
          <w:color w:val="001544"/>
        </w:rPr>
        <w:t>f I</w:t>
      </w:r>
      <w:r>
        <w:rPr>
          <w:rFonts w:ascii="Arial" w:cs="Arial" w:eastAsia="Arial" w:hAnsi="Arial"/>
          <w:sz w:val="15"/>
          <w:szCs w:val="15"/>
          <w:color w:val="auto"/>
        </w:rPr>
        <w:t>nfraSource Services, Inc. (NYSE:IFS) prior to its acquisition in 2007</w:t>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OTHER POSITIONS/RECOGNITIONS</w:t>
      </w:r>
    </w:p>
    <w:p>
      <w:pPr>
        <w:spacing w:after="0" w:line="66" w:lineRule="exact"/>
        <w:rPr>
          <w:sz w:val="20"/>
          <w:szCs w:val="20"/>
          <w:color w:val="auto"/>
        </w:rPr>
      </w:pPr>
    </w:p>
    <w:p>
      <w:pPr>
        <w:ind w:left="300" w:right="100" w:hanging="292"/>
        <w:spacing w:after="0" w:line="270" w:lineRule="auto"/>
        <w:tabs>
          <w:tab w:leader="none" w:pos="299" w:val="left"/>
        </w:tabs>
        <w:numPr>
          <w:ilvl w:val="0"/>
          <w:numId w:val="78"/>
        </w:numPr>
        <w:rPr>
          <w:rFonts w:ascii="Times New Roman" w:cs="Times New Roman" w:eastAsia="Times New Roman" w:hAnsi="Times New Roman"/>
          <w:sz w:val="14"/>
          <w:szCs w:val="14"/>
          <w:color w:val="001544"/>
        </w:rPr>
      </w:pPr>
      <w:r>
        <w:rPr>
          <w:rFonts w:ascii="Arial" w:cs="Arial" w:eastAsia="Arial" w:hAnsi="Arial"/>
          <w:sz w:val="14"/>
          <w:szCs w:val="14"/>
          <w:color w:val="auto"/>
        </w:rPr>
        <w:t>Previously served on board of numerous other companies, including: ArchKey Solutions, Contract Land Staff, Elgar Holdings, Elgin National Industries, Footprint Power Salem Harbor Development, Integrated Pipeline Services, LPPI Holdings, NORESCO, Osmose Holdings, Remedial Construction Services (RECON), Signal Energy, Smart Systems, Solomon Corporation, Trace Technology, Trans-Elect, UtiliQuest and Xantrex Technology.</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EDUCATION</w:t>
      </w:r>
    </w:p>
    <w:p>
      <w:pPr>
        <w:spacing w:after="0" w:line="66" w:lineRule="exact"/>
        <w:rPr>
          <w:sz w:val="20"/>
          <w:szCs w:val="20"/>
          <w:color w:val="auto"/>
        </w:rPr>
      </w:pPr>
    </w:p>
    <w:p>
      <w:pPr>
        <w:ind w:left="300" w:right="580" w:hanging="292"/>
        <w:spacing w:after="0" w:line="297" w:lineRule="auto"/>
        <w:tabs>
          <w:tab w:leader="none" w:pos="299" w:val="left"/>
        </w:tabs>
        <w:numPr>
          <w:ilvl w:val="0"/>
          <w:numId w:val="79"/>
        </w:numPr>
        <w:rPr>
          <w:rFonts w:ascii="Times New Roman" w:cs="Times New Roman" w:eastAsia="Times New Roman" w:hAnsi="Times New Roman"/>
          <w:sz w:val="15"/>
          <w:szCs w:val="15"/>
          <w:color w:val="001544"/>
        </w:rPr>
      </w:pPr>
      <w:r>
        <w:rPr>
          <w:rFonts w:ascii="Arial" w:cs="Arial" w:eastAsia="Arial" w:hAnsi="Arial"/>
          <w:sz w:val="15"/>
          <w:szCs w:val="15"/>
          <w:color w:val="auto"/>
        </w:rPr>
        <w:t>Bachelor of Commerce, the University of Witwatersrand in South Africa</w:t>
      </w:r>
    </w:p>
    <w:p>
      <w:pPr>
        <w:spacing w:after="0" w:line="12" w:lineRule="exact"/>
        <w:rPr>
          <w:rFonts w:ascii="Times New Roman" w:cs="Times New Roman" w:eastAsia="Times New Roman" w:hAnsi="Times New Roman"/>
          <w:sz w:val="15"/>
          <w:szCs w:val="15"/>
          <w:color w:val="001544"/>
        </w:rPr>
      </w:pPr>
    </w:p>
    <w:p>
      <w:pPr>
        <w:ind w:left="300" w:right="640" w:hanging="292"/>
        <w:spacing w:after="0" w:line="297" w:lineRule="auto"/>
        <w:tabs>
          <w:tab w:leader="none" w:pos="299" w:val="left"/>
        </w:tabs>
        <w:numPr>
          <w:ilvl w:val="0"/>
          <w:numId w:val="79"/>
        </w:numPr>
        <w:rPr>
          <w:rFonts w:ascii="Times New Roman" w:cs="Times New Roman" w:eastAsia="Times New Roman" w:hAnsi="Times New Roman"/>
          <w:sz w:val="15"/>
          <w:szCs w:val="15"/>
          <w:color w:val="001544"/>
        </w:rPr>
      </w:pPr>
      <w:r>
        <w:rPr>
          <w:rFonts w:ascii="Arial" w:cs="Arial" w:eastAsia="Arial" w:hAnsi="Arial"/>
          <w:sz w:val="15"/>
          <w:szCs w:val="15"/>
          <w:color w:val="auto"/>
        </w:rPr>
        <w:t>Masters of Business Administration, the University of Southern California</w:t>
      </w:r>
    </w:p>
    <w:p>
      <w:pPr>
        <w:spacing w:after="0" w:line="765" w:lineRule="exact"/>
        <w:rPr>
          <w:sz w:val="20"/>
          <w:szCs w:val="20"/>
          <w:color w:val="auto"/>
        </w:rPr>
      </w:pPr>
    </w:p>
    <w:p>
      <w:pPr>
        <w:sectPr>
          <w:pgSz w:w="11900" w:h="16838" w:orient="portrait"/>
          <w:cols w:equalWidth="0" w:num="3">
            <w:col w:w="2000" w:space="240"/>
            <w:col w:w="3440" w:space="80"/>
            <w:col w:w="3600"/>
          </w:cols>
          <w:pgMar w:left="1200" w:top="487"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color w:val="008861"/>
        </w:rPr>
        <w:t>|</w:t>
      </w:r>
      <w:r>
        <w:rPr>
          <w:rFonts w:ascii="Arial" w:cs="Arial" w:eastAsia="Arial" w:hAnsi="Arial"/>
          <w:sz w:val="16"/>
          <w:szCs w:val="16"/>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360"/>
          </w:cols>
          <w:pgMar w:left="1200" w:top="487" w:right="1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269875</wp:posOffset>
            </wp:positionV>
            <wp:extent cx="6009005" cy="3035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09005" cy="3035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FFFFFF"/>
        </w:rPr>
        <w:t>DAVID M. TOLLEY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85725</wp:posOffset>
            </wp:positionV>
            <wp:extent cx="1380490" cy="36709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80490" cy="3670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sz w:val="1"/>
          <w:szCs w:val="1"/>
          <w:color w:val="auto"/>
        </w:rPr>
        <w:drawing>
          <wp:inline distT="0" distB="0" distL="0" distR="0">
            <wp:extent cx="231140" cy="1752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1140" cy="175260"/>
                    </a:xfrm>
                    <a:prstGeom prst="rect">
                      <a:avLst/>
                    </a:prstGeom>
                    <a:noFill/>
                    <a:ln>
                      <a:noFill/>
                    </a:ln>
                  </pic:spPr>
                </pic:pic>
              </a:graphicData>
            </a:graphic>
          </wp:inline>
        </w:drawing>
      </w:r>
      <w:r>
        <w:rPr>
          <w:rFonts w:ascii="Arial" w:cs="Arial" w:eastAsia="Arial" w:hAnsi="Arial"/>
          <w:sz w:val="16"/>
          <w:szCs w:val="16"/>
          <w:color w:val="FFFFFF"/>
        </w:rPr>
        <w:t>  Independent Director since 2022</w:t>
      </w:r>
    </w:p>
    <w:p>
      <w:pPr>
        <w:spacing w:after="0" w:line="135" w:lineRule="exact"/>
        <w:rPr>
          <w:sz w:val="20"/>
          <w:szCs w:val="20"/>
          <w:color w:val="auto"/>
        </w:rPr>
      </w:pPr>
    </w:p>
    <w:p>
      <w:pPr>
        <w:sectPr>
          <w:pgSz w:w="11900" w:h="16838" w:orient="portrait"/>
          <w:cols w:equalWidth="0" w:num="2">
            <w:col w:w="5760" w:space="720"/>
            <w:col w:w="3000"/>
          </w:cols>
          <w:pgMar w:left="1200" w:top="48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40" w:right="240"/>
        <w:spacing w:after="0" w:line="292" w:lineRule="auto"/>
        <w:rPr>
          <w:sz w:val="20"/>
          <w:szCs w:val="20"/>
          <w:color w:val="auto"/>
        </w:rPr>
      </w:pPr>
      <w:r>
        <w:rPr>
          <w:rFonts w:ascii="Arial" w:cs="Arial" w:eastAsia="Arial" w:hAnsi="Arial"/>
          <w:sz w:val="15"/>
          <w:szCs w:val="15"/>
          <w:b w:val="1"/>
          <w:bCs w:val="1"/>
          <w:color w:val="auto"/>
        </w:rPr>
        <w:t>Former Chief Executive Officer of WeWork</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 xml:space="preserve">AGE </w:t>
      </w:r>
      <w:r>
        <w:rPr>
          <w:rFonts w:ascii="Arial" w:cs="Arial" w:eastAsia="Arial" w:hAnsi="Arial"/>
          <w:sz w:val="15"/>
          <w:szCs w:val="15"/>
          <w:color w:val="000000"/>
        </w:rPr>
        <w:t>57</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COMMITTEE</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001544"/>
        </w:rPr>
        <w:t>MEMBERSHIPS</w:t>
      </w:r>
    </w:p>
    <w:p>
      <w:pPr>
        <w:spacing w:after="0" w:line="90" w:lineRule="exact"/>
        <w:rPr>
          <w:sz w:val="20"/>
          <w:szCs w:val="20"/>
          <w:color w:val="auto"/>
        </w:rPr>
      </w:pPr>
    </w:p>
    <w:p>
      <w:pPr>
        <w:ind w:left="440" w:hanging="307"/>
        <w:spacing w:after="0"/>
        <w:tabs>
          <w:tab w:leader="none" w:pos="440" w:val="left"/>
        </w:tabs>
        <w:numPr>
          <w:ilvl w:val="0"/>
          <w:numId w:val="80"/>
        </w:numPr>
        <w:rPr>
          <w:rFonts w:ascii="Times New Roman" w:cs="Times New Roman" w:eastAsia="Times New Roman" w:hAnsi="Times New Roman"/>
          <w:sz w:val="15"/>
          <w:szCs w:val="15"/>
          <w:color w:val="001544"/>
        </w:rPr>
      </w:pPr>
      <w:r>
        <w:rPr>
          <w:rFonts w:ascii="Arial" w:cs="Arial" w:eastAsia="Arial" w:hAnsi="Arial"/>
          <w:sz w:val="15"/>
          <w:szCs w:val="15"/>
          <w:color w:val="auto"/>
        </w:rPr>
        <w:t xml:space="preserve">Audit Committee </w:t>
      </w:r>
      <w:r>
        <w:rPr>
          <w:rFonts w:ascii="Arial" w:cs="Arial" w:eastAsia="Arial" w:hAnsi="Arial"/>
          <w:sz w:val="15"/>
          <w:szCs w:val="15"/>
          <w:i w:val="1"/>
          <w:iCs w:val="1"/>
          <w:color w:val="auto"/>
        </w:rPr>
        <w:t>(Chair)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1544"/>
        </w:rPr>
        <w:t>EXPERIENCE</w:t>
      </w:r>
    </w:p>
    <w:p>
      <w:pPr>
        <w:spacing w:after="0" w:line="79" w:lineRule="exact"/>
        <w:rPr>
          <w:sz w:val="20"/>
          <w:szCs w:val="20"/>
          <w:color w:val="auto"/>
        </w:rPr>
      </w:pPr>
    </w:p>
    <w:p>
      <w:pPr>
        <w:ind w:left="300" w:right="240" w:hanging="293"/>
        <w:spacing w:after="0" w:line="271" w:lineRule="auto"/>
        <w:tabs>
          <w:tab w:leader="none" w:pos="299" w:val="left"/>
        </w:tabs>
        <w:numPr>
          <w:ilvl w:val="0"/>
          <w:numId w:val="81"/>
        </w:numPr>
        <w:rPr>
          <w:rFonts w:ascii="Times New Roman" w:cs="Times New Roman" w:eastAsia="Times New Roman" w:hAnsi="Times New Roman"/>
          <w:sz w:val="15"/>
          <w:szCs w:val="15"/>
          <w:color w:val="001544"/>
        </w:rPr>
      </w:pPr>
      <w:r>
        <w:rPr>
          <w:rFonts w:ascii="Arial" w:cs="Arial" w:eastAsia="Arial" w:hAnsi="Arial"/>
          <w:sz w:val="15"/>
          <w:szCs w:val="15"/>
          <w:color w:val="auto"/>
        </w:rPr>
        <w:t>Chief Executive Officer of WeWork Inc., the leading global flexible workspace provider, from May 2023 to June 2024</w:t>
      </w:r>
    </w:p>
    <w:p>
      <w:pPr>
        <w:spacing w:after="0" w:line="18" w:lineRule="exact"/>
        <w:rPr>
          <w:rFonts w:ascii="Times New Roman" w:cs="Times New Roman" w:eastAsia="Times New Roman" w:hAnsi="Times New Roman"/>
          <w:sz w:val="15"/>
          <w:szCs w:val="15"/>
          <w:color w:val="001544"/>
        </w:rPr>
      </w:pPr>
    </w:p>
    <w:p>
      <w:pPr>
        <w:ind w:left="300" w:right="60" w:hanging="293"/>
        <w:spacing w:after="0" w:line="255" w:lineRule="auto"/>
        <w:tabs>
          <w:tab w:leader="none" w:pos="299" w:val="left"/>
        </w:tabs>
        <w:numPr>
          <w:ilvl w:val="0"/>
          <w:numId w:val="81"/>
        </w:numPr>
        <w:rPr>
          <w:rFonts w:ascii="Times New Roman" w:cs="Times New Roman" w:eastAsia="Times New Roman" w:hAnsi="Times New Roman"/>
          <w:sz w:val="15"/>
          <w:szCs w:val="15"/>
          <w:color w:val="001544"/>
        </w:rPr>
      </w:pPr>
      <w:r>
        <w:rPr>
          <w:rFonts w:ascii="Arial" w:cs="Arial" w:eastAsia="Arial" w:hAnsi="Arial"/>
          <w:sz w:val="15"/>
          <w:szCs w:val="15"/>
          <w:color w:val="auto"/>
        </w:rPr>
        <w:t>Executive Vice President and Chief Financial Officer of Intelsat S.A. from June 2019 to March 2022, where he helped to lead a multi-billion dollar restructuring of one of the world’s largest satellite communications services providers</w:t>
      </w:r>
    </w:p>
    <w:p>
      <w:pPr>
        <w:spacing w:after="0" w:line="30" w:lineRule="exact"/>
        <w:rPr>
          <w:rFonts w:ascii="Times New Roman" w:cs="Times New Roman" w:eastAsia="Times New Roman" w:hAnsi="Times New Roman"/>
          <w:sz w:val="15"/>
          <w:szCs w:val="15"/>
          <w:color w:val="001544"/>
        </w:rPr>
      </w:pPr>
    </w:p>
    <w:p>
      <w:pPr>
        <w:ind w:left="300" w:right="360" w:hanging="293"/>
        <w:spacing w:after="0" w:line="271" w:lineRule="auto"/>
        <w:tabs>
          <w:tab w:leader="none" w:pos="299" w:val="left"/>
        </w:tabs>
        <w:numPr>
          <w:ilvl w:val="0"/>
          <w:numId w:val="81"/>
        </w:numPr>
        <w:rPr>
          <w:rFonts w:ascii="Times New Roman" w:cs="Times New Roman" w:eastAsia="Times New Roman" w:hAnsi="Times New Roman"/>
          <w:sz w:val="15"/>
          <w:szCs w:val="15"/>
          <w:color w:val="001544"/>
        </w:rPr>
      </w:pPr>
      <w:r>
        <w:rPr>
          <w:rFonts w:ascii="Arial" w:cs="Arial" w:eastAsia="Arial" w:hAnsi="Arial"/>
          <w:sz w:val="15"/>
          <w:szCs w:val="15"/>
          <w:color w:val="auto"/>
        </w:rPr>
        <w:t>Chief Financial Officer of Network Access Associates Ltd. (“OneWeb”), a satellite services company, from 2017 to 2019</w:t>
      </w:r>
    </w:p>
    <w:p>
      <w:pPr>
        <w:spacing w:after="0" w:line="30" w:lineRule="exact"/>
        <w:rPr>
          <w:rFonts w:ascii="Times New Roman" w:cs="Times New Roman" w:eastAsia="Times New Roman" w:hAnsi="Times New Roman"/>
          <w:sz w:val="15"/>
          <w:szCs w:val="15"/>
          <w:color w:val="001544"/>
        </w:rPr>
      </w:pPr>
    </w:p>
    <w:p>
      <w:pPr>
        <w:ind w:left="300" w:right="20" w:hanging="293"/>
        <w:spacing w:after="0" w:line="257" w:lineRule="auto"/>
        <w:tabs>
          <w:tab w:leader="none" w:pos="299" w:val="left"/>
        </w:tabs>
        <w:numPr>
          <w:ilvl w:val="0"/>
          <w:numId w:val="81"/>
        </w:numPr>
        <w:rPr>
          <w:rFonts w:ascii="Times New Roman" w:cs="Times New Roman" w:eastAsia="Times New Roman" w:hAnsi="Times New Roman"/>
          <w:sz w:val="15"/>
          <w:szCs w:val="15"/>
          <w:color w:val="001544"/>
        </w:rPr>
      </w:pPr>
      <w:r>
        <w:rPr>
          <w:rFonts w:ascii="Arial" w:cs="Arial" w:eastAsia="Arial" w:hAnsi="Arial"/>
          <w:sz w:val="15"/>
          <w:szCs w:val="15"/>
          <w:color w:val="auto"/>
        </w:rPr>
        <w:t>Senior Managing Director in the Private Equity Group at Blackstone from 2000 to 2011, where he led satellite services strategy and investing and served on the Private Equity Investment Committee</w:t>
      </w:r>
    </w:p>
    <w:p>
      <w:pPr>
        <w:spacing w:after="0" w:line="30" w:lineRule="exact"/>
        <w:rPr>
          <w:rFonts w:ascii="Times New Roman" w:cs="Times New Roman" w:eastAsia="Times New Roman" w:hAnsi="Times New Roman"/>
          <w:sz w:val="15"/>
          <w:szCs w:val="15"/>
          <w:color w:val="001544"/>
        </w:rPr>
      </w:pPr>
    </w:p>
    <w:p>
      <w:pPr>
        <w:ind w:left="300" w:hanging="293"/>
        <w:spacing w:after="0" w:line="255" w:lineRule="auto"/>
        <w:tabs>
          <w:tab w:leader="none" w:pos="299" w:val="left"/>
        </w:tabs>
        <w:numPr>
          <w:ilvl w:val="0"/>
          <w:numId w:val="81"/>
        </w:numPr>
        <w:rPr>
          <w:rFonts w:ascii="Times New Roman" w:cs="Times New Roman" w:eastAsia="Times New Roman" w:hAnsi="Times New Roman"/>
          <w:sz w:val="15"/>
          <w:szCs w:val="15"/>
          <w:color w:val="001544"/>
        </w:rPr>
      </w:pPr>
      <w:r>
        <w:rPr>
          <w:rFonts w:ascii="Arial" w:cs="Arial" w:eastAsia="Arial" w:hAnsi="Arial"/>
          <w:sz w:val="15"/>
          <w:szCs w:val="15"/>
          <w:color w:val="auto"/>
        </w:rPr>
        <w:t>Vice President at Morgan Stanley in the Investment Banking Division, from 1990 to 2000, where he provided banking and advisory services to established and emerging companies in the broader communications sector</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QUALIFICATIONS, ATTRIBUTES AND SKILLS</w:t>
      </w:r>
    </w:p>
    <w:p>
      <w:pPr>
        <w:spacing w:after="0" w:line="79" w:lineRule="exact"/>
        <w:rPr>
          <w:sz w:val="20"/>
          <w:szCs w:val="20"/>
          <w:color w:val="auto"/>
        </w:rPr>
      </w:pPr>
    </w:p>
    <w:p>
      <w:pPr>
        <w:ind w:left="300" w:right="340" w:hanging="293"/>
        <w:spacing w:after="0" w:line="262" w:lineRule="auto"/>
        <w:tabs>
          <w:tab w:leader="none" w:pos="299" w:val="left"/>
        </w:tabs>
        <w:numPr>
          <w:ilvl w:val="0"/>
          <w:numId w:val="82"/>
        </w:numPr>
        <w:rPr>
          <w:rFonts w:ascii="Times New Roman" w:cs="Times New Roman" w:eastAsia="Times New Roman" w:hAnsi="Times New Roman"/>
          <w:sz w:val="15"/>
          <w:szCs w:val="15"/>
          <w:color w:val="001544"/>
        </w:rPr>
      </w:pPr>
      <w:r>
        <w:rPr>
          <w:rFonts w:ascii="Arial" w:cs="Arial" w:eastAsia="Arial" w:hAnsi="Arial"/>
          <w:sz w:val="15"/>
          <w:szCs w:val="15"/>
          <w:color w:val="auto"/>
        </w:rPr>
        <w:t>Deep understanding of financial and accounting matters from his experience in management at other public and private companies</w:t>
      </w:r>
    </w:p>
    <w:p>
      <w:pPr>
        <w:spacing w:after="0" w:line="20" w:lineRule="exact"/>
        <w:rPr>
          <w:sz w:val="20"/>
          <w:szCs w:val="20"/>
          <w:color w:val="auto"/>
        </w:rPr>
      </w:pPr>
      <w:r>
        <w:rPr>
          <w:sz w:val="20"/>
          <w:szCs w:val="20"/>
          <w:color w:val="auto"/>
        </w:rPr>
        <w:br w:type="column"/>
      </w:r>
    </w:p>
    <w:p>
      <w:pPr>
        <w:ind w:left="300" w:right="160" w:hanging="292"/>
        <w:spacing w:after="0" w:line="271" w:lineRule="auto"/>
        <w:tabs>
          <w:tab w:leader="none" w:pos="257" w:val="left"/>
        </w:tabs>
        <w:numPr>
          <w:ilvl w:val="0"/>
          <w:numId w:val="83"/>
        </w:numPr>
        <w:rPr>
          <w:rFonts w:ascii="Times New Roman" w:cs="Times New Roman" w:eastAsia="Times New Roman" w:hAnsi="Times New Roman"/>
          <w:sz w:val="15"/>
          <w:szCs w:val="15"/>
          <w:color w:val="001544"/>
        </w:rPr>
      </w:pPr>
      <w:r>
        <w:rPr>
          <w:rFonts w:ascii="Arial" w:cs="Arial" w:eastAsia="Arial" w:hAnsi="Arial"/>
          <w:sz w:val="15"/>
          <w:szCs w:val="15"/>
          <w:color w:val="auto"/>
        </w:rPr>
        <w:t>Expertise on board practices and corporate governance matters to DigitalBridge from service as a director of other public companies</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OTHER PUBLIC COMPANY BOARD EXPERIENCE</w:t>
      </w:r>
    </w:p>
    <w:p>
      <w:pPr>
        <w:spacing w:after="0" w:line="66" w:lineRule="exact"/>
        <w:rPr>
          <w:sz w:val="20"/>
          <w:szCs w:val="20"/>
          <w:color w:val="auto"/>
        </w:rPr>
      </w:pPr>
    </w:p>
    <w:p>
      <w:pPr>
        <w:ind w:left="300" w:right="440" w:hanging="292"/>
        <w:spacing w:after="0" w:line="296" w:lineRule="auto"/>
        <w:tabs>
          <w:tab w:leader="none" w:pos="299" w:val="left"/>
        </w:tabs>
        <w:numPr>
          <w:ilvl w:val="0"/>
          <w:numId w:val="84"/>
        </w:numPr>
        <w:rPr>
          <w:rFonts w:ascii="Times New Roman" w:cs="Times New Roman" w:eastAsia="Times New Roman" w:hAnsi="Times New Roman"/>
          <w:sz w:val="15"/>
          <w:szCs w:val="15"/>
          <w:color w:val="001544"/>
        </w:rPr>
      </w:pPr>
      <w:r>
        <w:rPr>
          <w:rFonts w:ascii="Arial" w:cs="Arial" w:eastAsia="Arial" w:hAnsi="Arial"/>
          <w:sz w:val="15"/>
          <w:szCs w:val="15"/>
          <w:color w:val="auto"/>
        </w:rPr>
        <w:t>WeWork Inc. (NYSE: WE) (February 2023 to June 2024)</w:t>
      </w:r>
    </w:p>
    <w:p>
      <w:pPr>
        <w:ind w:left="300" w:right="60" w:hanging="292"/>
        <w:spacing w:after="0" w:line="297" w:lineRule="auto"/>
        <w:tabs>
          <w:tab w:leader="none" w:pos="299" w:val="left"/>
        </w:tabs>
        <w:numPr>
          <w:ilvl w:val="0"/>
          <w:numId w:val="84"/>
        </w:numPr>
        <w:rPr>
          <w:rFonts w:ascii="Times New Roman" w:cs="Times New Roman" w:eastAsia="Times New Roman" w:hAnsi="Times New Roman"/>
          <w:sz w:val="15"/>
          <w:szCs w:val="15"/>
          <w:color w:val="001544"/>
        </w:rPr>
      </w:pPr>
      <w:r>
        <w:rPr>
          <w:rFonts w:ascii="Arial" w:cs="Arial" w:eastAsia="Arial" w:hAnsi="Arial"/>
          <w:sz w:val="15"/>
          <w:szCs w:val="15"/>
          <w:color w:val="auto"/>
        </w:rPr>
        <w:t>KVH Industries, Inc. (NASDAQ: KVHI) (June 2022 to present)</w:t>
      </w:r>
    </w:p>
    <w:p>
      <w:pPr>
        <w:spacing w:after="0" w:line="12" w:lineRule="exact"/>
        <w:rPr>
          <w:rFonts w:ascii="Times New Roman" w:cs="Times New Roman" w:eastAsia="Times New Roman" w:hAnsi="Times New Roman"/>
          <w:sz w:val="15"/>
          <w:szCs w:val="15"/>
          <w:color w:val="001544"/>
        </w:rPr>
      </w:pPr>
    </w:p>
    <w:p>
      <w:pPr>
        <w:ind w:left="300" w:right="480" w:hanging="292"/>
        <w:spacing w:after="0" w:line="296" w:lineRule="auto"/>
        <w:tabs>
          <w:tab w:leader="none" w:pos="299" w:val="left"/>
        </w:tabs>
        <w:numPr>
          <w:ilvl w:val="0"/>
          <w:numId w:val="84"/>
        </w:numPr>
        <w:rPr>
          <w:rFonts w:ascii="Times New Roman" w:cs="Times New Roman" w:eastAsia="Times New Roman" w:hAnsi="Times New Roman"/>
          <w:sz w:val="15"/>
          <w:szCs w:val="15"/>
          <w:color w:val="001544"/>
        </w:rPr>
      </w:pPr>
      <w:r>
        <w:rPr>
          <w:rFonts w:ascii="Arial" w:cs="Arial" w:eastAsia="Arial" w:hAnsi="Arial"/>
          <w:sz w:val="15"/>
          <w:szCs w:val="15"/>
          <w:color w:val="auto"/>
        </w:rPr>
        <w:t>Cumulus Media (NASDAQ: CMLS) (2006 to 2017)</w:t>
      </w:r>
    </w:p>
    <w:p>
      <w:pPr>
        <w:ind w:left="300" w:hanging="292"/>
        <w:spacing w:after="0"/>
        <w:tabs>
          <w:tab w:leader="none" w:pos="300" w:val="left"/>
        </w:tabs>
        <w:numPr>
          <w:ilvl w:val="0"/>
          <w:numId w:val="84"/>
        </w:numPr>
        <w:rPr>
          <w:rFonts w:ascii="Times New Roman" w:cs="Times New Roman" w:eastAsia="Times New Roman" w:hAnsi="Times New Roman"/>
          <w:sz w:val="15"/>
          <w:szCs w:val="15"/>
          <w:color w:val="001544"/>
        </w:rPr>
      </w:pPr>
      <w:r>
        <w:rPr>
          <w:rFonts w:ascii="Arial" w:cs="Arial" w:eastAsia="Arial" w:hAnsi="Arial"/>
          <w:sz w:val="15"/>
          <w:szCs w:val="15"/>
          <w:color w:val="auto"/>
        </w:rPr>
        <w:t>New Skies Satellites (2004 to 2006)</w:t>
      </w:r>
    </w:p>
    <w:p>
      <w:pPr>
        <w:spacing w:after="0" w:line="78" w:lineRule="exact"/>
        <w:rPr>
          <w:rFonts w:ascii="Times New Roman" w:cs="Times New Roman" w:eastAsia="Times New Roman" w:hAnsi="Times New Roman"/>
          <w:sz w:val="15"/>
          <w:szCs w:val="15"/>
          <w:color w:val="001544"/>
        </w:rPr>
      </w:pPr>
    </w:p>
    <w:p>
      <w:pPr>
        <w:ind w:left="300" w:right="400" w:hanging="292"/>
        <w:spacing w:after="0" w:line="297" w:lineRule="auto"/>
        <w:tabs>
          <w:tab w:leader="none" w:pos="299" w:val="left"/>
        </w:tabs>
        <w:numPr>
          <w:ilvl w:val="0"/>
          <w:numId w:val="84"/>
        </w:numPr>
        <w:rPr>
          <w:rFonts w:ascii="Times New Roman" w:cs="Times New Roman" w:eastAsia="Times New Roman" w:hAnsi="Times New Roman"/>
          <w:sz w:val="15"/>
          <w:szCs w:val="15"/>
          <w:color w:val="001544"/>
        </w:rPr>
      </w:pPr>
      <w:r>
        <w:rPr>
          <w:rFonts w:ascii="Arial" w:cs="Arial" w:eastAsia="Arial" w:hAnsi="Arial"/>
          <w:sz w:val="15"/>
          <w:szCs w:val="15"/>
          <w:color w:val="auto"/>
        </w:rPr>
        <w:t>Centennial Communications (formerly NYSE: CYCL) (2001 to 2005)</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OTHER POSITIONS/RECOGNITIONS</w:t>
      </w:r>
    </w:p>
    <w:p>
      <w:pPr>
        <w:spacing w:after="0" w:line="66" w:lineRule="exact"/>
        <w:rPr>
          <w:sz w:val="20"/>
          <w:szCs w:val="20"/>
          <w:color w:val="auto"/>
        </w:rPr>
      </w:pPr>
    </w:p>
    <w:p>
      <w:pPr>
        <w:ind w:left="300" w:right="240" w:hanging="292"/>
        <w:spacing w:after="0" w:line="296" w:lineRule="auto"/>
        <w:tabs>
          <w:tab w:leader="none" w:pos="299" w:val="left"/>
        </w:tabs>
        <w:numPr>
          <w:ilvl w:val="0"/>
          <w:numId w:val="85"/>
        </w:numPr>
        <w:rPr>
          <w:rFonts w:ascii="Times New Roman" w:cs="Times New Roman" w:eastAsia="Times New Roman" w:hAnsi="Times New Roman"/>
          <w:sz w:val="15"/>
          <w:szCs w:val="15"/>
          <w:color w:val="001544"/>
        </w:rPr>
      </w:pPr>
      <w:r>
        <w:rPr>
          <w:rFonts w:ascii="Arial" w:cs="Arial" w:eastAsia="Arial" w:hAnsi="Arial"/>
          <w:sz w:val="15"/>
          <w:szCs w:val="15"/>
          <w:color w:val="auto"/>
        </w:rPr>
        <w:t>Board of Directors of ExteNet Systems (2016 to 2019)</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EDUCATION</w:t>
      </w:r>
    </w:p>
    <w:p>
      <w:pPr>
        <w:spacing w:after="0" w:line="79" w:lineRule="exact"/>
        <w:rPr>
          <w:sz w:val="20"/>
          <w:szCs w:val="20"/>
          <w:color w:val="auto"/>
        </w:rPr>
      </w:pPr>
    </w:p>
    <w:p>
      <w:pPr>
        <w:ind w:left="300" w:right="420" w:hanging="292"/>
        <w:spacing w:after="0" w:line="296" w:lineRule="auto"/>
        <w:tabs>
          <w:tab w:leader="none" w:pos="299" w:val="left"/>
        </w:tabs>
        <w:numPr>
          <w:ilvl w:val="0"/>
          <w:numId w:val="86"/>
        </w:numPr>
        <w:rPr>
          <w:rFonts w:ascii="Times New Roman" w:cs="Times New Roman" w:eastAsia="Times New Roman" w:hAnsi="Times New Roman"/>
          <w:sz w:val="15"/>
          <w:szCs w:val="15"/>
          <w:color w:val="001544"/>
        </w:rPr>
      </w:pPr>
      <w:r>
        <w:rPr>
          <w:rFonts w:ascii="Arial" w:cs="Arial" w:eastAsia="Arial" w:hAnsi="Arial"/>
          <w:sz w:val="15"/>
          <w:szCs w:val="15"/>
          <w:color w:val="auto"/>
        </w:rPr>
        <w:t>Master of Business Administration, Columbia Business School</w:t>
      </w:r>
    </w:p>
    <w:p>
      <w:pPr>
        <w:ind w:left="300" w:right="300" w:hanging="292"/>
        <w:spacing w:after="0" w:line="297" w:lineRule="auto"/>
        <w:tabs>
          <w:tab w:leader="none" w:pos="299" w:val="left"/>
        </w:tabs>
        <w:numPr>
          <w:ilvl w:val="0"/>
          <w:numId w:val="86"/>
        </w:numPr>
        <w:rPr>
          <w:rFonts w:ascii="Times New Roman" w:cs="Times New Roman" w:eastAsia="Times New Roman" w:hAnsi="Times New Roman"/>
          <w:sz w:val="15"/>
          <w:szCs w:val="15"/>
          <w:color w:val="001544"/>
        </w:rPr>
      </w:pPr>
      <w:r>
        <w:rPr>
          <w:rFonts w:ascii="Arial" w:cs="Arial" w:eastAsia="Arial" w:hAnsi="Arial"/>
          <w:sz w:val="15"/>
          <w:szCs w:val="15"/>
          <w:color w:val="auto"/>
        </w:rPr>
        <w:t>Bachelor of Science in Economics and History, the University of Michigan.</w:t>
      </w:r>
    </w:p>
    <w:p>
      <w:pPr>
        <w:spacing w:after="0" w:line="1280" w:lineRule="exact"/>
        <w:rPr>
          <w:sz w:val="20"/>
          <w:szCs w:val="20"/>
          <w:color w:val="auto"/>
        </w:rPr>
      </w:pPr>
    </w:p>
    <w:p>
      <w:pPr>
        <w:sectPr>
          <w:pgSz w:w="11900" w:h="16838" w:orient="portrait"/>
          <w:cols w:equalWidth="0" w:num="3">
            <w:col w:w="2060" w:space="180"/>
            <w:col w:w="3440" w:space="80"/>
            <w:col w:w="3720"/>
          </w:cols>
          <w:pgMar w:left="1200" w:top="48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60090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35"/>
          <w:szCs w:val="35"/>
          <w:b w:val="1"/>
          <w:bCs w:val="1"/>
          <w:color w:val="001544"/>
        </w:rPr>
        <w:t>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Corporate Governance Guidelines and Codes of Ethics</w:t>
      </w:r>
    </w:p>
    <w:p>
      <w:pPr>
        <w:spacing w:after="0" w:line="2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committed to good corporate governance practices and, as such, we have adopted our Corporate Governance Guidelines, Code of Business Conduct and Ethics, and Code of Ethics for Principal Executive Officer and Senior Financial Officers discussed below to enhance our effectiveness. These guidelines and codes are available on our website at www.digitalbridge.com under the heading “Shareholders—Corporate Governance.” You can also receive a copy of our Corporate Governance Guidelines, Code of Business Conduct and Ethics and Code of Ethics for Principal Executive Officer and Senior Financial Officers, without charge, by writing to:</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Investor Relations</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DigitalBridge Group, Inc.</w:t>
      </w:r>
    </w:p>
    <w:p>
      <w:pPr>
        <w:ind w:left="180"/>
        <w:spacing w:after="0" w:line="233" w:lineRule="auto"/>
        <w:rPr>
          <w:sz w:val="20"/>
          <w:szCs w:val="20"/>
          <w:color w:val="auto"/>
        </w:rPr>
      </w:pPr>
      <w:r>
        <w:rPr>
          <w:rFonts w:ascii="Arial" w:cs="Arial" w:eastAsia="Arial" w:hAnsi="Arial"/>
          <w:sz w:val="18"/>
          <w:szCs w:val="18"/>
          <w:color w:val="auto"/>
        </w:rPr>
        <w:t>750 Park of Commerce Drive</w:t>
      </w:r>
    </w:p>
    <w:p>
      <w:pPr>
        <w:ind w:left="180"/>
        <w:spacing w:after="0" w:line="233" w:lineRule="auto"/>
        <w:rPr>
          <w:sz w:val="20"/>
          <w:szCs w:val="20"/>
          <w:color w:val="auto"/>
        </w:rPr>
      </w:pPr>
      <w:r>
        <w:rPr>
          <w:rFonts w:ascii="Arial" w:cs="Arial" w:eastAsia="Arial" w:hAnsi="Arial"/>
          <w:sz w:val="18"/>
          <w:szCs w:val="18"/>
          <w:color w:val="auto"/>
        </w:rPr>
        <w:t>Suite 210</w:t>
      </w:r>
    </w:p>
    <w:p>
      <w:pPr>
        <w:ind w:left="180"/>
        <w:spacing w:after="0"/>
        <w:rPr>
          <w:sz w:val="20"/>
          <w:szCs w:val="20"/>
          <w:color w:val="auto"/>
        </w:rPr>
      </w:pPr>
      <w:r>
        <w:rPr>
          <w:rFonts w:ascii="Arial" w:cs="Arial" w:eastAsia="Arial" w:hAnsi="Arial"/>
          <w:sz w:val="18"/>
          <w:szCs w:val="18"/>
          <w:color w:val="auto"/>
        </w:rPr>
        <w:t>Boca Raton, FL 33487.</w:t>
      </w:r>
    </w:p>
    <w:p>
      <w:pPr>
        <w:spacing w:after="0" w:line="17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Corporate Governance Guidelines are designed to assist our Board in monitoring the effectiveness of decision-making at the Board and management level and ensuring adherence to good corporate governance principles, all with a goal of enhancing stockholder value over the long term. Our Corporate Governance Guidelines govern, among other things, Board member qualifications, responsibilities, restrictions and education, Board and committee function, management succession and self-evaluation. Our Code of Business Conduct and Ethics relates to the conduct of our business by our employees, officers and directors. We strive to maintain high standards of ethical business practices and compliance with all laws and regulations applicable to our business, including those relating to doing business outside the United States. Specifically, among other things, our Code of Business Conduct and Ethics prohibits employees from providing gifts, favors or anything of value to government officials or employees or members of their families. We have also adopted a Code of Ethics for Principal Executive Officer and Senior Financial Officers, which applies to our Chief Executive Officer, Chief Financial Officer and all other senior financial officers of our company. We will disclose any amendments or waivers from the Code of Ethics for Principal Executive Officer and Senior Financial Officers and Code of Business Conduct and Ethics on our website.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Director Independence</w:t>
      </w:r>
    </w:p>
    <w:p>
      <w:pPr>
        <w:spacing w:after="0" w:line="21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Of our 9 directors being nominated for election by our Board, our Board affirmatively determined that each of the following eight director nominees is independent under the NYSE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104775</wp:posOffset>
            </wp:positionV>
            <wp:extent cx="6009005" cy="7023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09005" cy="70231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p>
      <w:pPr>
        <w:spacing w:after="0" w:line="198" w:lineRule="exact"/>
        <w:rPr>
          <w:sz w:val="20"/>
          <w:szCs w:val="20"/>
          <w:color w:val="auto"/>
        </w:rPr>
      </w:pPr>
    </w:p>
    <w:p>
      <w:pPr>
        <w:ind w:left="1180" w:hanging="262"/>
        <w:spacing w:after="0"/>
        <w:tabs>
          <w:tab w:leader="none" w:pos="1180" w:val="left"/>
        </w:tabs>
        <w:numPr>
          <w:ilvl w:val="0"/>
          <w:numId w:val="87"/>
        </w:numPr>
        <w:rPr>
          <w:rFonts w:ascii="Times New Roman" w:cs="Times New Roman" w:eastAsia="Times New Roman" w:hAnsi="Times New Roman"/>
          <w:sz w:val="17"/>
          <w:szCs w:val="17"/>
          <w:color w:val="001544"/>
        </w:rPr>
      </w:pPr>
      <w:r>
        <w:rPr>
          <w:rFonts w:ascii="Arial" w:cs="Arial" w:eastAsia="Arial" w:hAnsi="Arial"/>
          <w:sz w:val="17"/>
          <w:szCs w:val="17"/>
          <w:color w:val="auto"/>
        </w:rPr>
        <w:t>James Keith Brown</w:t>
      </w:r>
    </w:p>
    <w:p>
      <w:pPr>
        <w:spacing w:after="0" w:line="80" w:lineRule="exact"/>
        <w:rPr>
          <w:rFonts w:ascii="Times New Roman" w:cs="Times New Roman" w:eastAsia="Times New Roman" w:hAnsi="Times New Roman"/>
          <w:sz w:val="17"/>
          <w:szCs w:val="17"/>
          <w:color w:val="001544"/>
        </w:rPr>
      </w:pPr>
    </w:p>
    <w:p>
      <w:pPr>
        <w:ind w:left="1180" w:hanging="262"/>
        <w:spacing w:after="0"/>
        <w:tabs>
          <w:tab w:leader="none" w:pos="1180" w:val="left"/>
        </w:tabs>
        <w:numPr>
          <w:ilvl w:val="0"/>
          <w:numId w:val="87"/>
        </w:numPr>
        <w:rPr>
          <w:rFonts w:ascii="Times New Roman" w:cs="Times New Roman" w:eastAsia="Times New Roman" w:hAnsi="Times New Roman"/>
          <w:sz w:val="16"/>
          <w:szCs w:val="16"/>
          <w:color w:val="001544"/>
        </w:rPr>
      </w:pPr>
      <w:r>
        <w:rPr>
          <w:rFonts w:ascii="Arial" w:cs="Arial" w:eastAsia="Arial" w:hAnsi="Arial"/>
          <w:sz w:val="16"/>
          <w:szCs w:val="16"/>
          <w:color w:val="auto"/>
        </w:rPr>
        <w:t>Jeannie H. Diefenderfer</w:t>
      </w:r>
    </w:p>
    <w:p>
      <w:pPr>
        <w:spacing w:after="0" w:line="91" w:lineRule="exact"/>
        <w:rPr>
          <w:rFonts w:ascii="Times New Roman" w:cs="Times New Roman" w:eastAsia="Times New Roman" w:hAnsi="Times New Roman"/>
          <w:sz w:val="16"/>
          <w:szCs w:val="16"/>
          <w:color w:val="001544"/>
        </w:rPr>
      </w:pPr>
    </w:p>
    <w:p>
      <w:pPr>
        <w:ind w:left="1180" w:hanging="262"/>
        <w:spacing w:after="0"/>
        <w:tabs>
          <w:tab w:leader="none" w:pos="1180" w:val="left"/>
        </w:tabs>
        <w:numPr>
          <w:ilvl w:val="0"/>
          <w:numId w:val="87"/>
        </w:numPr>
        <w:rPr>
          <w:rFonts w:ascii="Times New Roman" w:cs="Times New Roman" w:eastAsia="Times New Roman" w:hAnsi="Times New Roman"/>
          <w:sz w:val="17"/>
          <w:szCs w:val="17"/>
          <w:color w:val="001544"/>
        </w:rPr>
      </w:pPr>
      <w:r>
        <w:rPr>
          <w:rFonts w:ascii="Arial" w:cs="Arial" w:eastAsia="Arial" w:hAnsi="Arial"/>
          <w:sz w:val="17"/>
          <w:szCs w:val="17"/>
          <w:color w:val="auto"/>
        </w:rPr>
        <w:t>Sháka Rasheed</w:t>
      </w:r>
    </w:p>
    <w:p>
      <w:pPr>
        <w:spacing w:after="0" w:line="80" w:lineRule="exact"/>
        <w:rPr>
          <w:rFonts w:ascii="Times New Roman" w:cs="Times New Roman" w:eastAsia="Times New Roman" w:hAnsi="Times New Roman"/>
          <w:sz w:val="17"/>
          <w:szCs w:val="17"/>
          <w:color w:val="001544"/>
        </w:rPr>
      </w:pPr>
    </w:p>
    <w:p>
      <w:pPr>
        <w:ind w:left="1180" w:hanging="262"/>
        <w:spacing w:after="0"/>
        <w:tabs>
          <w:tab w:leader="none" w:pos="1180" w:val="left"/>
        </w:tabs>
        <w:numPr>
          <w:ilvl w:val="0"/>
          <w:numId w:val="87"/>
        </w:numPr>
        <w:rPr>
          <w:rFonts w:ascii="Times New Roman" w:cs="Times New Roman" w:eastAsia="Times New Roman" w:hAnsi="Times New Roman"/>
          <w:sz w:val="17"/>
          <w:szCs w:val="17"/>
          <w:color w:val="001544"/>
        </w:rPr>
      </w:pPr>
      <w:r>
        <w:rPr>
          <w:rFonts w:ascii="Arial" w:cs="Arial" w:eastAsia="Arial" w:hAnsi="Arial"/>
          <w:sz w:val="17"/>
          <w:szCs w:val="17"/>
          <w:color w:val="auto"/>
        </w:rPr>
        <w:t>Ian Schapiro</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267" w:hanging="267"/>
        <w:spacing w:after="0"/>
        <w:tabs>
          <w:tab w:leader="none" w:pos="267" w:val="left"/>
        </w:tabs>
        <w:numPr>
          <w:ilvl w:val="0"/>
          <w:numId w:val="88"/>
        </w:numPr>
        <w:rPr>
          <w:rFonts w:ascii="Times New Roman" w:cs="Times New Roman" w:eastAsia="Times New Roman" w:hAnsi="Times New Roman"/>
          <w:sz w:val="17"/>
          <w:szCs w:val="17"/>
          <w:color w:val="001544"/>
        </w:rPr>
      </w:pPr>
      <w:r>
        <w:rPr>
          <w:rFonts w:ascii="Arial" w:cs="Arial" w:eastAsia="Arial" w:hAnsi="Arial"/>
          <w:sz w:val="17"/>
          <w:szCs w:val="17"/>
          <w:color w:val="auto"/>
        </w:rPr>
        <w:t>Nancy A. Curtin</w:t>
      </w:r>
    </w:p>
    <w:p>
      <w:pPr>
        <w:spacing w:after="0" w:line="80" w:lineRule="exact"/>
        <w:rPr>
          <w:rFonts w:ascii="Times New Roman" w:cs="Times New Roman" w:eastAsia="Times New Roman" w:hAnsi="Times New Roman"/>
          <w:sz w:val="17"/>
          <w:szCs w:val="17"/>
          <w:color w:val="001544"/>
        </w:rPr>
      </w:pPr>
    </w:p>
    <w:p>
      <w:pPr>
        <w:ind w:left="267" w:hanging="267"/>
        <w:spacing w:after="0"/>
        <w:tabs>
          <w:tab w:leader="none" w:pos="267" w:val="left"/>
        </w:tabs>
        <w:numPr>
          <w:ilvl w:val="0"/>
          <w:numId w:val="88"/>
        </w:numPr>
        <w:rPr>
          <w:rFonts w:ascii="Times New Roman" w:cs="Times New Roman" w:eastAsia="Times New Roman" w:hAnsi="Times New Roman"/>
          <w:sz w:val="16"/>
          <w:szCs w:val="16"/>
          <w:color w:val="001544"/>
        </w:rPr>
      </w:pPr>
      <w:r>
        <w:rPr>
          <w:rFonts w:ascii="Arial" w:cs="Arial" w:eastAsia="Arial" w:hAnsi="Arial"/>
          <w:sz w:val="16"/>
          <w:szCs w:val="16"/>
          <w:color w:val="auto"/>
        </w:rPr>
        <w:t>Gregory J. McCray</w:t>
      </w:r>
    </w:p>
    <w:p>
      <w:pPr>
        <w:spacing w:after="0" w:line="91" w:lineRule="exact"/>
        <w:rPr>
          <w:rFonts w:ascii="Times New Roman" w:cs="Times New Roman" w:eastAsia="Times New Roman" w:hAnsi="Times New Roman"/>
          <w:sz w:val="16"/>
          <w:szCs w:val="16"/>
          <w:color w:val="001544"/>
        </w:rPr>
      </w:pPr>
    </w:p>
    <w:p>
      <w:pPr>
        <w:ind w:left="267" w:hanging="267"/>
        <w:spacing w:after="0"/>
        <w:tabs>
          <w:tab w:leader="none" w:pos="267" w:val="left"/>
        </w:tabs>
        <w:numPr>
          <w:ilvl w:val="0"/>
          <w:numId w:val="88"/>
        </w:numPr>
        <w:rPr>
          <w:rFonts w:ascii="Times New Roman" w:cs="Times New Roman" w:eastAsia="Times New Roman" w:hAnsi="Times New Roman"/>
          <w:sz w:val="17"/>
          <w:szCs w:val="17"/>
          <w:color w:val="001544"/>
        </w:rPr>
      </w:pPr>
      <w:r>
        <w:rPr>
          <w:rFonts w:ascii="Arial" w:cs="Arial" w:eastAsia="Arial" w:hAnsi="Arial"/>
          <w:sz w:val="17"/>
          <w:szCs w:val="17"/>
          <w:color w:val="auto"/>
        </w:rPr>
        <w:t>Dale Anne Reiss</w:t>
      </w:r>
    </w:p>
    <w:p>
      <w:pPr>
        <w:spacing w:after="0" w:line="80" w:lineRule="exact"/>
        <w:rPr>
          <w:rFonts w:ascii="Times New Roman" w:cs="Times New Roman" w:eastAsia="Times New Roman" w:hAnsi="Times New Roman"/>
          <w:sz w:val="17"/>
          <w:szCs w:val="17"/>
          <w:color w:val="001544"/>
        </w:rPr>
      </w:pPr>
    </w:p>
    <w:p>
      <w:pPr>
        <w:ind w:left="267" w:hanging="267"/>
        <w:spacing w:after="0"/>
        <w:tabs>
          <w:tab w:leader="none" w:pos="267" w:val="left"/>
        </w:tabs>
        <w:numPr>
          <w:ilvl w:val="0"/>
          <w:numId w:val="88"/>
        </w:numPr>
        <w:rPr>
          <w:rFonts w:ascii="Times New Roman" w:cs="Times New Roman" w:eastAsia="Times New Roman" w:hAnsi="Times New Roman"/>
          <w:sz w:val="17"/>
          <w:szCs w:val="17"/>
          <w:color w:val="001544"/>
        </w:rPr>
      </w:pPr>
      <w:r>
        <w:rPr>
          <w:rFonts w:ascii="Arial" w:cs="Arial" w:eastAsia="Arial" w:hAnsi="Arial"/>
          <w:sz w:val="17"/>
          <w:szCs w:val="17"/>
          <w:color w:val="auto"/>
        </w:rPr>
        <w:t>David M. Tolley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29845</wp:posOffset>
            </wp:positionV>
            <wp:extent cx="60090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73" w:space="720"/>
            <w:col w:w="3787"/>
          </w:cols>
          <w:pgMar w:left="1200" w:top="487" w:right="1219" w:bottom="1440" w:gutter="0" w:footer="0" w:header="0"/>
          <w:type w:val="continuous"/>
        </w:sectPr>
      </w:pPr>
    </w:p>
    <w:p>
      <w:pPr>
        <w:spacing w:after="0" w:line="36" w:lineRule="exact"/>
        <w:rPr>
          <w:sz w:val="20"/>
          <w:szCs w:val="20"/>
          <w:color w:val="auto"/>
        </w:rPr>
      </w:pPr>
    </w:p>
    <w:p>
      <w:pPr>
        <w:jc w:val="both"/>
        <w:ind w:right="460"/>
        <w:spacing w:after="0" w:line="282" w:lineRule="auto"/>
        <w:rPr>
          <w:sz w:val="20"/>
          <w:szCs w:val="20"/>
          <w:color w:val="auto"/>
        </w:rPr>
      </w:pPr>
      <w:r>
        <w:rPr>
          <w:rFonts w:ascii="Arial" w:cs="Arial" w:eastAsia="Arial" w:hAnsi="Arial"/>
          <w:sz w:val="16"/>
          <w:szCs w:val="16"/>
          <w:color w:val="auto"/>
        </w:rPr>
        <w:t>In determining director independence, our Board considered whether or not each director or nominee has a direct or indirect material relationship with the Company and has otherwise complied with the requirements for independence under the applicable NYSE rules. Marc C. Ganzi is not independent, as Mr. Ganzi is our Chief Executive Officer. Mr. Fosheim was previously determined to be independent during his period of service on the Board in 2024.</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Board Leadership Structure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Our Board has appointed Ms. Curtin as our independent, non-executive Chairperson of the Board. As Chairperson of the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Board, Ms. Curtin:</w:t>
      </w:r>
    </w:p>
    <w:p>
      <w:pPr>
        <w:spacing w:after="0" w:line="179" w:lineRule="exact"/>
        <w:rPr>
          <w:sz w:val="20"/>
          <w:szCs w:val="20"/>
          <w:color w:val="auto"/>
        </w:rPr>
      </w:pPr>
    </w:p>
    <w:p>
      <w:pPr>
        <w:ind w:left="300" w:hanging="293"/>
        <w:spacing w:after="0"/>
        <w:tabs>
          <w:tab w:leader="none" w:pos="300" w:val="left"/>
        </w:tabs>
        <w:numPr>
          <w:ilvl w:val="0"/>
          <w:numId w:val="89"/>
        </w:numPr>
        <w:rPr>
          <w:rFonts w:ascii="Times New Roman" w:cs="Times New Roman" w:eastAsia="Times New Roman" w:hAnsi="Times New Roman"/>
          <w:sz w:val="16"/>
          <w:szCs w:val="16"/>
          <w:color w:val="001544"/>
        </w:rPr>
      </w:pPr>
      <w:r>
        <w:rPr>
          <w:rFonts w:ascii="Arial" w:cs="Arial" w:eastAsia="Arial" w:hAnsi="Arial"/>
          <w:sz w:val="16"/>
          <w:szCs w:val="16"/>
          <w:color w:val="auto"/>
        </w:rPr>
        <w:t>presides over all meetings of the Board (including executive sessions of the independent directors) and stockholders,</w:t>
      </w:r>
    </w:p>
    <w:p>
      <w:pPr>
        <w:spacing w:after="0" w:line="79" w:lineRule="exact"/>
        <w:rPr>
          <w:rFonts w:ascii="Times New Roman" w:cs="Times New Roman" w:eastAsia="Times New Roman" w:hAnsi="Times New Roman"/>
          <w:sz w:val="16"/>
          <w:szCs w:val="16"/>
          <w:color w:val="001544"/>
        </w:rPr>
      </w:pPr>
    </w:p>
    <w:p>
      <w:pPr>
        <w:ind w:left="300" w:hanging="293"/>
        <w:spacing w:after="0"/>
        <w:tabs>
          <w:tab w:leader="none" w:pos="300" w:val="left"/>
        </w:tabs>
        <w:numPr>
          <w:ilvl w:val="0"/>
          <w:numId w:val="89"/>
        </w:numPr>
        <w:rPr>
          <w:rFonts w:ascii="Times New Roman" w:cs="Times New Roman" w:eastAsia="Times New Roman" w:hAnsi="Times New Roman"/>
          <w:sz w:val="18"/>
          <w:szCs w:val="18"/>
          <w:color w:val="001544"/>
        </w:rPr>
      </w:pPr>
      <w:r>
        <w:rPr>
          <w:rFonts w:ascii="Arial" w:cs="Arial" w:eastAsia="Arial" w:hAnsi="Arial"/>
          <w:sz w:val="18"/>
          <w:szCs w:val="18"/>
          <w:color w:val="auto"/>
        </w:rPr>
        <w:t>reviews and approves meeting agendas, meeting schedules and other information,</w:t>
      </w:r>
    </w:p>
    <w:p>
      <w:pPr>
        <w:spacing w:after="0" w:line="68" w:lineRule="exact"/>
        <w:rPr>
          <w:rFonts w:ascii="Times New Roman" w:cs="Times New Roman" w:eastAsia="Times New Roman" w:hAnsi="Times New Roman"/>
          <w:sz w:val="18"/>
          <w:szCs w:val="18"/>
          <w:color w:val="001544"/>
        </w:rPr>
      </w:pPr>
    </w:p>
    <w:p>
      <w:pPr>
        <w:ind w:left="300" w:hanging="293"/>
        <w:spacing w:after="0"/>
        <w:tabs>
          <w:tab w:leader="none" w:pos="300" w:val="left"/>
        </w:tabs>
        <w:numPr>
          <w:ilvl w:val="0"/>
          <w:numId w:val="89"/>
        </w:numPr>
        <w:rPr>
          <w:rFonts w:ascii="Times New Roman" w:cs="Times New Roman" w:eastAsia="Times New Roman" w:hAnsi="Times New Roman"/>
          <w:sz w:val="18"/>
          <w:szCs w:val="18"/>
          <w:color w:val="001544"/>
        </w:rPr>
      </w:pPr>
      <w:r>
        <w:rPr>
          <w:rFonts w:ascii="Arial" w:cs="Arial" w:eastAsia="Arial" w:hAnsi="Arial"/>
          <w:sz w:val="18"/>
          <w:szCs w:val="18"/>
          <w:color w:val="auto"/>
        </w:rPr>
        <w:t>acts as a liaison between</w:t>
      </w:r>
    </w:p>
    <w:p>
      <w:pPr>
        <w:spacing w:after="0" w:line="56" w:lineRule="exact"/>
        <w:rPr>
          <w:rFonts w:ascii="Times New Roman" w:cs="Times New Roman" w:eastAsia="Times New Roman" w:hAnsi="Times New Roman"/>
          <w:sz w:val="18"/>
          <w:szCs w:val="18"/>
          <w:color w:val="001544"/>
        </w:rPr>
      </w:pPr>
    </w:p>
    <w:p>
      <w:pPr>
        <w:ind w:left="640" w:hanging="307"/>
        <w:spacing w:after="0"/>
        <w:tabs>
          <w:tab w:leader="none" w:pos="640" w:val="left"/>
        </w:tabs>
        <w:numPr>
          <w:ilvl w:val="1"/>
          <w:numId w:val="89"/>
        </w:numPr>
        <w:rPr>
          <w:rFonts w:ascii="Arial" w:cs="Arial" w:eastAsia="Arial" w:hAnsi="Arial"/>
          <w:sz w:val="15"/>
          <w:szCs w:val="15"/>
          <w:color w:val="auto"/>
        </w:rPr>
      </w:pPr>
      <w:r>
        <w:rPr>
          <w:rFonts w:ascii="Arial" w:cs="Arial" w:eastAsia="Arial" w:hAnsi="Arial"/>
          <w:sz w:val="18"/>
          <w:szCs w:val="18"/>
          <w:color w:val="auto"/>
        </w:rPr>
        <w:t>the outside directors and management, including the Chief Executive Officer,</w:t>
      </w:r>
    </w:p>
    <w:p>
      <w:pPr>
        <w:spacing w:after="0" w:line="56" w:lineRule="exact"/>
        <w:rPr>
          <w:rFonts w:ascii="Arial" w:cs="Arial" w:eastAsia="Arial" w:hAnsi="Arial"/>
          <w:sz w:val="15"/>
          <w:szCs w:val="15"/>
          <w:color w:val="auto"/>
        </w:rPr>
      </w:pPr>
    </w:p>
    <w:p>
      <w:pPr>
        <w:ind w:left="640" w:hanging="307"/>
        <w:spacing w:after="0"/>
        <w:tabs>
          <w:tab w:leader="none" w:pos="640" w:val="left"/>
        </w:tabs>
        <w:numPr>
          <w:ilvl w:val="1"/>
          <w:numId w:val="89"/>
        </w:numPr>
        <w:rPr>
          <w:rFonts w:ascii="Arial" w:cs="Arial" w:eastAsia="Arial" w:hAnsi="Arial"/>
          <w:sz w:val="15"/>
          <w:szCs w:val="15"/>
          <w:color w:val="auto"/>
        </w:rPr>
      </w:pPr>
      <w:r>
        <w:rPr>
          <w:rFonts w:ascii="Arial" w:cs="Arial" w:eastAsia="Arial" w:hAnsi="Arial"/>
          <w:sz w:val="18"/>
          <w:szCs w:val="18"/>
          <w:color w:val="auto"/>
        </w:rPr>
        <w:t>among independent directors, and</w:t>
      </w:r>
    </w:p>
    <w:p>
      <w:pPr>
        <w:spacing w:after="0" w:line="69" w:lineRule="exact"/>
        <w:rPr>
          <w:rFonts w:ascii="Arial" w:cs="Arial" w:eastAsia="Arial" w:hAnsi="Arial"/>
          <w:sz w:val="15"/>
          <w:szCs w:val="15"/>
          <w:color w:val="auto"/>
        </w:rPr>
      </w:pPr>
    </w:p>
    <w:p>
      <w:pPr>
        <w:ind w:left="640" w:hanging="307"/>
        <w:spacing w:after="0"/>
        <w:tabs>
          <w:tab w:leader="none" w:pos="640" w:val="left"/>
        </w:tabs>
        <w:numPr>
          <w:ilvl w:val="1"/>
          <w:numId w:val="89"/>
        </w:numPr>
        <w:rPr>
          <w:rFonts w:ascii="Arial" w:cs="Arial" w:eastAsia="Arial" w:hAnsi="Arial"/>
          <w:sz w:val="15"/>
          <w:szCs w:val="15"/>
          <w:color w:val="auto"/>
        </w:rPr>
      </w:pPr>
      <w:r>
        <w:rPr>
          <w:rFonts w:ascii="Arial" w:cs="Arial" w:eastAsia="Arial" w:hAnsi="Arial"/>
          <w:sz w:val="18"/>
          <w:szCs w:val="18"/>
          <w:color w:val="auto"/>
        </w:rPr>
        <w:t>between interested third parties and the Board,</w:t>
      </w:r>
    </w:p>
    <w:p>
      <w:pPr>
        <w:spacing w:after="0" w:line="56" w:lineRule="exact"/>
        <w:rPr>
          <w:rFonts w:ascii="Arial" w:cs="Arial" w:eastAsia="Arial" w:hAnsi="Arial"/>
          <w:sz w:val="15"/>
          <w:szCs w:val="15"/>
          <w:color w:val="auto"/>
        </w:rPr>
      </w:pPr>
    </w:p>
    <w:p>
      <w:pPr>
        <w:ind w:left="300" w:hanging="293"/>
        <w:spacing w:after="0"/>
        <w:tabs>
          <w:tab w:leader="none" w:pos="300" w:val="left"/>
        </w:tabs>
        <w:numPr>
          <w:ilvl w:val="0"/>
          <w:numId w:val="89"/>
        </w:numPr>
        <w:rPr>
          <w:rFonts w:ascii="Times New Roman" w:cs="Times New Roman" w:eastAsia="Times New Roman" w:hAnsi="Times New Roman"/>
          <w:sz w:val="18"/>
          <w:szCs w:val="18"/>
          <w:color w:val="001544"/>
        </w:rPr>
      </w:pPr>
      <w:r>
        <w:rPr>
          <w:rFonts w:ascii="Arial" w:cs="Arial" w:eastAsia="Arial" w:hAnsi="Arial"/>
          <w:sz w:val="18"/>
          <w:szCs w:val="18"/>
          <w:color w:val="auto"/>
        </w:rPr>
        <w:t>serves as the focal point of communication to the Board regarding management plans and initiatives,</w:t>
      </w:r>
    </w:p>
    <w:p>
      <w:pPr>
        <w:spacing w:after="0" w:line="56" w:lineRule="exact"/>
        <w:rPr>
          <w:rFonts w:ascii="Times New Roman" w:cs="Times New Roman" w:eastAsia="Times New Roman" w:hAnsi="Times New Roman"/>
          <w:sz w:val="18"/>
          <w:szCs w:val="18"/>
          <w:color w:val="001544"/>
        </w:rPr>
      </w:pPr>
    </w:p>
    <w:p>
      <w:pPr>
        <w:ind w:left="300" w:hanging="293"/>
        <w:spacing w:after="0"/>
        <w:tabs>
          <w:tab w:leader="none" w:pos="300" w:val="left"/>
        </w:tabs>
        <w:numPr>
          <w:ilvl w:val="0"/>
          <w:numId w:val="89"/>
        </w:numPr>
        <w:rPr>
          <w:rFonts w:ascii="Times New Roman" w:cs="Times New Roman" w:eastAsia="Times New Roman" w:hAnsi="Times New Roman"/>
          <w:sz w:val="18"/>
          <w:szCs w:val="18"/>
          <w:color w:val="001544"/>
        </w:rPr>
      </w:pPr>
      <w:r>
        <w:rPr>
          <w:rFonts w:ascii="Arial" w:cs="Arial" w:eastAsia="Arial" w:hAnsi="Arial"/>
          <w:sz w:val="18"/>
          <w:szCs w:val="18"/>
          <w:color w:val="auto"/>
        </w:rPr>
        <w:t>ensures that the role between Board oversight and management operations is respected,</w:t>
      </w:r>
    </w:p>
    <w:p>
      <w:pPr>
        <w:spacing w:after="0" w:line="68" w:lineRule="exact"/>
        <w:rPr>
          <w:rFonts w:ascii="Times New Roman" w:cs="Times New Roman" w:eastAsia="Times New Roman" w:hAnsi="Times New Roman"/>
          <w:sz w:val="18"/>
          <w:szCs w:val="18"/>
          <w:color w:val="001544"/>
        </w:rPr>
      </w:pPr>
    </w:p>
    <w:p>
      <w:pPr>
        <w:ind w:left="300" w:hanging="293"/>
        <w:spacing w:after="0"/>
        <w:tabs>
          <w:tab w:leader="none" w:pos="300" w:val="left"/>
        </w:tabs>
        <w:numPr>
          <w:ilvl w:val="0"/>
          <w:numId w:val="89"/>
        </w:numPr>
        <w:rPr>
          <w:rFonts w:ascii="Times New Roman" w:cs="Times New Roman" w:eastAsia="Times New Roman" w:hAnsi="Times New Roman"/>
          <w:sz w:val="18"/>
          <w:szCs w:val="18"/>
          <w:color w:val="001544"/>
        </w:rPr>
      </w:pPr>
      <w:r>
        <w:rPr>
          <w:rFonts w:ascii="Arial" w:cs="Arial" w:eastAsia="Arial" w:hAnsi="Arial"/>
          <w:sz w:val="18"/>
          <w:szCs w:val="18"/>
          <w:color w:val="auto"/>
        </w:rPr>
        <w:t>consults on stockholder engagement and governance matters, and</w:t>
      </w:r>
    </w:p>
    <w:p>
      <w:pPr>
        <w:spacing w:after="0" w:line="56" w:lineRule="exact"/>
        <w:rPr>
          <w:rFonts w:ascii="Times New Roman" w:cs="Times New Roman" w:eastAsia="Times New Roman" w:hAnsi="Times New Roman"/>
          <w:sz w:val="18"/>
          <w:szCs w:val="18"/>
          <w:color w:val="001544"/>
        </w:rPr>
      </w:pPr>
    </w:p>
    <w:p>
      <w:pPr>
        <w:ind w:left="300" w:hanging="293"/>
        <w:spacing w:after="0"/>
        <w:tabs>
          <w:tab w:leader="none" w:pos="300" w:val="left"/>
        </w:tabs>
        <w:numPr>
          <w:ilvl w:val="0"/>
          <w:numId w:val="89"/>
        </w:numPr>
        <w:rPr>
          <w:rFonts w:ascii="Times New Roman" w:cs="Times New Roman" w:eastAsia="Times New Roman" w:hAnsi="Times New Roman"/>
          <w:sz w:val="18"/>
          <w:szCs w:val="18"/>
          <w:color w:val="001544"/>
        </w:rPr>
      </w:pPr>
      <w:r>
        <w:rPr>
          <w:rFonts w:ascii="Arial" w:cs="Arial" w:eastAsia="Arial" w:hAnsi="Arial"/>
          <w:sz w:val="18"/>
          <w:szCs w:val="18"/>
          <w:color w:val="auto"/>
        </w:rPr>
        <w:t>performs such other duties as the Board requires from time to time.</w:t>
      </w:r>
    </w:p>
    <w:p>
      <w:pPr>
        <w:spacing w:after="0" w:line="19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Chief Executive Officer, Mr. Ganzi, is responsible for working with the Board in setting the Company’s strategic direction and day-to-day leadership and performance. Mr. Ganzi has substantial experience, knowledge and relationships in the digital infrastructure and investment management industries and our Board believes that having the Chairperson role as a separate position allows Mr. Ganzi to focus on continued execution of the Company’s business plan, which will best serve the interests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Board believes that having an independent Chairperson:</w:t>
      </w:r>
    </w:p>
    <w:p>
      <w:pPr>
        <w:spacing w:after="0" w:line="195" w:lineRule="exact"/>
        <w:rPr>
          <w:sz w:val="20"/>
          <w:szCs w:val="20"/>
          <w:color w:val="auto"/>
        </w:rPr>
      </w:pPr>
    </w:p>
    <w:p>
      <w:pPr>
        <w:ind w:left="680" w:right="40" w:hanging="321"/>
        <w:spacing w:after="0" w:line="261" w:lineRule="auto"/>
        <w:tabs>
          <w:tab w:leader="none" w:pos="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increases the independent oversight of the Company and enhances the Board’s objective evaluation of our Chief Executive Officer,</w:t>
      </w:r>
    </w:p>
    <w:p>
      <w:pPr>
        <w:spacing w:after="0" w:line="14" w:lineRule="exact"/>
        <w:rPr>
          <w:rFonts w:ascii="Arial" w:cs="Arial" w:eastAsia="Arial" w:hAnsi="Arial"/>
          <w:sz w:val="18"/>
          <w:szCs w:val="18"/>
          <w:color w:val="auto"/>
        </w:rPr>
      </w:pPr>
    </w:p>
    <w:p>
      <w:pPr>
        <w:ind w:left="680" w:hanging="321"/>
        <w:spacing w:after="0"/>
        <w:tabs>
          <w:tab w:leader="none" w:pos="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provides our Chief Executive Officer with an experienced sounding board in the Chairperson, and</w:t>
      </w:r>
    </w:p>
    <w:p>
      <w:pPr>
        <w:spacing w:after="0" w:line="69" w:lineRule="exact"/>
        <w:rPr>
          <w:rFonts w:ascii="Arial" w:cs="Arial" w:eastAsia="Arial" w:hAnsi="Arial"/>
          <w:sz w:val="18"/>
          <w:szCs w:val="18"/>
          <w:color w:val="auto"/>
        </w:rPr>
      </w:pPr>
    </w:p>
    <w:p>
      <w:pPr>
        <w:ind w:left="680" w:hanging="321"/>
        <w:spacing w:after="0"/>
        <w:tabs>
          <w:tab w:leader="none" w:pos="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provides an independent spokesperson for the Company.</w:t>
      </w:r>
    </w:p>
    <w:p>
      <w:pPr>
        <w:spacing w:after="0" w:line="195"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Our Human Capital and Compensation Committee (“Compensation Committee”), Audit and Nominating and Corporate Governance Committees are currently comprised entirely of independent directors. The Board believes that having an independent Chairperson of the Board and independent Compensation, Audit and Nominating and Corporate Governance Committees provides a structure for strong independent oversight of our management. Each committee chair presides over the chair’s committee meetings and reviews and approves meeting agendas, schedules and other information for the committee. We believe that the Board’s leadership structure, including its independent chair, majority of independent directors, and allocation of oversight responsibilities to appropriate committees, provides effective board-level risk oversight. If in the future the Board, after considering facts and circumstances at that time, appoints the Chief Executive Officer as Chairperson of the Board, we will promptly publicly disclose the appointment.</w:t>
      </w:r>
    </w:p>
    <w:p>
      <w:pPr>
        <w:spacing w:after="0" w:line="155"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Under our Corporate Governance Guidelines, if the Chairperson is not an independent director, the independent members of the Board shall elect an independent director to serve as Lead Director, and the Board will develop duties and obligations for the Lead Director. We would expect any appointed Lead Director to generally assume the duties and responsibilities of our independent Chairperson described above.</w:t>
      </w:r>
    </w:p>
    <w:p>
      <w:pPr>
        <w:spacing w:after="0" w:line="200" w:lineRule="exact"/>
        <w:rPr>
          <w:sz w:val="20"/>
          <w:szCs w:val="20"/>
          <w:color w:val="auto"/>
        </w:rPr>
      </w:pPr>
    </w:p>
    <w:p>
      <w:pPr>
        <w:spacing w:after="0" w:line="36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60090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Board’s Role in Risk Oversight</w:t>
      </w:r>
    </w:p>
    <w:p>
      <w:pPr>
        <w:spacing w:after="0" w:line="2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Board is responsible for overseeing and monitoring our risk management processes. The Board is assisted in its oversight responsibilities by the standing Board committees, which have assigned areas of oversight responsibility for various matters as described in the Board committee charters and as provided in NYSE rules. The Board or the responsible committee considers short-term, medium-term and long-term risks in exercising their oversight responsibilities and considers the immediacy and magnitude of the potential impact of a particular risk in assessing mitigation strategies. Our Board committees meet regularly to discuss these areas of risk and report back to the Board. A summary of the areas of risk and oversight responsibilities allocated to the standing committees is set forth below.</w:t>
      </w:r>
    </w:p>
    <w:p>
      <w:pPr>
        <w:spacing w:after="0" w:line="196" w:lineRule="exact"/>
        <w:rPr>
          <w:sz w:val="20"/>
          <w:szCs w:val="20"/>
          <w:color w:val="auto"/>
        </w:rPr>
      </w:pPr>
    </w:p>
    <w:tbl>
      <w:tblPr>
        <w:tblLayout w:type="fixed"/>
        <w:tblInd w:w="620" w:type="dxa"/>
        <w:tblCellMar>
          <w:top w:w="0" w:type="dxa"/>
          <w:left w:w="0" w:type="dxa"/>
          <w:bottom w:w="0" w:type="dxa"/>
          <w:right w:w="0" w:type="dxa"/>
        </w:tblCellMar>
      </w:tblPr>
      <w:tr>
        <w:trPr>
          <w:trHeight w:val="553"/>
        </w:trPr>
        <w:tc>
          <w:tcPr>
            <w:tcW w:w="2560" w:type="dxa"/>
            <w:vAlign w:val="bottom"/>
            <w:shd w:val="clear" w:color="auto" w:fill="001544"/>
          </w:tcPr>
          <w:p>
            <w:pPr>
              <w:spacing w:after="0"/>
              <w:rPr>
                <w:sz w:val="24"/>
                <w:szCs w:val="24"/>
                <w:color w:val="auto"/>
              </w:rPr>
            </w:pPr>
          </w:p>
        </w:tc>
        <w:tc>
          <w:tcPr>
            <w:tcW w:w="160" w:type="dxa"/>
            <w:vAlign w:val="bottom"/>
            <w:tcBorders>
              <w:right w:val="single" w:sz="8" w:color="008861"/>
            </w:tcBorders>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shd w:val="clear" w:color="auto" w:fill="001544"/>
          </w:tcPr>
          <w:p>
            <w:pPr>
              <w:spacing w:after="0"/>
              <w:rPr>
                <w:sz w:val="24"/>
                <w:szCs w:val="24"/>
                <w:color w:val="auto"/>
              </w:rPr>
            </w:pPr>
          </w:p>
        </w:tc>
        <w:tc>
          <w:tcPr>
            <w:tcW w:w="160" w:type="dxa"/>
            <w:vAlign w:val="bottom"/>
            <w:tcBorders>
              <w:right w:val="single" w:sz="8" w:color="008861"/>
            </w:tcBorders>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shd w:val="clear" w:color="auto" w:fill="001544"/>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560" w:type="dxa"/>
            <w:vAlign w:val="bottom"/>
            <w:vMerge w:val="restart"/>
          </w:tcPr>
          <w:p>
            <w:pPr>
              <w:ind w:left="600"/>
              <w:spacing w:after="0"/>
              <w:rPr>
                <w:sz w:val="20"/>
                <w:szCs w:val="20"/>
                <w:color w:val="auto"/>
              </w:rPr>
            </w:pPr>
            <w:r>
              <w:rPr>
                <w:rFonts w:ascii="Arial" w:cs="Arial" w:eastAsia="Arial" w:hAnsi="Arial"/>
                <w:sz w:val="17"/>
                <w:szCs w:val="17"/>
                <w:b w:val="1"/>
                <w:bCs w:val="1"/>
                <w:color w:val="001544"/>
              </w:rPr>
              <w:t>Audit Committee</w:t>
            </w:r>
          </w:p>
        </w:tc>
        <w:tc>
          <w:tcPr>
            <w:tcW w:w="160" w:type="dxa"/>
            <w:vAlign w:val="bottom"/>
            <w:tcBorders>
              <w:right w:val="single" w:sz="8" w:color="008861"/>
            </w:tcBorders>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ind w:left="520"/>
              <w:spacing w:after="0"/>
              <w:rPr>
                <w:sz w:val="20"/>
                <w:szCs w:val="20"/>
                <w:color w:val="auto"/>
              </w:rPr>
            </w:pPr>
            <w:r>
              <w:rPr>
                <w:rFonts w:ascii="Arial" w:cs="Arial" w:eastAsia="Arial" w:hAnsi="Arial"/>
                <w:sz w:val="17"/>
                <w:szCs w:val="17"/>
                <w:b w:val="1"/>
                <w:bCs w:val="1"/>
                <w:color w:val="auto"/>
              </w:rPr>
              <w:t>Human Capital and</w:t>
            </w:r>
          </w:p>
        </w:tc>
        <w:tc>
          <w:tcPr>
            <w:tcW w:w="160" w:type="dxa"/>
            <w:vAlign w:val="bottom"/>
            <w:tcBorders>
              <w:right w:val="single" w:sz="8" w:color="008861"/>
            </w:tcBorders>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ind w:left="220"/>
              <w:spacing w:after="0"/>
              <w:rPr>
                <w:sz w:val="20"/>
                <w:szCs w:val="20"/>
                <w:color w:val="auto"/>
              </w:rPr>
            </w:pPr>
            <w:r>
              <w:rPr>
                <w:rFonts w:ascii="Arial" w:cs="Arial" w:eastAsia="Arial" w:hAnsi="Arial"/>
                <w:sz w:val="17"/>
                <w:szCs w:val="17"/>
                <w:b w:val="1"/>
                <w:bCs w:val="1"/>
                <w:color w:val="auto"/>
              </w:rPr>
              <w:t>Nominating and Corporate</w:t>
            </w:r>
          </w:p>
        </w:tc>
        <w:tc>
          <w:tcPr>
            <w:tcW w:w="0" w:type="dxa"/>
            <w:vAlign w:val="bottom"/>
          </w:tcPr>
          <w:p>
            <w:pPr>
              <w:spacing w:after="0"/>
              <w:rPr>
                <w:sz w:val="1"/>
                <w:szCs w:val="1"/>
                <w:color w:val="auto"/>
              </w:rPr>
            </w:pPr>
          </w:p>
        </w:tc>
      </w:tr>
      <w:tr>
        <w:trPr>
          <w:trHeight w:val="129"/>
        </w:trPr>
        <w:tc>
          <w:tcPr>
            <w:tcW w:w="2560" w:type="dxa"/>
            <w:vAlign w:val="bottom"/>
            <w:vMerge w:val="continue"/>
          </w:tcPr>
          <w:p>
            <w:pPr>
              <w:spacing w:after="0"/>
              <w:rPr>
                <w:sz w:val="11"/>
                <w:szCs w:val="11"/>
                <w:color w:val="auto"/>
              </w:rPr>
            </w:pPr>
          </w:p>
        </w:tc>
        <w:tc>
          <w:tcPr>
            <w:tcW w:w="160" w:type="dxa"/>
            <w:vAlign w:val="bottom"/>
            <w:tcBorders>
              <w:right w:val="single" w:sz="8" w:color="008861"/>
            </w:tcBorders>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vMerge w:val="restart"/>
          </w:tcPr>
          <w:p>
            <w:pPr>
              <w:ind w:left="240"/>
              <w:spacing w:after="0"/>
              <w:rPr>
                <w:sz w:val="20"/>
                <w:szCs w:val="20"/>
                <w:color w:val="auto"/>
              </w:rPr>
            </w:pPr>
            <w:r>
              <w:rPr>
                <w:rFonts w:ascii="Arial" w:cs="Arial" w:eastAsia="Arial" w:hAnsi="Arial"/>
                <w:sz w:val="17"/>
                <w:szCs w:val="17"/>
                <w:b w:val="1"/>
                <w:bCs w:val="1"/>
                <w:color w:val="auto"/>
              </w:rPr>
              <w:t>Compensation Committee</w:t>
            </w:r>
          </w:p>
        </w:tc>
        <w:tc>
          <w:tcPr>
            <w:tcW w:w="160" w:type="dxa"/>
            <w:vAlign w:val="bottom"/>
            <w:tcBorders>
              <w:right w:val="single" w:sz="8" w:color="008861"/>
            </w:tcBorders>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vMerge w:val="restart"/>
          </w:tcPr>
          <w:p>
            <w:pPr>
              <w:ind w:left="340"/>
              <w:spacing w:after="0"/>
              <w:rPr>
                <w:sz w:val="20"/>
                <w:szCs w:val="20"/>
                <w:color w:val="auto"/>
              </w:rPr>
            </w:pPr>
            <w:r>
              <w:rPr>
                <w:rFonts w:ascii="Arial" w:cs="Arial" w:eastAsia="Arial" w:hAnsi="Arial"/>
                <w:sz w:val="17"/>
                <w:szCs w:val="17"/>
                <w:b w:val="1"/>
                <w:bCs w:val="1"/>
                <w:color w:val="auto"/>
              </w:rPr>
              <w:t>Governance Committee</w:t>
            </w:r>
          </w:p>
        </w:tc>
        <w:tc>
          <w:tcPr>
            <w:tcW w:w="0" w:type="dxa"/>
            <w:vAlign w:val="bottom"/>
          </w:tcPr>
          <w:p>
            <w:pPr>
              <w:spacing w:after="0"/>
              <w:rPr>
                <w:sz w:val="1"/>
                <w:szCs w:val="1"/>
                <w:color w:val="auto"/>
              </w:rPr>
            </w:pPr>
          </w:p>
        </w:tc>
      </w:tr>
      <w:tr>
        <w:trPr>
          <w:trHeight w:val="101"/>
        </w:trPr>
        <w:tc>
          <w:tcPr>
            <w:tcW w:w="2560" w:type="dxa"/>
            <w:vAlign w:val="bottom"/>
            <w:tcBorders>
              <w:bottom w:val="single" w:sz="8" w:color="001544"/>
            </w:tcBorders>
          </w:tcPr>
          <w:p>
            <w:pPr>
              <w:spacing w:after="0"/>
              <w:rPr>
                <w:sz w:val="8"/>
                <w:szCs w:val="8"/>
                <w:color w:val="auto"/>
              </w:rPr>
            </w:pPr>
          </w:p>
        </w:tc>
        <w:tc>
          <w:tcPr>
            <w:tcW w:w="160" w:type="dxa"/>
            <w:vAlign w:val="bottom"/>
            <w:tcBorders>
              <w:right w:val="single" w:sz="8" w:color="008861"/>
            </w:tcBorders>
          </w:tcPr>
          <w:p>
            <w:pPr>
              <w:spacing w:after="0"/>
              <w:rPr>
                <w:sz w:val="8"/>
                <w:szCs w:val="8"/>
                <w:color w:val="auto"/>
              </w:rPr>
            </w:pPr>
          </w:p>
        </w:tc>
        <w:tc>
          <w:tcPr>
            <w:tcW w:w="120" w:type="dxa"/>
            <w:vAlign w:val="bottom"/>
          </w:tcPr>
          <w:p>
            <w:pPr>
              <w:spacing w:after="0"/>
              <w:rPr>
                <w:sz w:val="8"/>
                <w:szCs w:val="8"/>
                <w:color w:val="auto"/>
              </w:rPr>
            </w:pPr>
          </w:p>
        </w:tc>
        <w:tc>
          <w:tcPr>
            <w:tcW w:w="2560" w:type="dxa"/>
            <w:vAlign w:val="bottom"/>
            <w:tcBorders>
              <w:bottom w:val="single" w:sz="8" w:color="001544"/>
            </w:tcBorders>
            <w:vMerge w:val="continue"/>
          </w:tcPr>
          <w:p>
            <w:pPr>
              <w:spacing w:after="0"/>
              <w:rPr>
                <w:sz w:val="8"/>
                <w:szCs w:val="8"/>
                <w:color w:val="auto"/>
              </w:rPr>
            </w:pPr>
          </w:p>
        </w:tc>
        <w:tc>
          <w:tcPr>
            <w:tcW w:w="160" w:type="dxa"/>
            <w:vAlign w:val="bottom"/>
            <w:tcBorders>
              <w:right w:val="single" w:sz="8" w:color="008861"/>
            </w:tcBorders>
          </w:tcPr>
          <w:p>
            <w:pPr>
              <w:spacing w:after="0"/>
              <w:rPr>
                <w:sz w:val="8"/>
                <w:szCs w:val="8"/>
                <w:color w:val="auto"/>
              </w:rPr>
            </w:pPr>
          </w:p>
        </w:tc>
        <w:tc>
          <w:tcPr>
            <w:tcW w:w="120" w:type="dxa"/>
            <w:vAlign w:val="bottom"/>
          </w:tcPr>
          <w:p>
            <w:pPr>
              <w:spacing w:after="0"/>
              <w:rPr>
                <w:sz w:val="8"/>
                <w:szCs w:val="8"/>
                <w:color w:val="auto"/>
              </w:rPr>
            </w:pPr>
          </w:p>
        </w:tc>
        <w:tc>
          <w:tcPr>
            <w:tcW w:w="2580" w:type="dxa"/>
            <w:vAlign w:val="bottom"/>
            <w:tcBorders>
              <w:bottom w:val="single" w:sz="8" w:color="001544"/>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56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Financial and Operational</w:t>
            </w:r>
          </w:p>
        </w:tc>
        <w:tc>
          <w:tcPr>
            <w:tcW w:w="160" w:type="dxa"/>
            <w:vAlign w:val="bottom"/>
            <w:tcBorders>
              <w:right w:val="single" w:sz="8" w:color="008861"/>
            </w:tcBorders>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Executive Compensation</w:t>
            </w:r>
          </w:p>
        </w:tc>
        <w:tc>
          <w:tcPr>
            <w:tcW w:w="160" w:type="dxa"/>
            <w:vAlign w:val="bottom"/>
            <w:tcBorders>
              <w:right w:val="single" w:sz="8" w:color="008861"/>
            </w:tcBorders>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Succession Planning</w:t>
            </w:r>
          </w:p>
        </w:tc>
        <w:tc>
          <w:tcPr>
            <w:tcW w:w="0" w:type="dxa"/>
            <w:vAlign w:val="bottom"/>
          </w:tcPr>
          <w:p>
            <w:pPr>
              <w:spacing w:after="0"/>
              <w:rPr>
                <w:sz w:val="1"/>
                <w:szCs w:val="1"/>
                <w:color w:val="auto"/>
              </w:rPr>
            </w:pPr>
          </w:p>
        </w:tc>
      </w:tr>
      <w:tr>
        <w:trPr>
          <w:trHeight w:val="239"/>
        </w:trPr>
        <w:tc>
          <w:tcPr>
            <w:tcW w:w="256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Cybersecurity and Technology</w:t>
            </w:r>
          </w:p>
        </w:tc>
        <w:tc>
          <w:tcPr>
            <w:tcW w:w="160" w:type="dxa"/>
            <w:vAlign w:val="bottom"/>
            <w:tcBorders>
              <w:right w:val="single" w:sz="8" w:color="008861"/>
            </w:tcBorders>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Human Capital Management</w:t>
            </w:r>
          </w:p>
        </w:tc>
        <w:tc>
          <w:tcPr>
            <w:tcW w:w="160" w:type="dxa"/>
            <w:vAlign w:val="bottom"/>
            <w:tcBorders>
              <w:right w:val="single" w:sz="8" w:color="008861"/>
            </w:tcBorders>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Responsible Investing Program</w:t>
            </w:r>
          </w:p>
        </w:tc>
        <w:tc>
          <w:tcPr>
            <w:tcW w:w="0" w:type="dxa"/>
            <w:vAlign w:val="bottom"/>
          </w:tcPr>
          <w:p>
            <w:pPr>
              <w:spacing w:after="0"/>
              <w:rPr>
                <w:sz w:val="1"/>
                <w:szCs w:val="1"/>
                <w:color w:val="auto"/>
              </w:rPr>
            </w:pPr>
          </w:p>
        </w:tc>
      </w:tr>
      <w:tr>
        <w:trPr>
          <w:trHeight w:val="201"/>
        </w:trPr>
        <w:tc>
          <w:tcPr>
            <w:tcW w:w="256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Digital Continuity Plans</w:t>
            </w:r>
          </w:p>
        </w:tc>
        <w:tc>
          <w:tcPr>
            <w:tcW w:w="160" w:type="dxa"/>
            <w:vAlign w:val="bottom"/>
            <w:tcBorders>
              <w:right w:val="single" w:sz="8" w:color="008861"/>
            </w:tcBorders>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Culture and Employee</w:t>
            </w:r>
          </w:p>
        </w:tc>
        <w:tc>
          <w:tcPr>
            <w:tcW w:w="160" w:type="dxa"/>
            <w:vAlign w:val="bottom"/>
            <w:tcBorders>
              <w:right w:val="single" w:sz="8" w:color="008861"/>
            </w:tcBorders>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Board Refreshment</w:t>
            </w:r>
          </w:p>
        </w:tc>
        <w:tc>
          <w:tcPr>
            <w:tcW w:w="0" w:type="dxa"/>
            <w:vAlign w:val="bottom"/>
          </w:tcPr>
          <w:p>
            <w:pPr>
              <w:spacing w:after="0"/>
              <w:rPr>
                <w:sz w:val="1"/>
                <w:szCs w:val="1"/>
                <w:color w:val="auto"/>
              </w:rPr>
            </w:pPr>
          </w:p>
        </w:tc>
      </w:tr>
      <w:tr>
        <w:trPr>
          <w:trHeight w:val="226"/>
        </w:trPr>
        <w:tc>
          <w:tcPr>
            <w:tcW w:w="256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Insurance</w:t>
            </w:r>
          </w:p>
        </w:tc>
        <w:tc>
          <w:tcPr>
            <w:tcW w:w="160" w:type="dxa"/>
            <w:vAlign w:val="bottom"/>
            <w:tcBorders>
              <w:right w:val="single" w:sz="8" w:color="008861"/>
            </w:tcBorders>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shd w:val="clear" w:color="auto" w:fill="DBDFEA"/>
          </w:tcPr>
          <w:p>
            <w:pPr>
              <w:ind w:left="200"/>
              <w:spacing w:after="0"/>
              <w:rPr>
                <w:sz w:val="20"/>
                <w:szCs w:val="20"/>
                <w:color w:val="auto"/>
              </w:rPr>
            </w:pPr>
            <w:r>
              <w:rPr>
                <w:rFonts w:ascii="Arial" w:cs="Arial" w:eastAsia="Arial" w:hAnsi="Arial"/>
                <w:sz w:val="17"/>
                <w:szCs w:val="17"/>
                <w:color w:val="auto"/>
              </w:rPr>
              <w:t>Engagement</w:t>
            </w:r>
          </w:p>
        </w:tc>
        <w:tc>
          <w:tcPr>
            <w:tcW w:w="160" w:type="dxa"/>
            <w:vAlign w:val="bottom"/>
            <w:tcBorders>
              <w:right w:val="single" w:sz="8" w:color="008861"/>
            </w:tcBorders>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Onboarding and Board</w:t>
            </w:r>
          </w:p>
        </w:tc>
        <w:tc>
          <w:tcPr>
            <w:tcW w:w="0" w:type="dxa"/>
            <w:vAlign w:val="bottom"/>
          </w:tcPr>
          <w:p>
            <w:pPr>
              <w:spacing w:after="0"/>
              <w:rPr>
                <w:sz w:val="1"/>
                <w:szCs w:val="1"/>
                <w:color w:val="auto"/>
              </w:rPr>
            </w:pPr>
          </w:p>
        </w:tc>
      </w:tr>
      <w:tr>
        <w:trPr>
          <w:trHeight w:val="205"/>
        </w:trPr>
        <w:tc>
          <w:tcPr>
            <w:tcW w:w="256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Foreign Corrupt Practices Act</w:t>
            </w:r>
          </w:p>
        </w:tc>
        <w:tc>
          <w:tcPr>
            <w:tcW w:w="160" w:type="dxa"/>
            <w:vAlign w:val="bottom"/>
            <w:tcBorders>
              <w:right w:val="single" w:sz="8" w:color="008861"/>
            </w:tcBorders>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Independent Compensation</w:t>
            </w:r>
          </w:p>
        </w:tc>
        <w:tc>
          <w:tcPr>
            <w:tcW w:w="160" w:type="dxa"/>
            <w:vAlign w:val="bottom"/>
            <w:tcBorders>
              <w:right w:val="single" w:sz="8" w:color="008861"/>
            </w:tcBorders>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shd w:val="clear" w:color="auto" w:fill="DBDFEA"/>
          </w:tcPr>
          <w:p>
            <w:pPr>
              <w:ind w:left="200"/>
              <w:spacing w:after="0"/>
              <w:rPr>
                <w:sz w:val="20"/>
                <w:szCs w:val="20"/>
                <w:color w:val="auto"/>
              </w:rPr>
            </w:pPr>
            <w:r>
              <w:rPr>
                <w:rFonts w:ascii="Arial" w:cs="Arial" w:eastAsia="Arial" w:hAnsi="Arial"/>
                <w:sz w:val="17"/>
                <w:szCs w:val="17"/>
                <w:color w:val="auto"/>
              </w:rPr>
              <w:t>Education</w:t>
            </w:r>
          </w:p>
        </w:tc>
        <w:tc>
          <w:tcPr>
            <w:tcW w:w="0" w:type="dxa"/>
            <w:vAlign w:val="bottom"/>
          </w:tcPr>
          <w:p>
            <w:pPr>
              <w:spacing w:after="0"/>
              <w:rPr>
                <w:sz w:val="1"/>
                <w:szCs w:val="1"/>
                <w:color w:val="auto"/>
              </w:rPr>
            </w:pPr>
          </w:p>
        </w:tc>
      </w:tr>
      <w:tr>
        <w:trPr>
          <w:trHeight w:val="239"/>
        </w:trPr>
        <w:tc>
          <w:tcPr>
            <w:tcW w:w="256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FX Exposure and Counterparty</w:t>
            </w:r>
          </w:p>
        </w:tc>
        <w:tc>
          <w:tcPr>
            <w:tcW w:w="160" w:type="dxa"/>
            <w:vAlign w:val="bottom"/>
            <w:tcBorders>
              <w:right w:val="single" w:sz="8" w:color="008861"/>
            </w:tcBorders>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shd w:val="clear" w:color="auto" w:fill="DBDFEA"/>
          </w:tcPr>
          <w:p>
            <w:pPr>
              <w:ind w:left="200"/>
              <w:spacing w:after="0"/>
              <w:rPr>
                <w:sz w:val="20"/>
                <w:szCs w:val="20"/>
                <w:color w:val="auto"/>
              </w:rPr>
            </w:pPr>
            <w:r>
              <w:rPr>
                <w:rFonts w:ascii="Arial" w:cs="Arial" w:eastAsia="Arial" w:hAnsi="Arial"/>
                <w:sz w:val="17"/>
                <w:szCs w:val="17"/>
                <w:color w:val="auto"/>
              </w:rPr>
              <w:t>Consultant</w:t>
            </w:r>
          </w:p>
        </w:tc>
        <w:tc>
          <w:tcPr>
            <w:tcW w:w="160" w:type="dxa"/>
            <w:vAlign w:val="bottom"/>
            <w:tcBorders>
              <w:right w:val="single" w:sz="8" w:color="008861"/>
            </w:tcBorders>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Board and Committee</w:t>
            </w:r>
          </w:p>
        </w:tc>
        <w:tc>
          <w:tcPr>
            <w:tcW w:w="0" w:type="dxa"/>
            <w:vAlign w:val="bottom"/>
          </w:tcPr>
          <w:p>
            <w:pPr>
              <w:spacing w:after="0"/>
              <w:rPr>
                <w:sz w:val="1"/>
                <w:szCs w:val="1"/>
                <w:color w:val="auto"/>
              </w:rPr>
            </w:pPr>
          </w:p>
        </w:tc>
      </w:tr>
      <w:tr>
        <w:trPr>
          <w:trHeight w:val="242"/>
        </w:trPr>
        <w:tc>
          <w:tcPr>
            <w:tcW w:w="2560" w:type="dxa"/>
            <w:vAlign w:val="bottom"/>
            <w:shd w:val="clear" w:color="auto" w:fill="DBDFEA"/>
          </w:tcPr>
          <w:p>
            <w:pPr>
              <w:ind w:left="200"/>
              <w:spacing w:after="0"/>
              <w:rPr>
                <w:sz w:val="20"/>
                <w:szCs w:val="20"/>
                <w:color w:val="auto"/>
              </w:rPr>
            </w:pPr>
            <w:r>
              <w:rPr>
                <w:rFonts w:ascii="Arial" w:cs="Arial" w:eastAsia="Arial" w:hAnsi="Arial"/>
                <w:sz w:val="17"/>
                <w:szCs w:val="17"/>
                <w:color w:val="auto"/>
              </w:rPr>
              <w:t>Risk</w:t>
            </w:r>
          </w:p>
        </w:tc>
        <w:tc>
          <w:tcPr>
            <w:tcW w:w="160" w:type="dxa"/>
            <w:vAlign w:val="bottom"/>
            <w:tcBorders>
              <w:right w:val="single" w:sz="8" w:color="008861"/>
            </w:tcBorders>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Shareholder Engagement</w:t>
            </w:r>
          </w:p>
        </w:tc>
        <w:tc>
          <w:tcPr>
            <w:tcW w:w="160" w:type="dxa"/>
            <w:vAlign w:val="bottom"/>
            <w:tcBorders>
              <w:right w:val="single" w:sz="8" w:color="008861"/>
            </w:tcBorders>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shd w:val="clear" w:color="auto" w:fill="DBDFEA"/>
          </w:tcPr>
          <w:p>
            <w:pPr>
              <w:ind w:left="200"/>
              <w:spacing w:after="0"/>
              <w:rPr>
                <w:sz w:val="20"/>
                <w:szCs w:val="20"/>
                <w:color w:val="auto"/>
              </w:rPr>
            </w:pPr>
            <w:r>
              <w:rPr>
                <w:rFonts w:ascii="Arial" w:cs="Arial" w:eastAsia="Arial" w:hAnsi="Arial"/>
                <w:sz w:val="17"/>
                <w:szCs w:val="17"/>
                <w:color w:val="auto"/>
              </w:rPr>
              <w:t>Evaluations</w:t>
            </w:r>
          </w:p>
        </w:tc>
        <w:tc>
          <w:tcPr>
            <w:tcW w:w="0" w:type="dxa"/>
            <w:vAlign w:val="bottom"/>
          </w:tcPr>
          <w:p>
            <w:pPr>
              <w:spacing w:after="0"/>
              <w:rPr>
                <w:sz w:val="1"/>
                <w:szCs w:val="1"/>
                <w:color w:val="auto"/>
              </w:rPr>
            </w:pPr>
          </w:p>
        </w:tc>
      </w:tr>
      <w:tr>
        <w:trPr>
          <w:trHeight w:val="193"/>
        </w:trPr>
        <w:tc>
          <w:tcPr>
            <w:tcW w:w="2560" w:type="dxa"/>
            <w:vAlign w:val="bottom"/>
            <w:shd w:val="clear" w:color="auto" w:fill="DBDFEA"/>
          </w:tcPr>
          <w:p>
            <w:pPr>
              <w:ind w:left="20"/>
              <w:spacing w:after="0" w:line="193" w:lineRule="exact"/>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Conflicts and Related Party</w:t>
            </w:r>
          </w:p>
        </w:tc>
        <w:tc>
          <w:tcPr>
            <w:tcW w:w="160" w:type="dxa"/>
            <w:vAlign w:val="bottom"/>
            <w:tcBorders>
              <w:right w:val="single" w:sz="8" w:color="008861"/>
            </w:tcBorders>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shd w:val="clear" w:color="auto" w:fill="DBDFEA"/>
          </w:tcPr>
          <w:p>
            <w:pPr>
              <w:spacing w:after="0"/>
              <w:rPr>
                <w:sz w:val="16"/>
                <w:szCs w:val="16"/>
                <w:color w:val="auto"/>
              </w:rPr>
            </w:pPr>
          </w:p>
        </w:tc>
        <w:tc>
          <w:tcPr>
            <w:tcW w:w="160" w:type="dxa"/>
            <w:vAlign w:val="bottom"/>
            <w:tcBorders>
              <w:right w:val="single" w:sz="8" w:color="008861"/>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shd w:val="clear" w:color="auto" w:fill="DBDFEA"/>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560" w:type="dxa"/>
            <w:vAlign w:val="bottom"/>
            <w:shd w:val="clear" w:color="auto" w:fill="DBDFEA"/>
          </w:tcPr>
          <w:p>
            <w:pPr>
              <w:ind w:left="200"/>
              <w:spacing w:after="0"/>
              <w:rPr>
                <w:sz w:val="20"/>
                <w:szCs w:val="20"/>
                <w:color w:val="auto"/>
              </w:rPr>
            </w:pPr>
            <w:r>
              <w:rPr>
                <w:rFonts w:ascii="Arial" w:cs="Arial" w:eastAsia="Arial" w:hAnsi="Arial"/>
                <w:sz w:val="17"/>
                <w:szCs w:val="17"/>
                <w:color w:val="auto"/>
              </w:rPr>
              <w:t>Transactions</w:t>
            </w:r>
          </w:p>
        </w:tc>
        <w:tc>
          <w:tcPr>
            <w:tcW w:w="160" w:type="dxa"/>
            <w:vAlign w:val="bottom"/>
            <w:tcBorders>
              <w:right w:val="single" w:sz="8" w:color="008861"/>
            </w:tcBorders>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shd w:val="clear" w:color="auto" w:fill="DBDFEA"/>
          </w:tcPr>
          <w:p>
            <w:pPr>
              <w:spacing w:after="0"/>
              <w:rPr>
                <w:sz w:val="19"/>
                <w:szCs w:val="19"/>
                <w:color w:val="auto"/>
              </w:rPr>
            </w:pPr>
          </w:p>
        </w:tc>
        <w:tc>
          <w:tcPr>
            <w:tcW w:w="160" w:type="dxa"/>
            <w:vAlign w:val="bottom"/>
            <w:tcBorders>
              <w:right w:val="single" w:sz="8" w:color="008861"/>
            </w:tcBorders>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shd w:val="clear" w:color="auto" w:fill="DBDFEA"/>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560" w:type="dxa"/>
            <w:vAlign w:val="bottom"/>
            <w:shd w:val="clear" w:color="auto" w:fill="DBDFEA"/>
          </w:tcPr>
          <w:p>
            <w:pPr>
              <w:spacing w:after="0"/>
              <w:rPr>
                <w:sz w:val="2"/>
                <w:szCs w:val="2"/>
                <w:color w:val="auto"/>
              </w:rPr>
            </w:pPr>
          </w:p>
        </w:tc>
        <w:tc>
          <w:tcPr>
            <w:tcW w:w="160" w:type="dxa"/>
            <w:vAlign w:val="bottom"/>
            <w:tcBorders>
              <w:right w:val="single" w:sz="8" w:color="008861"/>
            </w:tcBorders>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shd w:val="clear" w:color="auto" w:fill="DBDFEA"/>
          </w:tcPr>
          <w:p>
            <w:pPr>
              <w:spacing w:after="0"/>
              <w:rPr>
                <w:sz w:val="2"/>
                <w:szCs w:val="2"/>
                <w:color w:val="auto"/>
              </w:rPr>
            </w:pPr>
          </w:p>
        </w:tc>
        <w:tc>
          <w:tcPr>
            <w:tcW w:w="160" w:type="dxa"/>
            <w:vAlign w:val="bottom"/>
            <w:tcBorders>
              <w:right w:val="single" w:sz="8" w:color="008861"/>
            </w:tcBorders>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shd w:val="clear" w:color="auto" w:fill="DBDFEA"/>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1045210</wp:posOffset>
            </wp:positionH>
            <wp:positionV relativeFrom="paragraph">
              <wp:posOffset>-1914525</wp:posOffset>
            </wp:positionV>
            <wp:extent cx="319405" cy="3035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9405" cy="303530"/>
                    </a:xfrm>
                    <a:prstGeom prst="rect">
                      <a:avLst/>
                    </a:prstGeom>
                    <a:noFill/>
                  </pic:spPr>
                </pic:pic>
              </a:graphicData>
            </a:graphic>
          </wp:anchor>
        </w:drawing>
        <w:drawing>
          <wp:anchor simplePos="0" relativeHeight="251657728" behindDoc="1" locked="0" layoutInCell="0" allowOverlap="1">
            <wp:simplePos x="0" y="0"/>
            <wp:positionH relativeFrom="column">
              <wp:posOffset>2769235</wp:posOffset>
            </wp:positionH>
            <wp:positionV relativeFrom="paragraph">
              <wp:posOffset>-1914525</wp:posOffset>
            </wp:positionV>
            <wp:extent cx="470535" cy="3035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0535" cy="303530"/>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-1914525</wp:posOffset>
            </wp:positionV>
            <wp:extent cx="319405" cy="3035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9405" cy="303530"/>
                    </a:xfrm>
                    <a:prstGeom prst="rect">
                      <a:avLst/>
                    </a:prstGeom>
                    <a:noFill/>
                  </pic:spPr>
                </pic:pic>
              </a:graphicData>
            </a:graphic>
          </wp:anchor>
        </w:drawing>
      </w:r>
    </w:p>
    <w:p>
      <w:pPr>
        <w:spacing w:after="0" w:line="15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connection with its oversight of risk to our business, our Board and its committees consider feedback from our Chief Financial Officer, Internal Auditor and other members of management concerning the Company’s operations and strategies and consider the attendant risks to our business. The Board and its committees also engage in regular discussions regarding risk management with our independent and internal auditors. The Board routinely meets with our Chief Executive Officer, President, Chief Financial Officer, Chief Legal Officer and Chief Accounting Officer, and other members of management as appropriate in the Board’s consideration of matters submitted for Board approval and risks associated with such matters.</w:t>
      </w:r>
    </w:p>
    <w:p>
      <w:pPr>
        <w:spacing w:after="0" w:line="172"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The Board and its committees hear reports from the members of management responsible for the matters considered to enable the Board and each committee to understand and discuss risk identification and risk management. All directors have access to members of management in the event a director wishes to follow up on items discussed during the Board meeting. The Board and its committees consult with outside advisors and experts on risk matters when necessary.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Majority Voting Standard for Election of Directors</w:t>
      </w:r>
    </w:p>
    <w:p>
      <w:pPr>
        <w:spacing w:after="0" w:line="21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bylaws provide that, in any uncontested election of directors, a director nominee will be elected by a majority of all of the votes cast at a meeting of stockholders duly called and at which a quorum is present. If in any uncontested election of directors an incumbent director does not receive a majority of the votes cast by stockholders entitled to vote with respect to the election of that director, our Corporate Governance Guidelines require such director to tender his or her resignation within three days after certification of the results. To the extent that one or more directors’ resignations are accepted by the Board, the Nominating and Corporate</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5840"/>
        <w:spacing w:after="0"/>
        <w:rPr>
          <w:sz w:val="20"/>
          <w:szCs w:val="20"/>
          <w:color w:val="auto"/>
        </w:rPr>
      </w:pPr>
      <w:r>
        <w:rPr>
          <w:rFonts w:ascii="Arial" w:cs="Arial" w:eastAsia="Arial" w:hAnsi="Arial"/>
          <w:sz w:val="16"/>
          <w:szCs w:val="16"/>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60090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Governance Committee will recommend to the Board whether to fill such vacancy or vacancies or to reduce the size of the Board.</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Directors Offer of Resignation Policy</w:t>
      </w:r>
    </w:p>
    <w:p>
      <w:pPr>
        <w:spacing w:after="0" w:line="2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Corporate Governance Guidelines provide that if a director’s principal occupation or business association changes, or if a director takes on significant additional business responsibilities, such director shall promptly inform the Board of such change and the Nominating and Corporate Governance Committee shall determine whether it is appropriate for such director to continue to serve on the Board. Whenever a member of our Board accepts a position with a company that is competitive to the Company’s business or violates our Code of Business Conduct and Ethics, Corporate Governance Guidelines or any other Company policy applicable to members of our Board, such Board member must offer his or her resignation to the Nominating and Corporate Governance Committee for its consideration. Such Board member is expected to act in accordance with the Nominating and Corporate Governance Committee’s recommendation in this regard.</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Executive Sessions of Non-Management Directors</w:t>
      </w:r>
    </w:p>
    <w:p>
      <w:pPr>
        <w:spacing w:after="0" w:line="218"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Pursuant to our Corporate Governance Guidelines and the NYSE listing standards, in order to promote open discussion among non-management directors, our Board of Directors devotes a portion of each regularly scheduled Board and committee meeting to executive sessions without management participation. In addition, our Corporate Governance Guidelines provide that if the group of non-management directors includes directors who are not independent, as defined in the NYSE’s listing standards, at least one such executive session convened per year shall include only independent directors. Our Chairperson of the Board presides and will continue to preside at these sessions.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Director Nomination Procedures</w:t>
      </w:r>
    </w:p>
    <w:p>
      <w:pPr>
        <w:spacing w:after="0" w:line="2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goal is to ensure that our Board of Directors consists of qualified individuals that function effectively as a group. While it is expected that qualifications and credentials for consideration as a director nominee may vary according to the particular areas of expertise being sought as a complement to the existing composition of the Board of Directors, our Nominating and Corporate Governance Committee charter provides that candidates for director must have the highest personal and professional integrity, demonstrated exceptional ability and judgment and an ability to be effective, in conjunction with the other nominees to the Board, in collectively serving the long-term interests of the Company and its stockholders.</w:t>
      </w:r>
    </w:p>
    <w:p>
      <w:pPr>
        <w:spacing w:after="0" w:line="172"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color w:val="auto"/>
        </w:rPr>
        <w:t>In addition to the aforementioned qualifications, the Nominating and Corporate Governance Committee shall assess the nominee’s independence and may consider, among other things, the following, all in the context of an assessment of the perceived needs of the Board at that time:</w:t>
      </w:r>
    </w:p>
    <w:p>
      <w:pPr>
        <w:spacing w:after="0" w:line="165" w:lineRule="exact"/>
        <w:rPr>
          <w:sz w:val="20"/>
          <w:szCs w:val="20"/>
          <w:color w:val="auto"/>
        </w:rPr>
      </w:pPr>
    </w:p>
    <w:p>
      <w:pPr>
        <w:ind w:left="300" w:hanging="293"/>
        <w:spacing w:after="0"/>
        <w:tabs>
          <w:tab w:leader="none" w:pos="300" w:val="left"/>
        </w:tabs>
        <w:numPr>
          <w:ilvl w:val="0"/>
          <w:numId w:val="91"/>
        </w:numPr>
        <w:rPr>
          <w:rFonts w:ascii="Times New Roman" w:cs="Times New Roman" w:eastAsia="Times New Roman" w:hAnsi="Times New Roman"/>
          <w:sz w:val="18"/>
          <w:szCs w:val="18"/>
          <w:color w:val="001544"/>
        </w:rPr>
      </w:pPr>
      <w:r>
        <w:rPr>
          <w:rFonts w:ascii="Arial" w:cs="Arial" w:eastAsia="Arial" w:hAnsi="Arial"/>
          <w:sz w:val="18"/>
          <w:szCs w:val="18"/>
          <w:color w:val="auto"/>
        </w:rPr>
        <w:t>background, skill and experience;</w:t>
      </w:r>
    </w:p>
    <w:p>
      <w:pPr>
        <w:spacing w:after="0" w:line="56" w:lineRule="exact"/>
        <w:rPr>
          <w:rFonts w:ascii="Times New Roman" w:cs="Times New Roman" w:eastAsia="Times New Roman" w:hAnsi="Times New Roman"/>
          <w:sz w:val="18"/>
          <w:szCs w:val="18"/>
          <w:color w:val="001544"/>
        </w:rPr>
      </w:pPr>
    </w:p>
    <w:p>
      <w:pPr>
        <w:ind w:left="300" w:right="580" w:hanging="293"/>
        <w:spacing w:after="0" w:line="260" w:lineRule="auto"/>
        <w:tabs>
          <w:tab w:leader="none" w:pos="300" w:val="left"/>
        </w:tabs>
        <w:numPr>
          <w:ilvl w:val="0"/>
          <w:numId w:val="91"/>
        </w:numPr>
        <w:rPr>
          <w:rFonts w:ascii="Times New Roman" w:cs="Times New Roman" w:eastAsia="Times New Roman" w:hAnsi="Times New Roman"/>
          <w:sz w:val="18"/>
          <w:szCs w:val="18"/>
          <w:color w:val="001544"/>
        </w:rPr>
      </w:pPr>
      <w:r>
        <w:rPr>
          <w:rFonts w:ascii="Arial" w:cs="Arial" w:eastAsia="Arial" w:hAnsi="Arial"/>
          <w:sz w:val="18"/>
          <w:szCs w:val="18"/>
          <w:color w:val="auto"/>
        </w:rPr>
        <w:t>personal qualities, high ethical standards and characteristics, accomplishments, and reputation in the business community;</w:t>
      </w:r>
    </w:p>
    <w:p>
      <w:pPr>
        <w:spacing w:after="0" w:line="28" w:lineRule="exact"/>
        <w:rPr>
          <w:rFonts w:ascii="Times New Roman" w:cs="Times New Roman" w:eastAsia="Times New Roman" w:hAnsi="Times New Roman"/>
          <w:sz w:val="18"/>
          <w:szCs w:val="18"/>
          <w:color w:val="001544"/>
        </w:rPr>
      </w:pPr>
    </w:p>
    <w:p>
      <w:pPr>
        <w:ind w:left="300" w:right="80" w:hanging="293"/>
        <w:spacing w:after="0" w:line="260" w:lineRule="auto"/>
        <w:tabs>
          <w:tab w:leader="none" w:pos="300" w:val="left"/>
        </w:tabs>
        <w:numPr>
          <w:ilvl w:val="0"/>
          <w:numId w:val="91"/>
        </w:numPr>
        <w:rPr>
          <w:rFonts w:ascii="Times New Roman" w:cs="Times New Roman" w:eastAsia="Times New Roman" w:hAnsi="Times New Roman"/>
          <w:sz w:val="18"/>
          <w:szCs w:val="18"/>
          <w:color w:val="001544"/>
        </w:rPr>
      </w:pPr>
      <w:r>
        <w:rPr>
          <w:rFonts w:ascii="Arial" w:cs="Arial" w:eastAsia="Arial" w:hAnsi="Arial"/>
          <w:sz w:val="18"/>
          <w:szCs w:val="18"/>
          <w:color w:val="auto"/>
        </w:rPr>
        <w:t>knowledge and contacts in the communities in which the Company conducts business and in the Company’s industry or other industries relevant to the Company’s business;</w:t>
      </w:r>
    </w:p>
    <w:p>
      <w:pPr>
        <w:spacing w:after="0" w:line="15" w:lineRule="exact"/>
        <w:rPr>
          <w:rFonts w:ascii="Times New Roman" w:cs="Times New Roman" w:eastAsia="Times New Roman" w:hAnsi="Times New Roman"/>
          <w:sz w:val="18"/>
          <w:szCs w:val="18"/>
          <w:color w:val="001544"/>
        </w:rPr>
      </w:pPr>
    </w:p>
    <w:p>
      <w:pPr>
        <w:ind w:left="300" w:hanging="293"/>
        <w:spacing w:after="0"/>
        <w:tabs>
          <w:tab w:leader="none" w:pos="300" w:val="left"/>
        </w:tabs>
        <w:numPr>
          <w:ilvl w:val="0"/>
          <w:numId w:val="91"/>
        </w:numPr>
        <w:rPr>
          <w:rFonts w:ascii="Times New Roman" w:cs="Times New Roman" w:eastAsia="Times New Roman" w:hAnsi="Times New Roman"/>
          <w:sz w:val="18"/>
          <w:szCs w:val="18"/>
          <w:color w:val="001544"/>
        </w:rPr>
      </w:pPr>
      <w:r>
        <w:rPr>
          <w:rFonts w:ascii="Arial" w:cs="Arial" w:eastAsia="Arial" w:hAnsi="Arial"/>
          <w:sz w:val="18"/>
          <w:szCs w:val="18"/>
          <w:color w:val="auto"/>
        </w:rPr>
        <w:t>ability and willingness to devote sufficient time to serve on the Board and committees of the Board;</w:t>
      </w:r>
    </w:p>
    <w:p>
      <w:pPr>
        <w:spacing w:after="0" w:line="56" w:lineRule="exact"/>
        <w:rPr>
          <w:rFonts w:ascii="Times New Roman" w:cs="Times New Roman" w:eastAsia="Times New Roman" w:hAnsi="Times New Roman"/>
          <w:sz w:val="18"/>
          <w:szCs w:val="18"/>
          <w:color w:val="001544"/>
        </w:rPr>
      </w:pPr>
    </w:p>
    <w:p>
      <w:pPr>
        <w:ind w:left="300" w:right="120" w:hanging="293"/>
        <w:spacing w:after="0" w:line="260" w:lineRule="auto"/>
        <w:tabs>
          <w:tab w:leader="none" w:pos="300" w:val="left"/>
        </w:tabs>
        <w:numPr>
          <w:ilvl w:val="0"/>
          <w:numId w:val="91"/>
        </w:numPr>
        <w:rPr>
          <w:rFonts w:ascii="Times New Roman" w:cs="Times New Roman" w:eastAsia="Times New Roman" w:hAnsi="Times New Roman"/>
          <w:sz w:val="18"/>
          <w:szCs w:val="18"/>
          <w:color w:val="001544"/>
        </w:rPr>
      </w:pPr>
      <w:r>
        <w:rPr>
          <w:rFonts w:ascii="Arial" w:cs="Arial" w:eastAsia="Arial" w:hAnsi="Arial"/>
          <w:sz w:val="18"/>
          <w:szCs w:val="18"/>
          <w:color w:val="auto"/>
        </w:rPr>
        <w:t>knowledge and expertise in various areas deemed appropriate by the Board, including background knowledge of the Company and its history and policies; and</w:t>
      </w:r>
    </w:p>
    <w:p>
      <w:pPr>
        <w:spacing w:after="0" w:line="28" w:lineRule="exact"/>
        <w:rPr>
          <w:rFonts w:ascii="Times New Roman" w:cs="Times New Roman" w:eastAsia="Times New Roman" w:hAnsi="Times New Roman"/>
          <w:sz w:val="18"/>
          <w:szCs w:val="18"/>
          <w:color w:val="001544"/>
        </w:rPr>
      </w:pPr>
    </w:p>
    <w:p>
      <w:pPr>
        <w:ind w:left="300" w:right="620" w:hanging="293"/>
        <w:spacing w:after="0" w:line="260" w:lineRule="auto"/>
        <w:tabs>
          <w:tab w:leader="none" w:pos="300" w:val="left"/>
        </w:tabs>
        <w:numPr>
          <w:ilvl w:val="0"/>
          <w:numId w:val="91"/>
        </w:numPr>
        <w:rPr>
          <w:rFonts w:ascii="Times New Roman" w:cs="Times New Roman" w:eastAsia="Times New Roman" w:hAnsi="Times New Roman"/>
          <w:sz w:val="18"/>
          <w:szCs w:val="18"/>
          <w:color w:val="001544"/>
        </w:rPr>
      </w:pPr>
      <w:r>
        <w:rPr>
          <w:rFonts w:ascii="Arial" w:cs="Arial" w:eastAsia="Arial" w:hAnsi="Arial"/>
          <w:sz w:val="18"/>
          <w:szCs w:val="18"/>
          <w:color w:val="auto"/>
        </w:rPr>
        <w:t>fit of the individual’s skills, experience, and personality with those of other directors in maintaining an effective, collegial, and responsive Board.</w:t>
      </w:r>
    </w:p>
    <w:p>
      <w:pPr>
        <w:spacing w:after="0" w:line="200" w:lineRule="exact"/>
        <w:rPr>
          <w:sz w:val="20"/>
          <w:szCs w:val="20"/>
          <w:color w:val="auto"/>
        </w:rPr>
      </w:pPr>
    </w:p>
    <w:p>
      <w:pPr>
        <w:spacing w:after="0" w:line="35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60090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Nominating and Corporate Governance Committee will seek to identify director candidates based on input provided by a number of sources, including (a) Nominating and Corporate Governance Committee members, (b) other members of the Board of Directors, (c) professional recruiting firms and (d) stockholders of the Company. The Nominating and Corporate Governance Committee also has the sole authority to consult with or retain advisors or search firms as it deems necessary or appropriate in its sole discretion, including any search firm to assist in the identification of qualified director candidates.</w:t>
      </w:r>
    </w:p>
    <w:p>
      <w:pPr>
        <w:spacing w:after="0" w:line="176"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All candidates submitted by stockholders will be evaluated in the same manner as all other director candidates, provided that the advance notice and other requirements set forth in our bylaws have been followed. Pursuant to our bylaws, written notice by stockholders of qualifying nominations for election to our Board at the 2025 Annual Meeting must have been received by November 18, 2024.</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Communications with the Board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Our Board has established a process to receive communications from interested parties, including stockholders.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Interested parties may contact the Chairperson of the Board, at the following address: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“Chairperson” c/o Secretary</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DigitalBridge Group, Inc.</w:t>
      </w:r>
    </w:p>
    <w:p>
      <w:pPr>
        <w:ind w:left="180"/>
        <w:spacing w:after="0" w:line="233" w:lineRule="auto"/>
        <w:rPr>
          <w:sz w:val="20"/>
          <w:szCs w:val="20"/>
          <w:color w:val="auto"/>
        </w:rPr>
      </w:pPr>
      <w:r>
        <w:rPr>
          <w:rFonts w:ascii="Arial" w:cs="Arial" w:eastAsia="Arial" w:hAnsi="Arial"/>
          <w:sz w:val="18"/>
          <w:szCs w:val="18"/>
          <w:color w:val="auto"/>
        </w:rPr>
        <w:t>750 Park of Commerce Drive</w:t>
      </w:r>
    </w:p>
    <w:p>
      <w:pPr>
        <w:ind w:left="180"/>
        <w:spacing w:after="0" w:line="233" w:lineRule="auto"/>
        <w:rPr>
          <w:sz w:val="20"/>
          <w:szCs w:val="20"/>
          <w:color w:val="auto"/>
        </w:rPr>
      </w:pPr>
      <w:r>
        <w:rPr>
          <w:rFonts w:ascii="Arial" w:cs="Arial" w:eastAsia="Arial" w:hAnsi="Arial"/>
          <w:sz w:val="18"/>
          <w:szCs w:val="18"/>
          <w:color w:val="auto"/>
        </w:rPr>
        <w:t>Suite 210</w:t>
      </w:r>
    </w:p>
    <w:p>
      <w:pPr>
        <w:ind w:left="180"/>
        <w:spacing w:after="0"/>
        <w:rPr>
          <w:sz w:val="20"/>
          <w:szCs w:val="20"/>
          <w:color w:val="auto"/>
        </w:rPr>
      </w:pPr>
      <w:r>
        <w:rPr>
          <w:rFonts w:ascii="Arial" w:cs="Arial" w:eastAsia="Arial" w:hAnsi="Arial"/>
          <w:sz w:val="18"/>
          <w:szCs w:val="18"/>
          <w:color w:val="auto"/>
        </w:rPr>
        <w:t>Boca Raton, FL 33487</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or by email at chairperson@digitalbridge.com.</w:t>
      </w:r>
    </w:p>
    <w:p>
      <w:pPr>
        <w:spacing w:after="0" w:line="19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Chairperson of the Board will decide what action should be taken with respect to the communication, including whether such communication should be reported to the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Insider Trading Policy</w:t>
      </w:r>
    </w:p>
    <w:p>
      <w:pPr>
        <w:spacing w:after="0" w:line="21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maintain a Policy on Inside Information and Insider Trading that governs the purchase, sale, and/or other disposition of the Company’s securities by directors, executive officers and employees. The Policy on Inside Information and Insider Trading is reasonably designed to promote compliance with insider trading laws, rules and regulations and NYSE listing standards. A copy of our Policy on Inside Information and Insider Trading was filed as Exhibit 19 to our Annual Report on Form 10-K for the fiscal year ended December 31, 2024.</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Anti-Hedging/Pledging Policy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Our insider trading policy applicable to all employees of the Company, including all of our officers and members of our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Board, among others, strictly prohibits at all times:</w:t>
      </w:r>
    </w:p>
    <w:p>
      <w:pPr>
        <w:spacing w:after="0" w:line="179" w:lineRule="exact"/>
        <w:rPr>
          <w:sz w:val="20"/>
          <w:szCs w:val="20"/>
          <w:color w:val="auto"/>
        </w:rPr>
      </w:pPr>
    </w:p>
    <w:p>
      <w:pPr>
        <w:ind w:left="680" w:hanging="296"/>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trading in call or put options involving the Company’s securities and other derivative securities,</w:t>
      </w:r>
    </w:p>
    <w:p>
      <w:pPr>
        <w:spacing w:after="0" w:line="56" w:lineRule="exact"/>
        <w:rPr>
          <w:rFonts w:ascii="Arial" w:cs="Arial" w:eastAsia="Arial" w:hAnsi="Arial"/>
          <w:sz w:val="18"/>
          <w:szCs w:val="18"/>
          <w:color w:val="auto"/>
        </w:rPr>
      </w:pPr>
    </w:p>
    <w:p>
      <w:pPr>
        <w:ind w:left="680" w:hanging="296"/>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engagement in short sales of the Company’s securities,</w:t>
      </w:r>
    </w:p>
    <w:p>
      <w:pPr>
        <w:spacing w:after="0" w:line="69" w:lineRule="exact"/>
        <w:rPr>
          <w:rFonts w:ascii="Arial" w:cs="Arial" w:eastAsia="Arial" w:hAnsi="Arial"/>
          <w:sz w:val="18"/>
          <w:szCs w:val="18"/>
          <w:color w:val="auto"/>
        </w:rPr>
      </w:pPr>
    </w:p>
    <w:p>
      <w:pPr>
        <w:ind w:left="680" w:hanging="296"/>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holding the Company’s securities in a margin account, and</w:t>
      </w:r>
    </w:p>
    <w:p>
      <w:pPr>
        <w:spacing w:after="0" w:line="56" w:lineRule="exact"/>
        <w:rPr>
          <w:rFonts w:ascii="Arial" w:cs="Arial" w:eastAsia="Arial" w:hAnsi="Arial"/>
          <w:sz w:val="18"/>
          <w:szCs w:val="18"/>
          <w:color w:val="auto"/>
        </w:rPr>
      </w:pPr>
    </w:p>
    <w:p>
      <w:pPr>
        <w:ind w:left="680" w:hanging="296"/>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pledging the Company’s stock to secure margin or other loans, except as otherwise approved by our Board.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20 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5840"/>
        <w:spacing w:after="0"/>
        <w:rPr>
          <w:sz w:val="20"/>
          <w:szCs w:val="20"/>
          <w:color w:val="auto"/>
        </w:rPr>
      </w:pPr>
      <w:r>
        <w:rPr>
          <w:rFonts w:ascii="Arial" w:cs="Arial" w:eastAsia="Arial" w:hAnsi="Arial"/>
          <w:sz w:val="16"/>
          <w:szCs w:val="16"/>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60090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62" w:lineRule="exact"/>
        <w:rPr>
          <w:sz w:val="20"/>
          <w:szCs w:val="20"/>
          <w:color w:val="auto"/>
        </w:rPr>
      </w:pPr>
    </w:p>
    <w:p>
      <w:pPr>
        <w:ind w:right="1340"/>
        <w:spacing w:after="0" w:line="266" w:lineRule="auto"/>
        <w:rPr>
          <w:sz w:val="20"/>
          <w:szCs w:val="20"/>
          <w:color w:val="auto"/>
        </w:rPr>
      </w:pPr>
      <w:r>
        <w:rPr>
          <w:rFonts w:ascii="Arial" w:cs="Arial" w:eastAsia="Arial" w:hAnsi="Arial"/>
          <w:sz w:val="35"/>
          <w:szCs w:val="35"/>
          <w:b w:val="1"/>
          <w:bCs w:val="1"/>
          <w:color w:val="001544"/>
        </w:rPr>
        <w:t>Information about Our Board of Directors and Its Committees</w:t>
      </w:r>
    </w:p>
    <w:p>
      <w:pPr>
        <w:spacing w:after="0" w:line="91" w:lineRule="exact"/>
        <w:rPr>
          <w:sz w:val="20"/>
          <w:szCs w:val="20"/>
          <w:color w:val="auto"/>
        </w:rPr>
      </w:pPr>
    </w:p>
    <w:p>
      <w:pPr>
        <w:jc w:val="both"/>
        <w:ind w:right="200"/>
        <w:spacing w:after="0" w:line="247" w:lineRule="auto"/>
        <w:rPr>
          <w:sz w:val="20"/>
          <w:szCs w:val="20"/>
          <w:color w:val="auto"/>
        </w:rPr>
      </w:pPr>
      <w:r>
        <w:rPr>
          <w:rFonts w:ascii="Arial" w:cs="Arial" w:eastAsia="Arial" w:hAnsi="Arial"/>
          <w:sz w:val="18"/>
          <w:szCs w:val="18"/>
          <w:color w:val="auto"/>
        </w:rPr>
        <w:t>During the year ended December 31, 2024, our Board met on 28 occasions. Each director attended at least 75% of the aggregate number of meetings of our Board and of all committees on which he or she served during his or her period of service.</w:t>
      </w:r>
    </w:p>
    <w:p>
      <w:pPr>
        <w:spacing w:after="0" w:line="165" w:lineRule="exact"/>
        <w:rPr>
          <w:sz w:val="20"/>
          <w:szCs w:val="20"/>
          <w:color w:val="auto"/>
        </w:rPr>
      </w:pPr>
    </w:p>
    <w:p>
      <w:pPr>
        <w:ind w:right="700"/>
        <w:spacing w:after="0" w:line="323" w:lineRule="auto"/>
        <w:rPr>
          <w:sz w:val="20"/>
          <w:szCs w:val="20"/>
          <w:color w:val="auto"/>
        </w:rPr>
      </w:pPr>
      <w:r>
        <w:rPr>
          <w:rFonts w:ascii="Arial" w:cs="Arial" w:eastAsia="Arial" w:hAnsi="Arial"/>
          <w:sz w:val="16"/>
          <w:szCs w:val="16"/>
          <w:color w:val="auto"/>
        </w:rPr>
        <w:t>All directors are expected to attend the annual meeting of stockholders as provided in our Corporate Governance Guidelines. All of the directors on our Board in April 2024 attended the 2024 Annual Meeting of Stockholders.</w:t>
      </w:r>
    </w:p>
    <w:p>
      <w:pPr>
        <w:spacing w:after="0" w:line="108"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Our Board has established an Audit Committee, a Human Capital and Compensation Committee (the “Compensation Committee”) and a Nominating and Corporate Governance Committee. Each of these standing committees has adopted a committee charter, which is available on our website at www.digitalbridge.com under the heading “Shareholders— Corporate Governance” or by writing to:</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Investor Relations</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DigitalBridge Group, Inc.</w:t>
      </w:r>
    </w:p>
    <w:p>
      <w:pPr>
        <w:ind w:left="180"/>
        <w:spacing w:after="0" w:line="233" w:lineRule="auto"/>
        <w:rPr>
          <w:sz w:val="20"/>
          <w:szCs w:val="20"/>
          <w:color w:val="auto"/>
        </w:rPr>
      </w:pPr>
      <w:r>
        <w:rPr>
          <w:rFonts w:ascii="Arial" w:cs="Arial" w:eastAsia="Arial" w:hAnsi="Arial"/>
          <w:sz w:val="18"/>
          <w:szCs w:val="18"/>
          <w:color w:val="auto"/>
        </w:rPr>
        <w:t>750 Park of Commerce Drive</w:t>
      </w:r>
    </w:p>
    <w:p>
      <w:pPr>
        <w:ind w:left="180"/>
        <w:spacing w:after="0" w:line="233" w:lineRule="auto"/>
        <w:rPr>
          <w:sz w:val="20"/>
          <w:szCs w:val="20"/>
          <w:color w:val="auto"/>
        </w:rPr>
      </w:pPr>
      <w:r>
        <w:rPr>
          <w:rFonts w:ascii="Arial" w:cs="Arial" w:eastAsia="Arial" w:hAnsi="Arial"/>
          <w:sz w:val="18"/>
          <w:szCs w:val="18"/>
          <w:color w:val="auto"/>
        </w:rPr>
        <w:t>Suite 210</w:t>
      </w:r>
    </w:p>
    <w:p>
      <w:pPr>
        <w:ind w:left="180"/>
        <w:spacing w:after="0"/>
        <w:rPr>
          <w:sz w:val="20"/>
          <w:szCs w:val="20"/>
          <w:color w:val="auto"/>
        </w:rPr>
      </w:pPr>
      <w:r>
        <w:rPr>
          <w:rFonts w:ascii="Arial" w:cs="Arial" w:eastAsia="Arial" w:hAnsi="Arial"/>
          <w:sz w:val="18"/>
          <w:szCs w:val="18"/>
          <w:color w:val="auto"/>
        </w:rPr>
        <w:t>Boca Raton, FL 33487 to request a copy, without charge.</w:t>
      </w:r>
    </w:p>
    <w:p>
      <w:pPr>
        <w:spacing w:after="0" w:line="179"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Each committee of our Board is composed exclusively of independent directors, as defined by the listing standards of the NYSE. Moreover, the Compensation Committee is composed exclusively of individuals referred to as “non-employee directors” in Rule 16b-3 of the Exchange Act, and “outside directors” in Section 162(m) of the Internal Revenue Code of 1986,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2024 Board Committee Review</w:t>
      </w:r>
    </w:p>
    <w:p>
      <w:pPr>
        <w:spacing w:after="0" w:line="218"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 connection with our Board’s dedication to Board refreshment to support the Company’s transformation, the Nominating and Corporate Governance Committee conducted an extensive evaluation of the skills, qualifications and background of our director nominees for the 2025 Annual Meeting. Following this evaluation, upon the Nominating and Corporate Governance Committee’s recommendation, the Board approved the</w:t>
      </w:r>
    </w:p>
    <w:p>
      <w:pPr>
        <w:spacing w:after="0" w:line="36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60090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9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continuation of the current committee composition and chairpersons. The below chart summarizes our current Board committee memberships.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9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760" w:type="dxa"/>
            <w:vAlign w:val="bottom"/>
          </w:tcPr>
          <w:p>
            <w:pPr>
              <w:jc w:val="center"/>
              <w:ind w:left="116"/>
              <w:spacing w:after="0"/>
              <w:rPr>
                <w:sz w:val="20"/>
                <w:szCs w:val="20"/>
                <w:color w:val="auto"/>
              </w:rPr>
            </w:pPr>
            <w:r>
              <w:rPr>
                <w:rFonts w:ascii="Arial" w:cs="Arial" w:eastAsia="Arial" w:hAnsi="Arial"/>
                <w:sz w:val="17"/>
                <w:szCs w:val="17"/>
                <w:b w:val="1"/>
                <w:bCs w:val="1"/>
                <w:color w:val="001544"/>
                <w:w w:val="97"/>
              </w:rPr>
              <w:t>Human Capital</w:t>
            </w:r>
          </w:p>
        </w:tc>
        <w:tc>
          <w:tcPr>
            <w:tcW w:w="1540" w:type="dxa"/>
            <w:vAlign w:val="bottom"/>
          </w:tcPr>
          <w:p>
            <w:pPr>
              <w:jc w:val="center"/>
              <w:ind w:left="36"/>
              <w:spacing w:after="0"/>
              <w:rPr>
                <w:sz w:val="20"/>
                <w:szCs w:val="20"/>
                <w:color w:val="auto"/>
              </w:rPr>
            </w:pPr>
            <w:r>
              <w:rPr>
                <w:rFonts w:ascii="Arial" w:cs="Arial" w:eastAsia="Arial" w:hAnsi="Arial"/>
                <w:sz w:val="17"/>
                <w:szCs w:val="17"/>
                <w:b w:val="1"/>
                <w:bCs w:val="1"/>
                <w:color w:val="001544"/>
                <w:w w:val="98"/>
              </w:rPr>
              <w:t>Nominating and</w:t>
            </w:r>
          </w:p>
        </w:tc>
      </w:tr>
      <w:tr>
        <w:trPr>
          <w:trHeight w:val="188"/>
        </w:trPr>
        <w:tc>
          <w:tcPr>
            <w:tcW w:w="29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760" w:type="dxa"/>
            <w:vAlign w:val="bottom"/>
          </w:tcPr>
          <w:p>
            <w:pPr>
              <w:jc w:val="center"/>
              <w:ind w:left="96"/>
              <w:spacing w:after="0" w:line="189" w:lineRule="exact"/>
              <w:rPr>
                <w:sz w:val="20"/>
                <w:szCs w:val="20"/>
                <w:color w:val="auto"/>
              </w:rPr>
            </w:pPr>
            <w:r>
              <w:rPr>
                <w:rFonts w:ascii="Arial" w:cs="Arial" w:eastAsia="Arial" w:hAnsi="Arial"/>
                <w:sz w:val="17"/>
                <w:szCs w:val="17"/>
                <w:b w:val="1"/>
                <w:bCs w:val="1"/>
                <w:color w:val="001544"/>
                <w:w w:val="99"/>
              </w:rPr>
              <w:t>and</w:t>
            </w:r>
          </w:p>
        </w:tc>
        <w:tc>
          <w:tcPr>
            <w:tcW w:w="1540" w:type="dxa"/>
            <w:vAlign w:val="bottom"/>
          </w:tcPr>
          <w:p>
            <w:pPr>
              <w:jc w:val="center"/>
              <w:ind w:left="16"/>
              <w:spacing w:after="0" w:line="189" w:lineRule="exact"/>
              <w:rPr>
                <w:sz w:val="20"/>
                <w:szCs w:val="20"/>
                <w:color w:val="auto"/>
              </w:rPr>
            </w:pPr>
            <w:r>
              <w:rPr>
                <w:rFonts w:ascii="Arial" w:cs="Arial" w:eastAsia="Arial" w:hAnsi="Arial"/>
                <w:sz w:val="17"/>
                <w:szCs w:val="17"/>
                <w:b w:val="1"/>
                <w:bCs w:val="1"/>
                <w:color w:val="001544"/>
                <w:w w:val="98"/>
              </w:rPr>
              <w:t>Corporate</w:t>
            </w:r>
          </w:p>
        </w:tc>
      </w:tr>
      <w:tr>
        <w:trPr>
          <w:trHeight w:val="205"/>
        </w:trPr>
        <w:tc>
          <w:tcPr>
            <w:tcW w:w="2940" w:type="dxa"/>
            <w:vAlign w:val="bottom"/>
            <w:tcBorders>
              <w:bottom w:val="single" w:sz="8" w:color="001544"/>
            </w:tcBorders>
          </w:tcPr>
          <w:p>
            <w:pPr>
              <w:ind w:left="80"/>
              <w:spacing w:after="0"/>
              <w:rPr>
                <w:sz w:val="20"/>
                <w:szCs w:val="20"/>
                <w:color w:val="auto"/>
              </w:rPr>
            </w:pPr>
            <w:r>
              <w:rPr>
                <w:rFonts w:ascii="Arial" w:cs="Arial" w:eastAsia="Arial" w:hAnsi="Arial"/>
                <w:sz w:val="17"/>
                <w:szCs w:val="17"/>
                <w:b w:val="1"/>
                <w:bCs w:val="1"/>
                <w:color w:val="001544"/>
              </w:rPr>
              <w:t>Name</w:t>
            </w:r>
          </w:p>
        </w:tc>
        <w:tc>
          <w:tcPr>
            <w:tcW w:w="3220" w:type="dxa"/>
            <w:vAlign w:val="bottom"/>
            <w:tcBorders>
              <w:bottom w:val="single" w:sz="8" w:color="001544"/>
            </w:tcBorders>
          </w:tcPr>
          <w:p>
            <w:pPr>
              <w:ind w:left="2400"/>
              <w:spacing w:after="0"/>
              <w:rPr>
                <w:sz w:val="20"/>
                <w:szCs w:val="20"/>
                <w:color w:val="auto"/>
              </w:rPr>
            </w:pPr>
            <w:r>
              <w:rPr>
                <w:rFonts w:ascii="Arial" w:cs="Arial" w:eastAsia="Arial" w:hAnsi="Arial"/>
                <w:sz w:val="17"/>
                <w:szCs w:val="17"/>
                <w:b w:val="1"/>
                <w:bCs w:val="1"/>
                <w:color w:val="001544"/>
              </w:rPr>
              <w:t>Audit</w:t>
            </w:r>
          </w:p>
        </w:tc>
        <w:tc>
          <w:tcPr>
            <w:tcW w:w="1760" w:type="dxa"/>
            <w:vAlign w:val="bottom"/>
            <w:tcBorders>
              <w:bottom w:val="single" w:sz="8" w:color="001544"/>
            </w:tcBorders>
          </w:tcPr>
          <w:p>
            <w:pPr>
              <w:jc w:val="center"/>
              <w:ind w:left="116"/>
              <w:spacing w:after="0"/>
              <w:rPr>
                <w:sz w:val="20"/>
                <w:szCs w:val="20"/>
                <w:color w:val="auto"/>
              </w:rPr>
            </w:pPr>
            <w:r>
              <w:rPr>
                <w:rFonts w:ascii="Arial" w:cs="Arial" w:eastAsia="Arial" w:hAnsi="Arial"/>
                <w:sz w:val="17"/>
                <w:szCs w:val="17"/>
                <w:b w:val="1"/>
                <w:bCs w:val="1"/>
                <w:color w:val="001544"/>
                <w:w w:val="98"/>
              </w:rPr>
              <w:t>Compensation</w:t>
            </w:r>
          </w:p>
        </w:tc>
        <w:tc>
          <w:tcPr>
            <w:tcW w:w="1540" w:type="dxa"/>
            <w:vAlign w:val="bottom"/>
            <w:tcBorders>
              <w:bottom w:val="single" w:sz="8" w:color="001544"/>
            </w:tcBorders>
          </w:tcPr>
          <w:p>
            <w:pPr>
              <w:jc w:val="center"/>
              <w:ind w:left="16"/>
              <w:spacing w:after="0"/>
              <w:rPr>
                <w:sz w:val="20"/>
                <w:szCs w:val="20"/>
                <w:color w:val="auto"/>
              </w:rPr>
            </w:pPr>
            <w:r>
              <w:rPr>
                <w:rFonts w:ascii="Arial" w:cs="Arial" w:eastAsia="Arial" w:hAnsi="Arial"/>
                <w:sz w:val="17"/>
                <w:szCs w:val="17"/>
                <w:b w:val="1"/>
                <w:bCs w:val="1"/>
                <w:color w:val="001544"/>
                <w:w w:val="97"/>
              </w:rPr>
              <w:t>Governance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-7620</wp:posOffset>
            </wp:positionV>
            <wp:extent cx="6009005" cy="18510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09005" cy="1851025"/>
                    </a:xfrm>
                    <a:prstGeom prst="rect">
                      <a:avLst/>
                    </a:prstGeom>
                    <a:noFill/>
                  </pic:spPr>
                </pic:pic>
              </a:graphicData>
            </a:graphic>
          </wp:anchor>
        </w:drawing>
      </w:r>
    </w:p>
    <w:p>
      <w:pPr>
        <w:spacing w:after="0" w:line="8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James Keith Brown</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Nancy A. Curtin</w:t>
      </w:r>
      <w:r>
        <w:rPr>
          <w:rFonts w:ascii="Arial" w:cs="Arial" w:eastAsia="Arial" w:hAnsi="Arial"/>
          <w:sz w:val="25"/>
          <w:szCs w:val="25"/>
          <w:color w:val="auto"/>
          <w:vertAlign w:val="superscript"/>
        </w:rPr>
        <w:t>(1)</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Jeannie H. Diefenderfer</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Gregory J. McCray</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Sháka Rasheed</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Dale Anne Reiss</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Ian Schapiro</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David M. Tolley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22225</wp:posOffset>
            </wp:positionV>
            <wp:extent cx="60090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 xml:space="preserve">Committee Chair                 </w:t>
      </w:r>
      <w:r>
        <w:rPr>
          <w:sz w:val="1"/>
          <w:szCs w:val="1"/>
          <w:color w:val="auto"/>
        </w:rPr>
        <w:drawing>
          <wp:inline distT="0" distB="0" distL="0" distR="0">
            <wp:extent cx="135890" cy="16764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5890" cy="167640"/>
                    </a:xfrm>
                    <a:prstGeom prst="rect">
                      <a:avLst/>
                    </a:prstGeom>
                    <a:noFill/>
                    <a:ln>
                      <a:noFill/>
                    </a:ln>
                  </pic:spPr>
                </pic:pic>
              </a:graphicData>
            </a:graphic>
          </wp:inline>
        </w:drawing>
      </w:r>
      <w:r>
        <w:rPr>
          <w:rFonts w:ascii="Arial" w:cs="Arial" w:eastAsia="Arial" w:hAnsi="Arial"/>
          <w:sz w:val="15"/>
          <w:szCs w:val="15"/>
          <w:color w:val="auto"/>
        </w:rPr>
        <w:t xml:space="preserve">  Committee Member              </w:t>
      </w:r>
      <w:r>
        <w:rPr>
          <w:sz w:val="1"/>
          <w:szCs w:val="1"/>
          <w:color w:val="auto"/>
        </w:rPr>
        <w:drawing>
          <wp:inline distT="0" distB="0" distL="0" distR="0">
            <wp:extent cx="199390" cy="13589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9390" cy="135890"/>
                    </a:xfrm>
                    <a:prstGeom prst="rect">
                      <a:avLst/>
                    </a:prstGeom>
                    <a:noFill/>
                    <a:ln>
                      <a:noFill/>
                    </a:ln>
                  </pic:spPr>
                </pic:pic>
              </a:graphicData>
            </a:graphic>
          </wp:inline>
        </w:drawing>
      </w:r>
      <w:r>
        <w:rPr>
          <w:rFonts w:ascii="Arial" w:cs="Arial" w:eastAsia="Arial" w:hAnsi="Arial"/>
          <w:sz w:val="15"/>
          <w:szCs w:val="15"/>
          <w:color w:val="auto"/>
        </w:rPr>
        <w:t xml:space="preserve">  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-154940</wp:posOffset>
            </wp:positionV>
            <wp:extent cx="127635" cy="135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635" cy="135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(1)  Ms. Curtin serves as our independent, non-executive Chairperson of our Board.</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Audit Committee</w:t>
      </w:r>
    </w:p>
    <w:p>
      <w:pPr>
        <w:spacing w:after="0" w:line="2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Board has determined that all five members of the Audit Committee are independent and financially literate under the rules of the NYSE and that three of the members, Dale Anne Reiss, Ian Schapiro and David M. Tolley, are “audit committee financial experts,” as that term is defined by the SEC. The Audit Committee is responsible for the oversight of, among other things, our accounting and financial reporting processes, the integrity of our consolidated financial statements and financial reporting process, our systems of disclosure controls and procedures and internal control over financial reporting, the enterprise-wide risk management policies of our operations, our compliance with financial, legal and regulatory requirements and our ethics program, the evaluation of the qualifications, independence and performance of our independent registered public accounting firm, and the performance of our internal audit function. In addition, the Audit Committee has established and maintains procedures for the receipt of complaints and submissions of concerns regarding accounting and auditing matters. The Audit Committee met five times in 2024. The Audit Committee Report is included later within this Proxy Statement.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Nominating and Corporate Governance Committee</w:t>
      </w:r>
    </w:p>
    <w:p>
      <w:pPr>
        <w:spacing w:after="0" w:line="21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Board has determined that all members of the Nominating and Corporate Governance Committee are independent under the rules of the NYSE. The Nominating and Corporate Governance Committee is responsible for, among other things, identifying and recommending to our Board qualified candidates for election as directors and recommending nominees for election as directors at the annual meeting of stockholders. It also implements our board education program and our Corporate Governance Guidelines and reviews our Corporate Governance Guidelines and other corporate policies annually. It reviews and makes recommendations on matters involving the general operation of our Board and our corporate governance and annually recommends to our Board members for each committee of our Board. In addition, the Nominating and Corporate Governance Committee annually facilitates the assessment of our Board’s performance as a whole</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5840"/>
        <w:spacing w:after="0"/>
        <w:rPr>
          <w:sz w:val="20"/>
          <w:szCs w:val="20"/>
          <w:color w:val="auto"/>
        </w:rPr>
      </w:pPr>
      <w:r>
        <w:rPr>
          <w:rFonts w:ascii="Arial" w:cs="Arial" w:eastAsia="Arial" w:hAnsi="Arial"/>
          <w:sz w:val="16"/>
          <w:szCs w:val="16"/>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60090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and of the individual directors and reports thereon to our Board. The Nominating and Corporate Governance Committee met eight times in 2024.</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Human Capital and Compensation Committee</w:t>
      </w:r>
    </w:p>
    <w:p>
      <w:pPr>
        <w:spacing w:after="0" w:line="21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Board has determined that all members of the Compensation Committee are independent under the rules of the NYSE. The Compensation Committee is responsible for, among other things, reviewing and approving on an annual basis corporate goals and objectives relevant to our Chief Executive Officer’s compensation and evaluating our Chief Executive Officer’s performance in light of such goals and objectives, determining compensation for our executive officers, human capital management, implementing and administering our equity compensation plans, preparing and submitting a report on executive compensation for inclusion in our proxy statement and/or annual report and reviewing, evaluating and recommending to the Board, if appropriate, changes to the compensation for directors. In addition, the Compensation Committee also ensures that compensation plans are designed with an appropriate balance of risk and reward in relation to the Company’s overall business strategy and do not encourage excessive or unnecessary risk-taking behavior.</w:t>
      </w:r>
    </w:p>
    <w:p>
      <w:pPr>
        <w:spacing w:after="0" w:line="15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Compensation Committee may delegate its authority to members as it deems appropriate, and any actions taken by such members must be reported to the full Compensation Committee at its next regularly scheduled meeting. The Compensation Committee has the sole authority to retain and terminate such outside legal, accounting or other advisors to the Compensation Committee as it deems necessary and advisable in its sole discretion, including compensation consultants. In selecting such advisors or consultants, the Compensation Committee considers the independence of such advisor or consultant, as determined by it in its business judgment, in accordance with the standards of the NYSE, any applicable rules and regulations of the SEC and other applicable laws relating to independence of advisors and consultants. The Compensation Committee will be directly responsible for the appointment, compensation, and oversight of the work of any compensation consultant or other advisor retained by the Compensation Committee. The Compensation Committee met six times in 2024. The Compensation Committee Report is included later within this Proxy Statement.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Compensation Committee Interlocks and Insider Participation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Compensation Committee interlocks or employee participation on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60090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35"/>
          <w:szCs w:val="35"/>
          <w:b w:val="1"/>
          <w:bCs w:val="1"/>
          <w:color w:val="001544"/>
        </w:rPr>
        <w:t>Director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Determination of Compensation Awards</w:t>
      </w:r>
    </w:p>
    <w:p>
      <w:pPr>
        <w:spacing w:after="0" w:line="218"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The Compensation Committee has responsibility for making recommendations to our Board regarding non-employee director compensation. Our goal is the creation of a reasonable and balanced Board compensation program that aligns the interests of our Board with those of our stockholders. We use a combination of cash and stock-based compensation to attract and retain highly-qualified candidates to serve on our Board. In setting director compensation, we consider:</w:t>
      </w:r>
    </w:p>
    <w:p>
      <w:pPr>
        <w:spacing w:after="0" w:line="141" w:lineRule="exact"/>
        <w:rPr>
          <w:sz w:val="20"/>
          <w:szCs w:val="20"/>
          <w:color w:val="auto"/>
        </w:rPr>
      </w:pPr>
    </w:p>
    <w:p>
      <w:pPr>
        <w:ind w:left="300" w:hanging="293"/>
        <w:spacing w:after="0"/>
        <w:tabs>
          <w:tab w:leader="none" w:pos="300" w:val="left"/>
        </w:tabs>
        <w:numPr>
          <w:ilvl w:val="0"/>
          <w:numId w:val="93"/>
        </w:numPr>
        <w:rPr>
          <w:rFonts w:ascii="Times New Roman" w:cs="Times New Roman" w:eastAsia="Times New Roman" w:hAnsi="Times New Roman"/>
          <w:sz w:val="18"/>
          <w:szCs w:val="18"/>
          <w:color w:val="001544"/>
        </w:rPr>
      </w:pPr>
      <w:r>
        <w:rPr>
          <w:rFonts w:ascii="Arial" w:cs="Arial" w:eastAsia="Arial" w:hAnsi="Arial"/>
          <w:sz w:val="18"/>
          <w:szCs w:val="18"/>
          <w:color w:val="auto"/>
        </w:rPr>
        <w:t>the significant amount of time that directors expend in fulfilling their duties to us,</w:t>
      </w:r>
    </w:p>
    <w:p>
      <w:pPr>
        <w:spacing w:after="0" w:line="68" w:lineRule="exact"/>
        <w:rPr>
          <w:rFonts w:ascii="Times New Roman" w:cs="Times New Roman" w:eastAsia="Times New Roman" w:hAnsi="Times New Roman"/>
          <w:sz w:val="18"/>
          <w:szCs w:val="18"/>
          <w:color w:val="001544"/>
        </w:rPr>
      </w:pPr>
    </w:p>
    <w:p>
      <w:pPr>
        <w:ind w:left="300" w:hanging="293"/>
        <w:spacing w:after="0"/>
        <w:tabs>
          <w:tab w:leader="none" w:pos="300" w:val="left"/>
        </w:tabs>
        <w:numPr>
          <w:ilvl w:val="0"/>
          <w:numId w:val="93"/>
        </w:numPr>
        <w:rPr>
          <w:rFonts w:ascii="Times New Roman" w:cs="Times New Roman" w:eastAsia="Times New Roman" w:hAnsi="Times New Roman"/>
          <w:sz w:val="18"/>
          <w:szCs w:val="18"/>
          <w:color w:val="001544"/>
        </w:rPr>
      </w:pPr>
      <w:r>
        <w:rPr>
          <w:rFonts w:ascii="Arial" w:cs="Arial" w:eastAsia="Arial" w:hAnsi="Arial"/>
          <w:sz w:val="18"/>
          <w:szCs w:val="18"/>
          <w:color w:val="auto"/>
        </w:rPr>
        <w:t>participation on Board committees,</w:t>
      </w:r>
    </w:p>
    <w:p>
      <w:pPr>
        <w:spacing w:after="0" w:line="56" w:lineRule="exact"/>
        <w:rPr>
          <w:rFonts w:ascii="Times New Roman" w:cs="Times New Roman" w:eastAsia="Times New Roman" w:hAnsi="Times New Roman"/>
          <w:sz w:val="18"/>
          <w:szCs w:val="18"/>
          <w:color w:val="001544"/>
        </w:rPr>
      </w:pPr>
    </w:p>
    <w:p>
      <w:pPr>
        <w:ind w:left="300" w:hanging="293"/>
        <w:spacing w:after="0"/>
        <w:tabs>
          <w:tab w:leader="none" w:pos="300" w:val="left"/>
        </w:tabs>
        <w:numPr>
          <w:ilvl w:val="0"/>
          <w:numId w:val="93"/>
        </w:numPr>
        <w:rPr>
          <w:rFonts w:ascii="Times New Roman" w:cs="Times New Roman" w:eastAsia="Times New Roman" w:hAnsi="Times New Roman"/>
          <w:sz w:val="18"/>
          <w:szCs w:val="18"/>
          <w:color w:val="001544"/>
        </w:rPr>
      </w:pPr>
      <w:r>
        <w:rPr>
          <w:rFonts w:ascii="Arial" w:cs="Arial" w:eastAsia="Arial" w:hAnsi="Arial"/>
          <w:sz w:val="18"/>
          <w:szCs w:val="18"/>
          <w:color w:val="auto"/>
        </w:rPr>
        <w:t>the skill-level required by us of members of our Board, and</w:t>
      </w:r>
    </w:p>
    <w:p>
      <w:pPr>
        <w:spacing w:after="0" w:line="56" w:lineRule="exact"/>
        <w:rPr>
          <w:rFonts w:ascii="Times New Roman" w:cs="Times New Roman" w:eastAsia="Times New Roman" w:hAnsi="Times New Roman"/>
          <w:sz w:val="18"/>
          <w:szCs w:val="18"/>
          <w:color w:val="001544"/>
        </w:rPr>
      </w:pPr>
    </w:p>
    <w:p>
      <w:pPr>
        <w:ind w:left="300" w:hanging="293"/>
        <w:spacing w:after="0"/>
        <w:tabs>
          <w:tab w:leader="none" w:pos="300" w:val="left"/>
        </w:tabs>
        <w:numPr>
          <w:ilvl w:val="0"/>
          <w:numId w:val="93"/>
        </w:numPr>
        <w:rPr>
          <w:rFonts w:ascii="Times New Roman" w:cs="Times New Roman" w:eastAsia="Times New Roman" w:hAnsi="Times New Roman"/>
          <w:sz w:val="18"/>
          <w:szCs w:val="18"/>
          <w:color w:val="001544"/>
        </w:rPr>
      </w:pPr>
      <w:r>
        <w:rPr>
          <w:rFonts w:ascii="Arial" w:cs="Arial" w:eastAsia="Arial" w:hAnsi="Arial"/>
          <w:sz w:val="18"/>
          <w:szCs w:val="18"/>
          <w:color w:val="auto"/>
        </w:rPr>
        <w:t>competitive pay practice data.</w:t>
      </w:r>
    </w:p>
    <w:p>
      <w:pPr>
        <w:spacing w:after="0" w:line="194"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In 2024, the Compensation Committee engaged an independent compensation consultant, Pay Governance, to assist in its review of competitive practice data regarding non-employee director compensation and to advise the Compensation Committee in connection with making recommendations to our Board with respect to the amount and form of such compensation. Following the Compensation Committee’s comprehensive review of competitive practice data and in consideration of advice provided by Pay Governance, the Compensation Committee recommended to our Board, and our Board approved, continuing the non-employee director compensation program described below for 2024.</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Non-Employee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During 2024, our non-employee directors’ fees were as follows: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6700" w:type="dxa"/>
            <w:vAlign w:val="bottom"/>
          </w:tcPr>
          <w:p>
            <w:pPr>
              <w:spacing w:after="0"/>
              <w:rPr>
                <w:sz w:val="15"/>
                <w:szCs w:val="15"/>
                <w:color w:val="auto"/>
              </w:rPr>
            </w:pPr>
          </w:p>
        </w:tc>
        <w:tc>
          <w:tcPr>
            <w:tcW w:w="1440" w:type="dxa"/>
            <w:vAlign w:val="bottom"/>
          </w:tcPr>
          <w:p>
            <w:pPr>
              <w:jc w:val="center"/>
              <w:ind w:left="165"/>
              <w:spacing w:after="0"/>
              <w:rPr>
                <w:sz w:val="20"/>
                <w:szCs w:val="20"/>
                <w:color w:val="auto"/>
              </w:rPr>
            </w:pPr>
            <w:r>
              <w:rPr>
                <w:rFonts w:ascii="Arial" w:cs="Arial" w:eastAsia="Arial" w:hAnsi="Arial"/>
                <w:sz w:val="15"/>
                <w:szCs w:val="15"/>
                <w:b w:val="1"/>
                <w:bCs w:val="1"/>
                <w:color w:val="001544"/>
              </w:rPr>
              <w:t>Annual</w:t>
            </w:r>
          </w:p>
        </w:tc>
        <w:tc>
          <w:tcPr>
            <w:tcW w:w="1320" w:type="dxa"/>
            <w:vAlign w:val="bottom"/>
          </w:tcPr>
          <w:p>
            <w:pPr>
              <w:jc w:val="center"/>
              <w:ind w:left="165"/>
              <w:spacing w:after="0"/>
              <w:rPr>
                <w:sz w:val="20"/>
                <w:szCs w:val="20"/>
                <w:color w:val="auto"/>
              </w:rPr>
            </w:pPr>
            <w:r>
              <w:rPr>
                <w:rFonts w:ascii="Arial" w:cs="Arial" w:eastAsia="Arial" w:hAnsi="Arial"/>
                <w:sz w:val="15"/>
                <w:szCs w:val="15"/>
                <w:b w:val="1"/>
                <w:bCs w:val="1"/>
                <w:color w:val="001544"/>
              </w:rPr>
              <w:t>Annual</w:t>
            </w:r>
          </w:p>
        </w:tc>
      </w:tr>
      <w:tr>
        <w:trPr>
          <w:trHeight w:val="176"/>
        </w:trPr>
        <w:tc>
          <w:tcPr>
            <w:tcW w:w="6700" w:type="dxa"/>
            <w:vAlign w:val="bottom"/>
          </w:tcPr>
          <w:p>
            <w:pPr>
              <w:spacing w:after="0"/>
              <w:rPr>
                <w:sz w:val="15"/>
                <w:szCs w:val="15"/>
                <w:color w:val="auto"/>
              </w:rPr>
            </w:pPr>
          </w:p>
        </w:tc>
        <w:tc>
          <w:tcPr>
            <w:tcW w:w="1440" w:type="dxa"/>
            <w:vAlign w:val="bottom"/>
          </w:tcPr>
          <w:p>
            <w:pPr>
              <w:jc w:val="center"/>
              <w:ind w:left="145"/>
              <w:spacing w:after="0"/>
              <w:rPr>
                <w:sz w:val="20"/>
                <w:szCs w:val="20"/>
                <w:color w:val="auto"/>
              </w:rPr>
            </w:pPr>
            <w:r>
              <w:rPr>
                <w:rFonts w:ascii="Arial" w:cs="Arial" w:eastAsia="Arial" w:hAnsi="Arial"/>
                <w:sz w:val="15"/>
                <w:szCs w:val="15"/>
                <w:b w:val="1"/>
                <w:bCs w:val="1"/>
                <w:color w:val="001544"/>
              </w:rPr>
              <w:t>Cash Retainers</w:t>
            </w:r>
          </w:p>
        </w:tc>
        <w:tc>
          <w:tcPr>
            <w:tcW w:w="1320" w:type="dxa"/>
            <w:vAlign w:val="bottom"/>
          </w:tcPr>
          <w:p>
            <w:pPr>
              <w:jc w:val="center"/>
              <w:ind w:left="145"/>
              <w:spacing w:after="0"/>
              <w:rPr>
                <w:sz w:val="20"/>
                <w:szCs w:val="20"/>
                <w:color w:val="auto"/>
              </w:rPr>
            </w:pPr>
            <w:r>
              <w:rPr>
                <w:rFonts w:ascii="Arial" w:cs="Arial" w:eastAsia="Arial" w:hAnsi="Arial"/>
                <w:sz w:val="15"/>
                <w:szCs w:val="15"/>
                <w:b w:val="1"/>
                <w:bCs w:val="1"/>
                <w:color w:val="001544"/>
                <w:w w:val="99"/>
              </w:rPr>
              <w:t>Stock Award</w:t>
            </w:r>
          </w:p>
        </w:tc>
      </w:tr>
      <w:tr>
        <w:trPr>
          <w:trHeight w:val="206"/>
        </w:trPr>
        <w:tc>
          <w:tcPr>
            <w:tcW w:w="6700" w:type="dxa"/>
            <w:vAlign w:val="bottom"/>
          </w:tcPr>
          <w:p>
            <w:pPr>
              <w:ind w:left="100"/>
              <w:spacing w:after="0"/>
              <w:rPr>
                <w:sz w:val="20"/>
                <w:szCs w:val="20"/>
                <w:color w:val="auto"/>
              </w:rPr>
            </w:pPr>
            <w:r>
              <w:rPr>
                <w:rFonts w:ascii="Arial" w:cs="Arial" w:eastAsia="Arial" w:hAnsi="Arial"/>
                <w:sz w:val="15"/>
                <w:szCs w:val="15"/>
                <w:b w:val="1"/>
                <w:bCs w:val="1"/>
                <w:color w:val="001544"/>
              </w:rPr>
              <w:t>Non-Employee Directors’ Fees</w:t>
            </w:r>
          </w:p>
        </w:tc>
        <w:tc>
          <w:tcPr>
            <w:tcW w:w="1440" w:type="dxa"/>
            <w:vAlign w:val="bottom"/>
          </w:tcPr>
          <w:p>
            <w:pPr>
              <w:jc w:val="center"/>
              <w:ind w:left="165"/>
              <w:spacing w:after="0"/>
              <w:rPr>
                <w:sz w:val="20"/>
                <w:szCs w:val="20"/>
                <w:color w:val="auto"/>
              </w:rPr>
            </w:pPr>
            <w:r>
              <w:rPr>
                <w:rFonts w:ascii="Arial" w:cs="Arial" w:eastAsia="Arial" w:hAnsi="Arial"/>
                <w:sz w:val="15"/>
                <w:szCs w:val="15"/>
                <w:b w:val="1"/>
                <w:bCs w:val="1"/>
                <w:color w:val="001544"/>
              </w:rPr>
              <w:t>($)</w:t>
            </w:r>
          </w:p>
        </w:tc>
        <w:tc>
          <w:tcPr>
            <w:tcW w:w="1320" w:type="dxa"/>
            <w:vAlign w:val="bottom"/>
          </w:tcPr>
          <w:p>
            <w:pPr>
              <w:jc w:val="center"/>
              <w:ind w:left="145"/>
              <w:spacing w:after="0"/>
              <w:rPr>
                <w:sz w:val="20"/>
                <w:szCs w:val="20"/>
                <w:color w:val="auto"/>
              </w:rPr>
            </w:pPr>
            <w:r>
              <w:rPr>
                <w:rFonts w:ascii="Arial" w:cs="Arial" w:eastAsia="Arial" w:hAnsi="Arial"/>
                <w:sz w:val="15"/>
                <w:szCs w:val="15"/>
                <w:b w:val="1"/>
                <w:bCs w:val="1"/>
                <w:color w:val="001544"/>
                <w:w w:val="97"/>
              </w:rPr>
              <w:t>($)</w:t>
            </w:r>
          </w:p>
        </w:tc>
      </w:tr>
      <w:tr>
        <w:trPr>
          <w:trHeight w:val="32"/>
        </w:trPr>
        <w:tc>
          <w:tcPr>
            <w:tcW w:w="6700" w:type="dxa"/>
            <w:vAlign w:val="bottom"/>
            <w:tcBorders>
              <w:bottom w:val="single" w:sz="8" w:color="001544"/>
            </w:tcBorders>
          </w:tcPr>
          <w:p>
            <w:pPr>
              <w:spacing w:after="0"/>
              <w:rPr>
                <w:sz w:val="2"/>
                <w:szCs w:val="2"/>
                <w:color w:val="auto"/>
              </w:rPr>
            </w:pPr>
          </w:p>
        </w:tc>
        <w:tc>
          <w:tcPr>
            <w:tcW w:w="1440" w:type="dxa"/>
            <w:vAlign w:val="bottom"/>
            <w:tcBorders>
              <w:bottom w:val="single" w:sz="8" w:color="001544"/>
            </w:tcBorders>
          </w:tcPr>
          <w:p>
            <w:pPr>
              <w:spacing w:after="0"/>
              <w:rPr>
                <w:sz w:val="2"/>
                <w:szCs w:val="2"/>
                <w:color w:val="auto"/>
              </w:rPr>
            </w:pPr>
          </w:p>
        </w:tc>
        <w:tc>
          <w:tcPr>
            <w:tcW w:w="1320" w:type="dxa"/>
            <w:vAlign w:val="bottom"/>
            <w:tcBorders>
              <w:bottom w:val="single" w:sz="8" w:color="001544"/>
            </w:tcBorders>
          </w:tcPr>
          <w:p>
            <w:pPr>
              <w:spacing w:after="0"/>
              <w:rPr>
                <w:sz w:val="2"/>
                <w:szCs w:val="2"/>
                <w:color w:val="auto"/>
              </w:rPr>
            </w:pPr>
          </w:p>
        </w:tc>
      </w:tr>
      <w:tr>
        <w:trPr>
          <w:trHeight w:val="211"/>
        </w:trPr>
        <w:tc>
          <w:tcPr>
            <w:tcW w:w="670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Cash Retainer</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100,000</w:t>
            </w:r>
          </w:p>
        </w:tc>
        <w:tc>
          <w:tcPr>
            <w:tcW w:w="1320" w:type="dxa"/>
            <w:vAlign w:val="bottom"/>
            <w:tcBorders>
              <w:bottom w:val="single" w:sz="8" w:color="001544"/>
            </w:tcBorders>
            <w:shd w:val="clear" w:color="auto" w:fill="DBDFEA"/>
          </w:tcPr>
          <w:p>
            <w:pPr>
              <w:spacing w:after="0"/>
              <w:rPr>
                <w:sz w:val="18"/>
                <w:szCs w:val="18"/>
                <w:color w:val="auto"/>
              </w:rPr>
            </w:pPr>
          </w:p>
        </w:tc>
      </w:tr>
      <w:tr>
        <w:trPr>
          <w:trHeight w:val="226"/>
        </w:trPr>
        <w:tc>
          <w:tcPr>
            <w:tcW w:w="6700" w:type="dxa"/>
            <w:vAlign w:val="bottom"/>
            <w:tcBorders>
              <w:bottom w:val="single" w:sz="8" w:color="001544"/>
            </w:tcBorders>
            <w:shd w:val="clear" w:color="auto" w:fill="DBDFEA"/>
          </w:tcPr>
          <w:p>
            <w:pPr>
              <w:ind w:left="100"/>
              <w:spacing w:after="0" w:line="226" w:lineRule="exact"/>
              <w:rPr>
                <w:sz w:val="20"/>
                <w:szCs w:val="20"/>
                <w:color w:val="auto"/>
              </w:rPr>
            </w:pPr>
            <w:r>
              <w:rPr>
                <w:rFonts w:ascii="Arial" w:cs="Arial" w:eastAsia="Arial" w:hAnsi="Arial"/>
                <w:sz w:val="15"/>
                <w:szCs w:val="15"/>
                <w:color w:val="auto"/>
              </w:rPr>
              <w:t>Additional cash retainer for Chairperson</w:t>
            </w:r>
            <w:r>
              <w:rPr>
                <w:rFonts w:ascii="Arial" w:cs="Arial" w:eastAsia="Arial" w:hAnsi="Arial"/>
                <w:sz w:val="22"/>
                <w:szCs w:val="22"/>
                <w:color w:val="auto"/>
                <w:vertAlign w:val="superscript"/>
              </w:rPr>
              <w:t>(1)</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125,000</w:t>
            </w:r>
          </w:p>
        </w:tc>
        <w:tc>
          <w:tcPr>
            <w:tcW w:w="1320" w:type="dxa"/>
            <w:vAlign w:val="bottom"/>
            <w:tcBorders>
              <w:bottom w:val="single" w:sz="8" w:color="001544"/>
            </w:tcBorders>
            <w:shd w:val="clear" w:color="auto" w:fill="DBDFEA"/>
          </w:tcPr>
          <w:p>
            <w:pPr>
              <w:spacing w:after="0"/>
              <w:rPr>
                <w:sz w:val="19"/>
                <w:szCs w:val="19"/>
                <w:color w:val="auto"/>
              </w:rPr>
            </w:pPr>
          </w:p>
        </w:tc>
      </w:tr>
      <w:tr>
        <w:trPr>
          <w:trHeight w:val="211"/>
        </w:trPr>
        <w:tc>
          <w:tcPr>
            <w:tcW w:w="670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Additional cash retainer for Committee Chairpersons:</w:t>
            </w:r>
          </w:p>
        </w:tc>
        <w:tc>
          <w:tcPr>
            <w:tcW w:w="1440" w:type="dxa"/>
            <w:vAlign w:val="bottom"/>
            <w:tcBorders>
              <w:bottom w:val="single" w:sz="8" w:color="001544"/>
            </w:tcBorders>
            <w:shd w:val="clear" w:color="auto" w:fill="DBDFEA"/>
          </w:tcPr>
          <w:p>
            <w:pPr>
              <w:spacing w:after="0"/>
              <w:rPr>
                <w:sz w:val="18"/>
                <w:szCs w:val="18"/>
                <w:color w:val="auto"/>
              </w:rPr>
            </w:pPr>
          </w:p>
        </w:tc>
        <w:tc>
          <w:tcPr>
            <w:tcW w:w="1320" w:type="dxa"/>
            <w:vAlign w:val="bottom"/>
            <w:tcBorders>
              <w:bottom w:val="single" w:sz="8" w:color="001544"/>
            </w:tcBorders>
            <w:shd w:val="clear" w:color="auto" w:fill="DBDFEA"/>
          </w:tcPr>
          <w:p>
            <w:pPr>
              <w:spacing w:after="0"/>
              <w:rPr>
                <w:sz w:val="18"/>
                <w:szCs w:val="18"/>
                <w:color w:val="auto"/>
              </w:rPr>
            </w:pPr>
          </w:p>
        </w:tc>
      </w:tr>
      <w:tr>
        <w:trPr>
          <w:trHeight w:val="219"/>
        </w:trPr>
        <w:tc>
          <w:tcPr>
            <w:tcW w:w="6700" w:type="dxa"/>
            <w:vAlign w:val="bottom"/>
            <w:tcBorders>
              <w:bottom w:val="single" w:sz="8" w:color="001544"/>
            </w:tcBorders>
            <w:shd w:val="clear" w:color="auto" w:fill="DBDFEA"/>
          </w:tcPr>
          <w:p>
            <w:pPr>
              <w:ind w:left="200"/>
              <w:spacing w:after="0"/>
              <w:rPr>
                <w:sz w:val="20"/>
                <w:szCs w:val="20"/>
                <w:color w:val="auto"/>
              </w:rPr>
            </w:pPr>
            <w:r>
              <w:rPr>
                <w:rFonts w:ascii="Wingdings" w:cs="Wingdings" w:eastAsia="Wingdings" w:hAnsi="Wingdings"/>
                <w:sz w:val="15"/>
                <w:szCs w:val="15"/>
                <w:b w:val="1"/>
                <w:bCs w:val="1"/>
                <w:color w:val="auto"/>
              </w:rPr>
              <w:t xml:space="preserve">n </w:t>
            </w:r>
            <w:r>
              <w:rPr>
                <w:rFonts w:ascii="Arial" w:cs="Arial" w:eastAsia="Arial" w:hAnsi="Arial"/>
                <w:sz w:val="15"/>
                <w:szCs w:val="15"/>
                <w:color w:val="auto"/>
              </w:rPr>
              <w:t>Audit Committee</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25,000</w:t>
            </w:r>
          </w:p>
        </w:tc>
        <w:tc>
          <w:tcPr>
            <w:tcW w:w="1320" w:type="dxa"/>
            <w:vAlign w:val="bottom"/>
            <w:tcBorders>
              <w:bottom w:val="single" w:sz="8" w:color="001544"/>
            </w:tcBorders>
            <w:shd w:val="clear" w:color="auto" w:fill="DBDFEA"/>
          </w:tcPr>
          <w:p>
            <w:pPr>
              <w:spacing w:after="0"/>
              <w:rPr>
                <w:sz w:val="19"/>
                <w:szCs w:val="19"/>
                <w:color w:val="auto"/>
              </w:rPr>
            </w:pPr>
          </w:p>
        </w:tc>
      </w:tr>
      <w:tr>
        <w:trPr>
          <w:trHeight w:val="219"/>
        </w:trPr>
        <w:tc>
          <w:tcPr>
            <w:tcW w:w="6700" w:type="dxa"/>
            <w:vAlign w:val="bottom"/>
            <w:tcBorders>
              <w:bottom w:val="single" w:sz="8" w:color="001544"/>
            </w:tcBorders>
            <w:shd w:val="clear" w:color="auto" w:fill="DBDFEA"/>
          </w:tcPr>
          <w:p>
            <w:pPr>
              <w:ind w:left="200"/>
              <w:spacing w:after="0"/>
              <w:rPr>
                <w:sz w:val="20"/>
                <w:szCs w:val="20"/>
                <w:color w:val="auto"/>
              </w:rPr>
            </w:pPr>
            <w:r>
              <w:rPr>
                <w:rFonts w:ascii="Wingdings" w:cs="Wingdings" w:eastAsia="Wingdings" w:hAnsi="Wingdings"/>
                <w:sz w:val="15"/>
                <w:szCs w:val="15"/>
                <w:b w:val="1"/>
                <w:bCs w:val="1"/>
                <w:color w:val="auto"/>
              </w:rPr>
              <w:t xml:space="preserve">n </w:t>
            </w:r>
            <w:r>
              <w:rPr>
                <w:rFonts w:ascii="Arial" w:cs="Arial" w:eastAsia="Arial" w:hAnsi="Arial"/>
                <w:sz w:val="15"/>
                <w:szCs w:val="15"/>
                <w:color w:val="auto"/>
              </w:rPr>
              <w:t>Compensation Committee</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20,000</w:t>
            </w:r>
          </w:p>
        </w:tc>
        <w:tc>
          <w:tcPr>
            <w:tcW w:w="1320" w:type="dxa"/>
            <w:vAlign w:val="bottom"/>
            <w:tcBorders>
              <w:bottom w:val="single" w:sz="8" w:color="001544"/>
            </w:tcBorders>
            <w:shd w:val="clear" w:color="auto" w:fill="DBDFEA"/>
          </w:tcPr>
          <w:p>
            <w:pPr>
              <w:spacing w:after="0"/>
              <w:rPr>
                <w:sz w:val="19"/>
                <w:szCs w:val="19"/>
                <w:color w:val="auto"/>
              </w:rPr>
            </w:pPr>
          </w:p>
        </w:tc>
      </w:tr>
      <w:tr>
        <w:trPr>
          <w:trHeight w:val="219"/>
        </w:trPr>
        <w:tc>
          <w:tcPr>
            <w:tcW w:w="6700" w:type="dxa"/>
            <w:vAlign w:val="bottom"/>
            <w:tcBorders>
              <w:bottom w:val="single" w:sz="8" w:color="001544"/>
            </w:tcBorders>
            <w:shd w:val="clear" w:color="auto" w:fill="DBDFEA"/>
          </w:tcPr>
          <w:p>
            <w:pPr>
              <w:ind w:left="200"/>
              <w:spacing w:after="0"/>
              <w:rPr>
                <w:sz w:val="20"/>
                <w:szCs w:val="20"/>
                <w:color w:val="auto"/>
              </w:rPr>
            </w:pPr>
            <w:r>
              <w:rPr>
                <w:rFonts w:ascii="Wingdings" w:cs="Wingdings" w:eastAsia="Wingdings" w:hAnsi="Wingdings"/>
                <w:sz w:val="15"/>
                <w:szCs w:val="15"/>
                <w:b w:val="1"/>
                <w:bCs w:val="1"/>
                <w:color w:val="auto"/>
              </w:rPr>
              <w:t xml:space="preserve">n </w:t>
            </w:r>
            <w:r>
              <w:rPr>
                <w:rFonts w:ascii="Arial" w:cs="Arial" w:eastAsia="Arial" w:hAnsi="Arial"/>
                <w:sz w:val="15"/>
                <w:szCs w:val="15"/>
                <w:color w:val="auto"/>
              </w:rPr>
              <w:t>Nominating and Corporate Governance Committee</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20,000</w:t>
            </w:r>
          </w:p>
        </w:tc>
        <w:tc>
          <w:tcPr>
            <w:tcW w:w="1320" w:type="dxa"/>
            <w:vAlign w:val="bottom"/>
            <w:tcBorders>
              <w:bottom w:val="single" w:sz="8" w:color="001544"/>
            </w:tcBorders>
            <w:shd w:val="clear" w:color="auto" w:fill="DBDFEA"/>
          </w:tcPr>
          <w:p>
            <w:pPr>
              <w:spacing w:after="0"/>
              <w:rPr>
                <w:sz w:val="19"/>
                <w:szCs w:val="19"/>
                <w:color w:val="auto"/>
              </w:rPr>
            </w:pPr>
          </w:p>
        </w:tc>
      </w:tr>
      <w:tr>
        <w:trPr>
          <w:trHeight w:val="219"/>
        </w:trPr>
        <w:tc>
          <w:tcPr>
            <w:tcW w:w="670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Additional cash retainer for Committee Members (other than Chairperson):</w:t>
            </w:r>
          </w:p>
        </w:tc>
        <w:tc>
          <w:tcPr>
            <w:tcW w:w="1440" w:type="dxa"/>
            <w:vAlign w:val="bottom"/>
            <w:tcBorders>
              <w:bottom w:val="single" w:sz="8" w:color="001544"/>
            </w:tcBorders>
            <w:shd w:val="clear" w:color="auto" w:fill="DBDFEA"/>
          </w:tcPr>
          <w:p>
            <w:pPr>
              <w:spacing w:after="0"/>
              <w:rPr>
                <w:sz w:val="19"/>
                <w:szCs w:val="19"/>
                <w:color w:val="auto"/>
              </w:rPr>
            </w:pPr>
          </w:p>
        </w:tc>
        <w:tc>
          <w:tcPr>
            <w:tcW w:w="1320" w:type="dxa"/>
            <w:vAlign w:val="bottom"/>
            <w:tcBorders>
              <w:bottom w:val="single" w:sz="8" w:color="001544"/>
            </w:tcBorders>
            <w:shd w:val="clear" w:color="auto" w:fill="DBDFEA"/>
          </w:tcPr>
          <w:p>
            <w:pPr>
              <w:spacing w:after="0"/>
              <w:rPr>
                <w:sz w:val="19"/>
                <w:szCs w:val="19"/>
                <w:color w:val="auto"/>
              </w:rPr>
            </w:pPr>
          </w:p>
        </w:tc>
      </w:tr>
      <w:tr>
        <w:trPr>
          <w:trHeight w:val="219"/>
        </w:trPr>
        <w:tc>
          <w:tcPr>
            <w:tcW w:w="6700" w:type="dxa"/>
            <w:vAlign w:val="bottom"/>
            <w:tcBorders>
              <w:bottom w:val="single" w:sz="8" w:color="001544"/>
            </w:tcBorders>
            <w:shd w:val="clear" w:color="auto" w:fill="DBDFEA"/>
          </w:tcPr>
          <w:p>
            <w:pPr>
              <w:ind w:left="200"/>
              <w:spacing w:after="0"/>
              <w:rPr>
                <w:sz w:val="20"/>
                <w:szCs w:val="20"/>
                <w:color w:val="auto"/>
              </w:rPr>
            </w:pPr>
            <w:r>
              <w:rPr>
                <w:rFonts w:ascii="Wingdings" w:cs="Wingdings" w:eastAsia="Wingdings" w:hAnsi="Wingdings"/>
                <w:sz w:val="15"/>
                <w:szCs w:val="15"/>
                <w:b w:val="1"/>
                <w:bCs w:val="1"/>
                <w:color w:val="auto"/>
              </w:rPr>
              <w:t xml:space="preserve">n </w:t>
            </w:r>
            <w:r>
              <w:rPr>
                <w:rFonts w:ascii="Arial" w:cs="Arial" w:eastAsia="Arial" w:hAnsi="Arial"/>
                <w:sz w:val="15"/>
                <w:szCs w:val="15"/>
                <w:color w:val="auto"/>
              </w:rPr>
              <w:t>Audit Committee</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15,000</w:t>
            </w:r>
          </w:p>
        </w:tc>
        <w:tc>
          <w:tcPr>
            <w:tcW w:w="1320" w:type="dxa"/>
            <w:vAlign w:val="bottom"/>
            <w:tcBorders>
              <w:bottom w:val="single" w:sz="8" w:color="001544"/>
            </w:tcBorders>
            <w:shd w:val="clear" w:color="auto" w:fill="DBDFEA"/>
          </w:tcPr>
          <w:p>
            <w:pPr>
              <w:spacing w:after="0"/>
              <w:rPr>
                <w:sz w:val="19"/>
                <w:szCs w:val="19"/>
                <w:color w:val="auto"/>
              </w:rPr>
            </w:pPr>
          </w:p>
        </w:tc>
      </w:tr>
      <w:tr>
        <w:trPr>
          <w:trHeight w:val="219"/>
        </w:trPr>
        <w:tc>
          <w:tcPr>
            <w:tcW w:w="6700" w:type="dxa"/>
            <w:vAlign w:val="bottom"/>
            <w:tcBorders>
              <w:bottom w:val="single" w:sz="8" w:color="001544"/>
            </w:tcBorders>
            <w:shd w:val="clear" w:color="auto" w:fill="DBDFEA"/>
          </w:tcPr>
          <w:p>
            <w:pPr>
              <w:ind w:left="200"/>
              <w:spacing w:after="0"/>
              <w:rPr>
                <w:sz w:val="20"/>
                <w:szCs w:val="20"/>
                <w:color w:val="auto"/>
              </w:rPr>
            </w:pPr>
            <w:r>
              <w:rPr>
                <w:rFonts w:ascii="Wingdings" w:cs="Wingdings" w:eastAsia="Wingdings" w:hAnsi="Wingdings"/>
                <w:sz w:val="15"/>
                <w:szCs w:val="15"/>
                <w:b w:val="1"/>
                <w:bCs w:val="1"/>
                <w:color w:val="auto"/>
              </w:rPr>
              <w:t xml:space="preserve">n </w:t>
            </w:r>
            <w:r>
              <w:rPr>
                <w:rFonts w:ascii="Arial" w:cs="Arial" w:eastAsia="Arial" w:hAnsi="Arial"/>
                <w:sz w:val="15"/>
                <w:szCs w:val="15"/>
                <w:color w:val="auto"/>
              </w:rPr>
              <w:t>Compensation Committee</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10,000</w:t>
            </w:r>
          </w:p>
        </w:tc>
        <w:tc>
          <w:tcPr>
            <w:tcW w:w="1320" w:type="dxa"/>
            <w:vAlign w:val="bottom"/>
            <w:tcBorders>
              <w:bottom w:val="single" w:sz="8" w:color="001544"/>
            </w:tcBorders>
            <w:shd w:val="clear" w:color="auto" w:fill="DBDFEA"/>
          </w:tcPr>
          <w:p>
            <w:pPr>
              <w:spacing w:after="0"/>
              <w:rPr>
                <w:sz w:val="19"/>
                <w:szCs w:val="19"/>
                <w:color w:val="auto"/>
              </w:rPr>
            </w:pPr>
          </w:p>
        </w:tc>
      </w:tr>
      <w:tr>
        <w:trPr>
          <w:trHeight w:val="219"/>
        </w:trPr>
        <w:tc>
          <w:tcPr>
            <w:tcW w:w="6700" w:type="dxa"/>
            <w:vAlign w:val="bottom"/>
            <w:tcBorders>
              <w:bottom w:val="single" w:sz="8" w:color="001544"/>
            </w:tcBorders>
            <w:shd w:val="clear" w:color="auto" w:fill="DBDFEA"/>
          </w:tcPr>
          <w:p>
            <w:pPr>
              <w:ind w:left="200"/>
              <w:spacing w:after="0"/>
              <w:rPr>
                <w:sz w:val="20"/>
                <w:szCs w:val="20"/>
                <w:color w:val="auto"/>
              </w:rPr>
            </w:pPr>
            <w:r>
              <w:rPr>
                <w:rFonts w:ascii="Wingdings" w:cs="Wingdings" w:eastAsia="Wingdings" w:hAnsi="Wingdings"/>
                <w:sz w:val="15"/>
                <w:szCs w:val="15"/>
                <w:b w:val="1"/>
                <w:bCs w:val="1"/>
                <w:color w:val="auto"/>
              </w:rPr>
              <w:t xml:space="preserve">n </w:t>
            </w:r>
            <w:r>
              <w:rPr>
                <w:rFonts w:ascii="Arial" w:cs="Arial" w:eastAsia="Arial" w:hAnsi="Arial"/>
                <w:sz w:val="15"/>
                <w:szCs w:val="15"/>
                <w:color w:val="auto"/>
              </w:rPr>
              <w:t>Nominating and Corporate Governance Committee</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10,000</w:t>
            </w:r>
          </w:p>
        </w:tc>
        <w:tc>
          <w:tcPr>
            <w:tcW w:w="1320" w:type="dxa"/>
            <w:vAlign w:val="bottom"/>
            <w:tcBorders>
              <w:bottom w:val="single" w:sz="8" w:color="001544"/>
            </w:tcBorders>
            <w:shd w:val="clear" w:color="auto" w:fill="DBDFEA"/>
          </w:tcPr>
          <w:p>
            <w:pPr>
              <w:spacing w:after="0"/>
              <w:rPr>
                <w:sz w:val="19"/>
                <w:szCs w:val="19"/>
                <w:color w:val="auto"/>
              </w:rPr>
            </w:pPr>
          </w:p>
        </w:tc>
      </w:tr>
      <w:tr>
        <w:trPr>
          <w:trHeight w:val="226"/>
        </w:trPr>
        <w:tc>
          <w:tcPr>
            <w:tcW w:w="6700" w:type="dxa"/>
            <w:vAlign w:val="bottom"/>
            <w:tcBorders>
              <w:bottom w:val="single" w:sz="8" w:color="001544"/>
            </w:tcBorders>
            <w:shd w:val="clear" w:color="auto" w:fill="DBDFEA"/>
          </w:tcPr>
          <w:p>
            <w:pPr>
              <w:ind w:left="100"/>
              <w:spacing w:after="0" w:line="226" w:lineRule="exact"/>
              <w:rPr>
                <w:sz w:val="20"/>
                <w:szCs w:val="20"/>
                <w:color w:val="auto"/>
              </w:rPr>
            </w:pPr>
            <w:r>
              <w:rPr>
                <w:rFonts w:ascii="Arial" w:cs="Arial" w:eastAsia="Arial" w:hAnsi="Arial"/>
                <w:sz w:val="15"/>
                <w:szCs w:val="15"/>
                <w:color w:val="auto"/>
              </w:rPr>
              <w:t>Granted promptly following annual re-election, subject to one-year vesting condition</w:t>
            </w:r>
            <w:r>
              <w:rPr>
                <w:rFonts w:ascii="Arial" w:cs="Arial" w:eastAsia="Arial" w:hAnsi="Arial"/>
                <w:sz w:val="22"/>
                <w:szCs w:val="22"/>
                <w:color w:val="auto"/>
                <w:vertAlign w:val="superscript"/>
              </w:rPr>
              <w:t>(2)</w:t>
            </w:r>
          </w:p>
        </w:tc>
        <w:tc>
          <w:tcPr>
            <w:tcW w:w="1440" w:type="dxa"/>
            <w:vAlign w:val="bottom"/>
            <w:tcBorders>
              <w:bottom w:val="single" w:sz="8" w:color="001544"/>
            </w:tcBorders>
            <w:shd w:val="clear" w:color="auto" w:fill="DBDFEA"/>
          </w:tcPr>
          <w:p>
            <w:pPr>
              <w:spacing w:after="0"/>
              <w:rPr>
                <w:sz w:val="19"/>
                <w:szCs w:val="19"/>
                <w:color w:val="auto"/>
              </w:rPr>
            </w:pPr>
          </w:p>
        </w:tc>
        <w:tc>
          <w:tcPr>
            <w:tcW w:w="13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175,000</w:t>
            </w:r>
          </w:p>
        </w:tc>
      </w:tr>
    </w:tbl>
    <w:p>
      <w:pPr>
        <w:spacing w:after="0" w:line="63" w:lineRule="exact"/>
        <w:rPr>
          <w:sz w:val="20"/>
          <w:szCs w:val="20"/>
          <w:color w:val="auto"/>
        </w:rPr>
      </w:pPr>
    </w:p>
    <w:p>
      <w:pPr>
        <w:ind w:left="300" w:right="440" w:hanging="293"/>
        <w:spacing w:after="0" w:line="262" w:lineRule="auto"/>
        <w:tabs>
          <w:tab w:leader="none" w:pos="3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Chairperson attends regularly scheduled committee meetings without any additional compensation for such participation at the committee meetings for which he or she is not a member, except for any per meeting fees pursuant to the policy set forth in the paragraph below.</w:t>
      </w:r>
    </w:p>
    <w:p>
      <w:pPr>
        <w:spacing w:after="0" w:line="38" w:lineRule="exact"/>
        <w:rPr>
          <w:rFonts w:ascii="Arial" w:cs="Arial" w:eastAsia="Arial" w:hAnsi="Arial"/>
          <w:sz w:val="15"/>
          <w:szCs w:val="15"/>
          <w:color w:val="auto"/>
        </w:rPr>
      </w:pPr>
    </w:p>
    <w:p>
      <w:pPr>
        <w:ind w:left="300" w:right="80" w:hanging="293"/>
        <w:spacing w:after="0" w:line="256" w:lineRule="auto"/>
        <w:tabs>
          <w:tab w:leader="none" w:pos="3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To be granted two business days following such director’s re-election to the Board in the form of restricted shares of Class A common stock, which will vest in full on the one-year anniversary of the date of grant, subject to the director’s continued service on the Board. In addition, promptly following initial appointment or election to our Board, a pro rata portion (based on the period from such director’s initial appointment to the first anniversary of the Company’s most recent annual stockholder</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5840"/>
        <w:spacing w:after="0"/>
        <w:rPr>
          <w:sz w:val="20"/>
          <w:szCs w:val="20"/>
          <w:color w:val="auto"/>
        </w:rPr>
      </w:pPr>
      <w:r>
        <w:rPr>
          <w:rFonts w:ascii="Arial" w:cs="Arial" w:eastAsia="Arial" w:hAnsi="Arial"/>
          <w:sz w:val="16"/>
          <w:szCs w:val="16"/>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60090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3" w:lineRule="exact"/>
        <w:rPr>
          <w:sz w:val="20"/>
          <w:szCs w:val="20"/>
          <w:color w:val="auto"/>
        </w:rPr>
      </w:pPr>
    </w:p>
    <w:p>
      <w:pPr>
        <w:ind w:left="300" w:right="720"/>
        <w:spacing w:after="0" w:line="280" w:lineRule="auto"/>
        <w:rPr>
          <w:sz w:val="20"/>
          <w:szCs w:val="20"/>
          <w:color w:val="auto"/>
        </w:rPr>
      </w:pPr>
      <w:r>
        <w:rPr>
          <w:rFonts w:ascii="Arial" w:cs="Arial" w:eastAsia="Arial" w:hAnsi="Arial"/>
          <w:sz w:val="15"/>
          <w:szCs w:val="15"/>
          <w:color w:val="auto"/>
        </w:rPr>
        <w:t>meeting) of the Annual Stock Award is granted, subject to vesting on the first anniversary of the Company’s most recent annual stockholder meeting.</w:t>
      </w:r>
    </w:p>
    <w:p>
      <w:pPr>
        <w:spacing w:after="0" w:line="15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annual retainers are paid quarterly in arrears in cash. In addition, the Board has a per meeting fee of $2,500 for any Board meeting(s) (including meetings of the independent directors of the Board) attended once the number of Board meetings exceeds 8 for the fiscal year and $1,500 for any Audit Committee, Compensation Committee or Nominating and Corporate Governance Committee meeting(s) attended once the number of meetings of such committee exceeds 8 for the fiscal year. The additional meeting fees are payable quarterly following the end of the quarter in which such meeting(s) were held. The Company also reimburses each of the directors (or pays for) their travel expenses incurred in connection with their attendance at Board and committee meetings.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Non-Executive Director Deferred Compensation Program</w:t>
      </w:r>
    </w:p>
    <w:p>
      <w:pPr>
        <w:spacing w:after="0" w:line="21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non-executive directors have the right to elect to receive all or a portion of their annual retainers and any additional annual retainers in the form of deferred stock units in lieu of cash or restricted stock, which units would be issued as of the applicable payment date and valued based on the closing price of the Company’s shares of Class A common stock on the business day prior to such applicable payment date. Deferred stock units are payable in shares of the Company’s Class A common stock either upon the director’s departure from the Board or in annual installments over three years following departure. All deferred stock units are entitled to receive dividend equivalent payments, which are reinvested into additional deferred stock units. Any such additional deferred stock units will be subject to the same restrictions and conditions, including any vesting conditions, as the deferred stock units with respect to which they were credited.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Director Compensation for 2024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concerning the compensation of our non-employee directors for 2024:</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4400" w:type="dxa"/>
            <w:vAlign w:val="bottom"/>
          </w:tcPr>
          <w:p>
            <w:pPr>
              <w:spacing w:after="0"/>
              <w:rPr>
                <w:sz w:val="15"/>
                <w:szCs w:val="15"/>
                <w:color w:val="auto"/>
              </w:rPr>
            </w:pPr>
          </w:p>
        </w:tc>
        <w:tc>
          <w:tcPr>
            <w:tcW w:w="1420" w:type="dxa"/>
            <w:vAlign w:val="bottom"/>
          </w:tcPr>
          <w:p>
            <w:pPr>
              <w:jc w:val="center"/>
              <w:ind w:left="165"/>
              <w:spacing w:after="0"/>
              <w:rPr>
                <w:sz w:val="20"/>
                <w:szCs w:val="20"/>
                <w:color w:val="auto"/>
              </w:rPr>
            </w:pPr>
            <w:r>
              <w:rPr>
                <w:rFonts w:ascii="Arial" w:cs="Arial" w:eastAsia="Arial" w:hAnsi="Arial"/>
                <w:sz w:val="15"/>
                <w:szCs w:val="15"/>
                <w:b w:val="1"/>
                <w:bCs w:val="1"/>
                <w:color w:val="001544"/>
              </w:rPr>
              <w:t>Fees Earned or</w:t>
            </w: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b w:val="1"/>
                <w:bCs w:val="1"/>
                <w:color w:val="001544"/>
                <w:w w:val="99"/>
              </w:rPr>
              <w:t>Stock Awards</w:t>
            </w:r>
            <w:r>
              <w:rPr>
                <w:rFonts w:ascii="Arial" w:cs="Arial" w:eastAsia="Arial" w:hAnsi="Arial"/>
                <w:sz w:val="22"/>
                <w:szCs w:val="22"/>
                <w:b w:val="1"/>
                <w:bCs w:val="1"/>
                <w:color w:val="001544"/>
                <w:w w:val="99"/>
                <w:vertAlign w:val="superscript"/>
              </w:rPr>
              <w:t>(1)</w:t>
            </w:r>
          </w:p>
        </w:tc>
        <w:tc>
          <w:tcPr>
            <w:tcW w:w="1500" w:type="dxa"/>
            <w:vAlign w:val="bottom"/>
          </w:tcPr>
          <w:p>
            <w:pPr>
              <w:jc w:val="right"/>
              <w:ind w:right="365"/>
              <w:spacing w:after="0"/>
              <w:rPr>
                <w:sz w:val="20"/>
                <w:szCs w:val="20"/>
                <w:color w:val="auto"/>
              </w:rPr>
            </w:pPr>
            <w:r>
              <w:rPr>
                <w:rFonts w:ascii="Arial" w:cs="Arial" w:eastAsia="Arial" w:hAnsi="Arial"/>
                <w:sz w:val="15"/>
                <w:szCs w:val="15"/>
                <w:b w:val="1"/>
                <w:bCs w:val="1"/>
                <w:color w:val="001544"/>
              </w:rPr>
              <w:t>All Other</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1420" w:type="dxa"/>
            <w:vAlign w:val="bottom"/>
          </w:tcPr>
          <w:p>
            <w:pPr>
              <w:jc w:val="center"/>
              <w:ind w:left="165"/>
              <w:spacing w:after="0"/>
              <w:rPr>
                <w:sz w:val="20"/>
                <w:szCs w:val="20"/>
                <w:color w:val="auto"/>
              </w:rPr>
            </w:pPr>
            <w:r>
              <w:rPr>
                <w:rFonts w:ascii="Arial" w:cs="Arial" w:eastAsia="Arial" w:hAnsi="Arial"/>
                <w:sz w:val="15"/>
                <w:szCs w:val="15"/>
                <w:b w:val="1"/>
                <w:bCs w:val="1"/>
                <w:color w:val="001544"/>
                <w:w w:val="99"/>
              </w:rPr>
              <w:t>Paid in Cash</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500" w:type="dxa"/>
            <w:vAlign w:val="bottom"/>
          </w:tcPr>
          <w:p>
            <w:pPr>
              <w:jc w:val="right"/>
              <w:ind w:right="165"/>
              <w:spacing w:after="0"/>
              <w:rPr>
                <w:sz w:val="20"/>
                <w:szCs w:val="20"/>
                <w:color w:val="auto"/>
              </w:rPr>
            </w:pPr>
            <w:r>
              <w:rPr>
                <w:rFonts w:ascii="Arial" w:cs="Arial" w:eastAsia="Arial" w:hAnsi="Arial"/>
                <w:sz w:val="15"/>
                <w:szCs w:val="15"/>
                <w:b w:val="1"/>
                <w:bCs w:val="1"/>
                <w:color w:val="001544"/>
              </w:rPr>
              <w:t>Compensation</w:t>
            </w:r>
          </w:p>
        </w:tc>
        <w:tc>
          <w:tcPr>
            <w:tcW w:w="720" w:type="dxa"/>
            <w:vAlign w:val="bottom"/>
          </w:tcPr>
          <w:p>
            <w:pPr>
              <w:jc w:val="right"/>
              <w:ind w:right="105"/>
              <w:spacing w:after="0"/>
              <w:rPr>
                <w:sz w:val="20"/>
                <w:szCs w:val="20"/>
                <w:color w:val="auto"/>
              </w:rPr>
            </w:pPr>
            <w:r>
              <w:rPr>
                <w:rFonts w:ascii="Arial" w:cs="Arial" w:eastAsia="Arial" w:hAnsi="Arial"/>
                <w:sz w:val="15"/>
                <w:szCs w:val="15"/>
                <w:b w:val="1"/>
                <w:bCs w:val="1"/>
                <w:color w:val="001544"/>
              </w:rPr>
              <w:t>Total</w:t>
            </w:r>
          </w:p>
        </w:tc>
        <w:tc>
          <w:tcPr>
            <w:tcW w:w="0" w:type="dxa"/>
            <w:vAlign w:val="bottom"/>
          </w:tcPr>
          <w:p>
            <w:pPr>
              <w:spacing w:after="0"/>
              <w:rPr>
                <w:sz w:val="1"/>
                <w:szCs w:val="1"/>
                <w:color w:val="auto"/>
              </w:rPr>
            </w:pPr>
          </w:p>
        </w:tc>
      </w:tr>
      <w:tr>
        <w:trPr>
          <w:trHeight w:val="206"/>
        </w:trPr>
        <w:tc>
          <w:tcPr>
            <w:tcW w:w="4400" w:type="dxa"/>
            <w:vAlign w:val="bottom"/>
          </w:tcPr>
          <w:p>
            <w:pPr>
              <w:ind w:left="100"/>
              <w:spacing w:after="0"/>
              <w:rPr>
                <w:sz w:val="20"/>
                <w:szCs w:val="20"/>
                <w:color w:val="auto"/>
              </w:rPr>
            </w:pPr>
            <w:r>
              <w:rPr>
                <w:rFonts w:ascii="Arial" w:cs="Arial" w:eastAsia="Arial" w:hAnsi="Arial"/>
                <w:sz w:val="15"/>
                <w:szCs w:val="15"/>
                <w:b w:val="1"/>
                <w:bCs w:val="1"/>
                <w:color w:val="001544"/>
              </w:rPr>
              <w:t>Name</w:t>
            </w:r>
          </w:p>
        </w:tc>
        <w:tc>
          <w:tcPr>
            <w:tcW w:w="1420" w:type="dxa"/>
            <w:vAlign w:val="bottom"/>
          </w:tcPr>
          <w:p>
            <w:pPr>
              <w:jc w:val="center"/>
              <w:ind w:left="165"/>
              <w:spacing w:after="0"/>
              <w:rPr>
                <w:sz w:val="20"/>
                <w:szCs w:val="20"/>
                <w:color w:val="auto"/>
              </w:rPr>
            </w:pPr>
            <w:r>
              <w:rPr>
                <w:rFonts w:ascii="Arial" w:cs="Arial" w:eastAsia="Arial" w:hAnsi="Arial"/>
                <w:sz w:val="15"/>
                <w:szCs w:val="15"/>
                <w:b w:val="1"/>
                <w:bCs w:val="1"/>
                <w:color w:val="001544"/>
                <w:w w:val="97"/>
              </w:rPr>
              <w:t>($)</w:t>
            </w:r>
          </w:p>
        </w:tc>
        <w:tc>
          <w:tcPr>
            <w:tcW w:w="1420" w:type="dxa"/>
            <w:vAlign w:val="bottom"/>
            <w:gridSpan w:val="2"/>
          </w:tcPr>
          <w:p>
            <w:pPr>
              <w:jc w:val="right"/>
              <w:ind w:right="465"/>
              <w:spacing w:after="0"/>
              <w:rPr>
                <w:sz w:val="20"/>
                <w:szCs w:val="20"/>
                <w:color w:val="auto"/>
              </w:rPr>
            </w:pPr>
            <w:r>
              <w:rPr>
                <w:rFonts w:ascii="Arial" w:cs="Arial" w:eastAsia="Arial" w:hAnsi="Arial"/>
                <w:sz w:val="15"/>
                <w:szCs w:val="15"/>
                <w:b w:val="1"/>
                <w:bCs w:val="1"/>
                <w:color w:val="001544"/>
              </w:rPr>
              <w:t>($)</w:t>
            </w:r>
          </w:p>
        </w:tc>
        <w:tc>
          <w:tcPr>
            <w:tcW w:w="1500" w:type="dxa"/>
            <w:vAlign w:val="bottom"/>
          </w:tcPr>
          <w:p>
            <w:pPr>
              <w:jc w:val="right"/>
              <w:ind w:right="585"/>
              <w:spacing w:after="0"/>
              <w:rPr>
                <w:sz w:val="20"/>
                <w:szCs w:val="20"/>
                <w:color w:val="auto"/>
              </w:rPr>
            </w:pPr>
            <w:r>
              <w:rPr>
                <w:rFonts w:ascii="Arial" w:cs="Arial" w:eastAsia="Arial" w:hAnsi="Arial"/>
                <w:sz w:val="15"/>
                <w:szCs w:val="15"/>
                <w:b w:val="1"/>
                <w:bCs w:val="1"/>
                <w:color w:val="001544"/>
              </w:rPr>
              <w:t>($)</w:t>
            </w:r>
          </w:p>
        </w:tc>
        <w:tc>
          <w:tcPr>
            <w:tcW w:w="720" w:type="dxa"/>
            <w:vAlign w:val="bottom"/>
          </w:tcPr>
          <w:p>
            <w:pPr>
              <w:jc w:val="right"/>
              <w:ind w:right="205"/>
              <w:spacing w:after="0"/>
              <w:rPr>
                <w:sz w:val="20"/>
                <w:szCs w:val="20"/>
                <w:color w:val="auto"/>
              </w:rPr>
            </w:pPr>
            <w:r>
              <w:rPr>
                <w:rFonts w:ascii="Arial" w:cs="Arial" w:eastAsia="Arial" w:hAnsi="Arial"/>
                <w:sz w:val="15"/>
                <w:szCs w:val="15"/>
                <w:b w:val="1"/>
                <w:bCs w:val="1"/>
                <w:color w:val="001544"/>
              </w:rPr>
              <w:t>($)</w:t>
            </w:r>
          </w:p>
        </w:tc>
        <w:tc>
          <w:tcPr>
            <w:tcW w:w="0" w:type="dxa"/>
            <w:vAlign w:val="bottom"/>
          </w:tcPr>
          <w:p>
            <w:pPr>
              <w:spacing w:after="0"/>
              <w:rPr>
                <w:sz w:val="1"/>
                <w:szCs w:val="1"/>
                <w:color w:val="auto"/>
              </w:rPr>
            </w:pPr>
          </w:p>
        </w:tc>
      </w:tr>
      <w:tr>
        <w:trPr>
          <w:trHeight w:val="32"/>
        </w:trPr>
        <w:tc>
          <w:tcPr>
            <w:tcW w:w="4400" w:type="dxa"/>
            <w:vAlign w:val="bottom"/>
            <w:tcBorders>
              <w:bottom w:val="single" w:sz="8" w:color="001544"/>
            </w:tcBorders>
          </w:tcPr>
          <w:p>
            <w:pPr>
              <w:spacing w:after="0"/>
              <w:rPr>
                <w:sz w:val="2"/>
                <w:szCs w:val="2"/>
                <w:color w:val="auto"/>
              </w:rPr>
            </w:pPr>
          </w:p>
        </w:tc>
        <w:tc>
          <w:tcPr>
            <w:tcW w:w="1420" w:type="dxa"/>
            <w:vAlign w:val="bottom"/>
            <w:tcBorders>
              <w:bottom w:val="single" w:sz="8" w:color="001544"/>
            </w:tcBorders>
          </w:tcPr>
          <w:p>
            <w:pPr>
              <w:spacing w:after="0"/>
              <w:rPr>
                <w:sz w:val="2"/>
                <w:szCs w:val="2"/>
                <w:color w:val="auto"/>
              </w:rPr>
            </w:pPr>
          </w:p>
        </w:tc>
        <w:tc>
          <w:tcPr>
            <w:tcW w:w="180" w:type="dxa"/>
            <w:vAlign w:val="bottom"/>
            <w:tcBorders>
              <w:bottom w:val="single" w:sz="8" w:color="001544"/>
            </w:tcBorders>
          </w:tcPr>
          <w:p>
            <w:pPr>
              <w:spacing w:after="0"/>
              <w:rPr>
                <w:sz w:val="2"/>
                <w:szCs w:val="2"/>
                <w:color w:val="auto"/>
              </w:rPr>
            </w:pPr>
          </w:p>
        </w:tc>
        <w:tc>
          <w:tcPr>
            <w:tcW w:w="1240" w:type="dxa"/>
            <w:vAlign w:val="bottom"/>
            <w:tcBorders>
              <w:bottom w:val="single" w:sz="8" w:color="001544"/>
            </w:tcBorders>
          </w:tcPr>
          <w:p>
            <w:pPr>
              <w:spacing w:after="0"/>
              <w:rPr>
                <w:sz w:val="2"/>
                <w:szCs w:val="2"/>
                <w:color w:val="auto"/>
              </w:rPr>
            </w:pPr>
          </w:p>
        </w:tc>
        <w:tc>
          <w:tcPr>
            <w:tcW w:w="1500" w:type="dxa"/>
            <w:vAlign w:val="bottom"/>
            <w:tcBorders>
              <w:bottom w:val="single" w:sz="8" w:color="001544"/>
            </w:tcBorders>
          </w:tcPr>
          <w:p>
            <w:pPr>
              <w:spacing w:after="0"/>
              <w:rPr>
                <w:sz w:val="2"/>
                <w:szCs w:val="2"/>
                <w:color w:val="auto"/>
              </w:rPr>
            </w:pPr>
          </w:p>
        </w:tc>
        <w:tc>
          <w:tcPr>
            <w:tcW w:w="720" w:type="dxa"/>
            <w:vAlign w:val="bottom"/>
            <w:tcBorders>
              <w:bottom w:val="single" w:sz="8" w:color="001544"/>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40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James Keith Brown</w:t>
            </w: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145,000</w:t>
            </w:r>
          </w:p>
        </w:tc>
        <w:tc>
          <w:tcPr>
            <w:tcW w:w="142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5"/>
                <w:szCs w:val="15"/>
                <w:color w:val="auto"/>
              </w:rPr>
              <w:t>175,000</w:t>
            </w:r>
          </w:p>
        </w:tc>
        <w:tc>
          <w:tcPr>
            <w:tcW w:w="1500" w:type="dxa"/>
            <w:vAlign w:val="bottom"/>
            <w:tcBorders>
              <w:bottom w:val="single" w:sz="8" w:color="001544"/>
            </w:tcBorders>
            <w:shd w:val="clear" w:color="auto" w:fill="DBDFEA"/>
          </w:tcPr>
          <w:p>
            <w:pPr>
              <w:jc w:val="right"/>
              <w:ind w:right="145"/>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320,000</w:t>
            </w:r>
          </w:p>
        </w:tc>
        <w:tc>
          <w:tcPr>
            <w:tcW w:w="0" w:type="dxa"/>
            <w:vAlign w:val="bottom"/>
          </w:tcPr>
          <w:p>
            <w:pPr>
              <w:spacing w:after="0"/>
              <w:rPr>
                <w:sz w:val="1"/>
                <w:szCs w:val="1"/>
                <w:color w:val="auto"/>
              </w:rPr>
            </w:pPr>
          </w:p>
        </w:tc>
      </w:tr>
      <w:tr>
        <w:trPr>
          <w:trHeight w:val="219"/>
        </w:trPr>
        <w:tc>
          <w:tcPr>
            <w:tcW w:w="440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Nancy A. Curtin</w:t>
            </w: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248,000</w:t>
            </w:r>
          </w:p>
        </w:tc>
        <w:tc>
          <w:tcPr>
            <w:tcW w:w="142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5"/>
                <w:szCs w:val="15"/>
                <w:color w:val="auto"/>
              </w:rPr>
              <w:t>175,000</w:t>
            </w:r>
          </w:p>
        </w:tc>
        <w:tc>
          <w:tcPr>
            <w:tcW w:w="1500" w:type="dxa"/>
            <w:vAlign w:val="bottom"/>
            <w:tcBorders>
              <w:bottom w:val="single" w:sz="8" w:color="001544"/>
            </w:tcBorders>
            <w:shd w:val="clear" w:color="auto" w:fill="DBDFEA"/>
          </w:tcPr>
          <w:p>
            <w:pPr>
              <w:jc w:val="right"/>
              <w:ind w:right="145"/>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423,000</w:t>
            </w:r>
          </w:p>
        </w:tc>
        <w:tc>
          <w:tcPr>
            <w:tcW w:w="0" w:type="dxa"/>
            <w:vAlign w:val="bottom"/>
          </w:tcPr>
          <w:p>
            <w:pPr>
              <w:spacing w:after="0"/>
              <w:rPr>
                <w:sz w:val="1"/>
                <w:szCs w:val="1"/>
                <w:color w:val="auto"/>
              </w:rPr>
            </w:pPr>
          </w:p>
        </w:tc>
      </w:tr>
      <w:tr>
        <w:trPr>
          <w:trHeight w:val="219"/>
        </w:trPr>
        <w:tc>
          <w:tcPr>
            <w:tcW w:w="440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Jeannie Diefenderfer</w:t>
            </w: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137,500</w:t>
            </w:r>
          </w:p>
        </w:tc>
        <w:tc>
          <w:tcPr>
            <w:tcW w:w="142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5"/>
                <w:szCs w:val="15"/>
                <w:color w:val="auto"/>
              </w:rPr>
              <w:t>175,000</w:t>
            </w:r>
          </w:p>
        </w:tc>
        <w:tc>
          <w:tcPr>
            <w:tcW w:w="1500" w:type="dxa"/>
            <w:vAlign w:val="bottom"/>
            <w:tcBorders>
              <w:bottom w:val="single" w:sz="8" w:color="001544"/>
            </w:tcBorders>
            <w:shd w:val="clear" w:color="auto" w:fill="DBDFEA"/>
          </w:tcPr>
          <w:p>
            <w:pPr>
              <w:jc w:val="right"/>
              <w:ind w:right="145"/>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312,500</w:t>
            </w:r>
          </w:p>
        </w:tc>
        <w:tc>
          <w:tcPr>
            <w:tcW w:w="0" w:type="dxa"/>
            <w:vAlign w:val="bottom"/>
          </w:tcPr>
          <w:p>
            <w:pPr>
              <w:spacing w:after="0"/>
              <w:rPr>
                <w:sz w:val="1"/>
                <w:szCs w:val="1"/>
                <w:color w:val="auto"/>
              </w:rPr>
            </w:pPr>
          </w:p>
        </w:tc>
      </w:tr>
      <w:tr>
        <w:trPr>
          <w:trHeight w:val="226"/>
        </w:trPr>
        <w:tc>
          <w:tcPr>
            <w:tcW w:w="4400" w:type="dxa"/>
            <w:vAlign w:val="bottom"/>
            <w:tcBorders>
              <w:bottom w:val="single" w:sz="8" w:color="001544"/>
            </w:tcBorders>
            <w:shd w:val="clear" w:color="auto" w:fill="DBDFEA"/>
          </w:tcPr>
          <w:p>
            <w:pPr>
              <w:ind w:left="100"/>
              <w:spacing w:after="0" w:line="226" w:lineRule="exact"/>
              <w:rPr>
                <w:sz w:val="20"/>
                <w:szCs w:val="20"/>
                <w:color w:val="auto"/>
              </w:rPr>
            </w:pPr>
            <w:r>
              <w:rPr>
                <w:rFonts w:ascii="Arial" w:cs="Arial" w:eastAsia="Arial" w:hAnsi="Arial"/>
                <w:sz w:val="15"/>
                <w:szCs w:val="15"/>
                <w:color w:val="auto"/>
              </w:rPr>
              <w:t>Jon A. Fosheim</w:t>
            </w:r>
            <w:r>
              <w:rPr>
                <w:rFonts w:ascii="Arial" w:cs="Arial" w:eastAsia="Arial" w:hAnsi="Arial"/>
                <w:sz w:val="22"/>
                <w:szCs w:val="22"/>
                <w:color w:val="auto"/>
                <w:vertAlign w:val="superscript"/>
              </w:rPr>
              <w:t>(2)</w:t>
            </w: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65,217</w:t>
            </w:r>
          </w:p>
        </w:tc>
        <w:tc>
          <w:tcPr>
            <w:tcW w:w="180" w:type="dxa"/>
            <w:vAlign w:val="bottom"/>
            <w:tcBorders>
              <w:bottom w:val="single" w:sz="8" w:color="001544"/>
            </w:tcBorders>
            <w:shd w:val="clear" w:color="auto" w:fill="DBDFEA"/>
          </w:tcPr>
          <w:p>
            <w:pPr>
              <w:spacing w:after="0"/>
              <w:rPr>
                <w:sz w:val="19"/>
                <w:szCs w:val="19"/>
                <w:color w:val="auto"/>
              </w:rPr>
            </w:pPr>
          </w:p>
        </w:tc>
        <w:tc>
          <w:tcPr>
            <w:tcW w:w="12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175,000</w:t>
            </w:r>
          </w:p>
        </w:tc>
        <w:tc>
          <w:tcPr>
            <w:tcW w:w="1500" w:type="dxa"/>
            <w:vAlign w:val="bottom"/>
            <w:tcBorders>
              <w:bottom w:val="single" w:sz="8" w:color="001544"/>
            </w:tcBorders>
            <w:shd w:val="clear" w:color="auto" w:fill="DBDFEA"/>
          </w:tcPr>
          <w:p>
            <w:pPr>
              <w:jc w:val="right"/>
              <w:ind w:right="145"/>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240,217</w:t>
            </w:r>
          </w:p>
        </w:tc>
        <w:tc>
          <w:tcPr>
            <w:tcW w:w="0" w:type="dxa"/>
            <w:vAlign w:val="bottom"/>
          </w:tcPr>
          <w:p>
            <w:pPr>
              <w:spacing w:after="0"/>
              <w:rPr>
                <w:sz w:val="1"/>
                <w:szCs w:val="1"/>
                <w:color w:val="auto"/>
              </w:rPr>
            </w:pPr>
          </w:p>
        </w:tc>
      </w:tr>
      <w:tr>
        <w:trPr>
          <w:trHeight w:val="211"/>
        </w:trPr>
        <w:tc>
          <w:tcPr>
            <w:tcW w:w="440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Gregory J. McCray</w:t>
            </w: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175,000</w:t>
            </w:r>
          </w:p>
        </w:tc>
        <w:tc>
          <w:tcPr>
            <w:tcW w:w="180" w:type="dxa"/>
            <w:vAlign w:val="bottom"/>
            <w:tcBorders>
              <w:bottom w:val="single" w:sz="8" w:color="001544"/>
            </w:tcBorders>
            <w:shd w:val="clear" w:color="auto" w:fill="DBDFEA"/>
          </w:tcPr>
          <w:p>
            <w:pPr>
              <w:spacing w:after="0"/>
              <w:rPr>
                <w:sz w:val="18"/>
                <w:szCs w:val="18"/>
                <w:color w:val="auto"/>
              </w:rPr>
            </w:pPr>
          </w:p>
        </w:tc>
        <w:tc>
          <w:tcPr>
            <w:tcW w:w="12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175,000</w:t>
            </w:r>
          </w:p>
        </w:tc>
        <w:tc>
          <w:tcPr>
            <w:tcW w:w="1500" w:type="dxa"/>
            <w:vAlign w:val="bottom"/>
            <w:tcBorders>
              <w:bottom w:val="single" w:sz="8" w:color="001544"/>
            </w:tcBorders>
            <w:shd w:val="clear" w:color="auto" w:fill="DBDFEA"/>
          </w:tcPr>
          <w:p>
            <w:pPr>
              <w:jc w:val="right"/>
              <w:ind w:right="145"/>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350,000</w:t>
            </w:r>
          </w:p>
        </w:tc>
        <w:tc>
          <w:tcPr>
            <w:tcW w:w="0" w:type="dxa"/>
            <w:vAlign w:val="bottom"/>
          </w:tcPr>
          <w:p>
            <w:pPr>
              <w:spacing w:after="0"/>
              <w:rPr>
                <w:sz w:val="1"/>
                <w:szCs w:val="1"/>
                <w:color w:val="auto"/>
              </w:rPr>
            </w:pPr>
          </w:p>
        </w:tc>
      </w:tr>
      <w:tr>
        <w:trPr>
          <w:trHeight w:val="219"/>
        </w:trPr>
        <w:tc>
          <w:tcPr>
            <w:tcW w:w="440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Sháka Rasheed</w:t>
            </w: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148,000</w:t>
            </w:r>
          </w:p>
        </w:tc>
        <w:tc>
          <w:tcPr>
            <w:tcW w:w="180" w:type="dxa"/>
            <w:vAlign w:val="bottom"/>
            <w:tcBorders>
              <w:bottom w:val="single" w:sz="8" w:color="001544"/>
            </w:tcBorders>
            <w:shd w:val="clear" w:color="auto" w:fill="DBDFEA"/>
          </w:tcPr>
          <w:p>
            <w:pPr>
              <w:spacing w:after="0"/>
              <w:rPr>
                <w:sz w:val="19"/>
                <w:szCs w:val="19"/>
                <w:color w:val="auto"/>
              </w:rPr>
            </w:pPr>
          </w:p>
        </w:tc>
        <w:tc>
          <w:tcPr>
            <w:tcW w:w="12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175,000</w:t>
            </w:r>
          </w:p>
        </w:tc>
        <w:tc>
          <w:tcPr>
            <w:tcW w:w="1500" w:type="dxa"/>
            <w:vAlign w:val="bottom"/>
            <w:tcBorders>
              <w:bottom w:val="single" w:sz="8" w:color="001544"/>
            </w:tcBorders>
            <w:shd w:val="clear" w:color="auto" w:fill="DBDFEA"/>
          </w:tcPr>
          <w:p>
            <w:pPr>
              <w:jc w:val="right"/>
              <w:ind w:right="145"/>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323,000</w:t>
            </w:r>
          </w:p>
        </w:tc>
        <w:tc>
          <w:tcPr>
            <w:tcW w:w="0" w:type="dxa"/>
            <w:vAlign w:val="bottom"/>
          </w:tcPr>
          <w:p>
            <w:pPr>
              <w:spacing w:after="0"/>
              <w:rPr>
                <w:sz w:val="1"/>
                <w:szCs w:val="1"/>
                <w:color w:val="auto"/>
              </w:rPr>
            </w:pPr>
          </w:p>
        </w:tc>
      </w:tr>
      <w:tr>
        <w:trPr>
          <w:trHeight w:val="219"/>
        </w:trPr>
        <w:tc>
          <w:tcPr>
            <w:tcW w:w="440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Dale Anne Reiss</w:t>
            </w: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153,000</w:t>
            </w:r>
          </w:p>
        </w:tc>
        <w:tc>
          <w:tcPr>
            <w:tcW w:w="180" w:type="dxa"/>
            <w:vAlign w:val="bottom"/>
            <w:tcBorders>
              <w:bottom w:val="single" w:sz="8" w:color="001544"/>
            </w:tcBorders>
            <w:shd w:val="clear" w:color="auto" w:fill="DBDFEA"/>
          </w:tcPr>
          <w:p>
            <w:pPr>
              <w:spacing w:after="0"/>
              <w:rPr>
                <w:sz w:val="19"/>
                <w:szCs w:val="19"/>
                <w:color w:val="auto"/>
              </w:rPr>
            </w:pPr>
          </w:p>
        </w:tc>
        <w:tc>
          <w:tcPr>
            <w:tcW w:w="12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175,000</w:t>
            </w:r>
          </w:p>
        </w:tc>
        <w:tc>
          <w:tcPr>
            <w:tcW w:w="1500" w:type="dxa"/>
            <w:vAlign w:val="bottom"/>
            <w:tcBorders>
              <w:bottom w:val="single" w:sz="8" w:color="001544"/>
            </w:tcBorders>
            <w:shd w:val="clear" w:color="auto" w:fill="DBDFEA"/>
          </w:tcPr>
          <w:p>
            <w:pPr>
              <w:jc w:val="right"/>
              <w:ind w:right="145"/>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328,000</w:t>
            </w:r>
          </w:p>
        </w:tc>
        <w:tc>
          <w:tcPr>
            <w:tcW w:w="0" w:type="dxa"/>
            <w:vAlign w:val="bottom"/>
          </w:tcPr>
          <w:p>
            <w:pPr>
              <w:spacing w:after="0"/>
              <w:rPr>
                <w:sz w:val="1"/>
                <w:szCs w:val="1"/>
                <w:color w:val="auto"/>
              </w:rPr>
            </w:pPr>
          </w:p>
        </w:tc>
      </w:tr>
      <w:tr>
        <w:trPr>
          <w:trHeight w:val="226"/>
        </w:trPr>
        <w:tc>
          <w:tcPr>
            <w:tcW w:w="4400" w:type="dxa"/>
            <w:vAlign w:val="bottom"/>
            <w:tcBorders>
              <w:bottom w:val="single" w:sz="8" w:color="001544"/>
            </w:tcBorders>
            <w:shd w:val="clear" w:color="auto" w:fill="DBDFEA"/>
          </w:tcPr>
          <w:p>
            <w:pPr>
              <w:ind w:left="100"/>
              <w:spacing w:after="0" w:line="226" w:lineRule="exact"/>
              <w:rPr>
                <w:sz w:val="20"/>
                <w:szCs w:val="20"/>
                <w:color w:val="auto"/>
              </w:rPr>
            </w:pPr>
            <w:r>
              <w:rPr>
                <w:rFonts w:ascii="Arial" w:cs="Arial" w:eastAsia="Arial" w:hAnsi="Arial"/>
                <w:sz w:val="15"/>
                <w:szCs w:val="15"/>
                <w:color w:val="auto"/>
              </w:rPr>
              <w:t>Ian Schapiro</w:t>
            </w:r>
            <w:r>
              <w:rPr>
                <w:rFonts w:ascii="Arial" w:cs="Arial" w:eastAsia="Arial" w:hAnsi="Arial"/>
                <w:sz w:val="22"/>
                <w:szCs w:val="22"/>
                <w:color w:val="auto"/>
                <w:vertAlign w:val="superscript"/>
              </w:rPr>
              <w:t>(3)</w:t>
            </w: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79,442</w:t>
            </w:r>
          </w:p>
        </w:tc>
        <w:tc>
          <w:tcPr>
            <w:tcW w:w="180" w:type="dxa"/>
            <w:vAlign w:val="bottom"/>
            <w:tcBorders>
              <w:bottom w:val="single" w:sz="8" w:color="001544"/>
            </w:tcBorders>
            <w:shd w:val="clear" w:color="auto" w:fill="DBDFEA"/>
          </w:tcPr>
          <w:p>
            <w:pPr>
              <w:spacing w:after="0"/>
              <w:rPr>
                <w:sz w:val="19"/>
                <w:szCs w:val="19"/>
                <w:color w:val="auto"/>
              </w:rPr>
            </w:pPr>
          </w:p>
        </w:tc>
        <w:tc>
          <w:tcPr>
            <w:tcW w:w="12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140,968</w:t>
            </w:r>
          </w:p>
        </w:tc>
        <w:tc>
          <w:tcPr>
            <w:tcW w:w="1500" w:type="dxa"/>
            <w:vAlign w:val="bottom"/>
            <w:tcBorders>
              <w:bottom w:val="single" w:sz="8" w:color="001544"/>
            </w:tcBorders>
            <w:shd w:val="clear" w:color="auto" w:fill="DBDFEA"/>
          </w:tcPr>
          <w:p>
            <w:pPr>
              <w:spacing w:after="0"/>
              <w:rPr>
                <w:sz w:val="19"/>
                <w:szCs w:val="19"/>
                <w:color w:val="auto"/>
              </w:rPr>
            </w:pPr>
          </w:p>
        </w:tc>
        <w:tc>
          <w:tcPr>
            <w:tcW w:w="72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220,410</w:t>
            </w:r>
          </w:p>
        </w:tc>
        <w:tc>
          <w:tcPr>
            <w:tcW w:w="0" w:type="dxa"/>
            <w:vAlign w:val="bottom"/>
          </w:tcPr>
          <w:p>
            <w:pPr>
              <w:spacing w:after="0"/>
              <w:rPr>
                <w:sz w:val="1"/>
                <w:szCs w:val="1"/>
                <w:color w:val="auto"/>
              </w:rPr>
            </w:pPr>
          </w:p>
        </w:tc>
      </w:tr>
      <w:tr>
        <w:trPr>
          <w:trHeight w:val="211"/>
        </w:trPr>
        <w:tc>
          <w:tcPr>
            <w:tcW w:w="440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David M. Tolley</w:t>
            </w: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140,000</w:t>
            </w:r>
          </w:p>
        </w:tc>
        <w:tc>
          <w:tcPr>
            <w:tcW w:w="180" w:type="dxa"/>
            <w:vAlign w:val="bottom"/>
            <w:tcBorders>
              <w:bottom w:val="single" w:sz="8" w:color="001544"/>
            </w:tcBorders>
            <w:shd w:val="clear" w:color="auto" w:fill="DBDFEA"/>
          </w:tcPr>
          <w:p>
            <w:pPr>
              <w:spacing w:after="0"/>
              <w:rPr>
                <w:sz w:val="18"/>
                <w:szCs w:val="18"/>
                <w:color w:val="auto"/>
              </w:rPr>
            </w:pPr>
          </w:p>
        </w:tc>
        <w:tc>
          <w:tcPr>
            <w:tcW w:w="12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175,000</w:t>
            </w:r>
          </w:p>
        </w:tc>
        <w:tc>
          <w:tcPr>
            <w:tcW w:w="1500" w:type="dxa"/>
            <w:vAlign w:val="bottom"/>
            <w:tcBorders>
              <w:bottom w:val="single" w:sz="8" w:color="001544"/>
            </w:tcBorders>
            <w:shd w:val="clear" w:color="auto" w:fill="DBDFEA"/>
          </w:tcPr>
          <w:p>
            <w:pPr>
              <w:jc w:val="right"/>
              <w:ind w:right="145"/>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315,000</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00" w:right="60" w:hanging="293"/>
        <w:spacing w:after="0" w:line="249" w:lineRule="auto"/>
        <w:tabs>
          <w:tab w:leader="none" w:pos="300" w:val="left"/>
        </w:tabs>
        <w:numPr>
          <w:ilvl w:val="0"/>
          <w:numId w:val="95"/>
        </w:numPr>
        <w:rPr>
          <w:rFonts w:ascii="Arial" w:cs="Arial" w:eastAsia="Arial" w:hAnsi="Arial"/>
          <w:sz w:val="15"/>
          <w:szCs w:val="15"/>
          <w:color w:val="auto"/>
        </w:rPr>
      </w:pPr>
      <w:r>
        <w:rPr>
          <w:rFonts w:ascii="Arial" w:cs="Arial" w:eastAsia="Arial" w:hAnsi="Arial"/>
          <w:sz w:val="15"/>
          <w:szCs w:val="15"/>
          <w:color w:val="auto"/>
        </w:rPr>
        <w:t>Represents the grant date fair value, computed in accordance with FASB ASC Topic 718, of the shares of common stock and/or deferred stock units granted to each of our non-employee directors (except for Mr. Schapiro, who was appointed as a member of our Board on July 10, 2024) on April 30, 2024, which was for the annual grant in connection with each director’s election or re-election to the Board on April 26, 2024. As of December 31, 2024, except for (i) 10,258 unvested shares held by each of Mses. Diefenderfer and Reiss and Messrs. McCray and Tolley, (ii) 10,283 unvested deferred stock units held by each of Ms. Curtin and Messrs. Brown and Rasheed and (iii) 10,520 unvested shares held by Mr. Schapiro, none of our directors held any unexercised option awards or unvested stock awards that had been granted as director compensation. Each of the stock awards in 2024 was issued in the form of deferred stock units, except that 100% of the stock awards granted to each of Mses. Diefenderfer and Reiss and Messrs. McCray, Schapiro and Tolley were in restricted shares of the Company’s Class A common stock.</w:t>
      </w:r>
    </w:p>
    <w:p>
      <w:pPr>
        <w:spacing w:after="0" w:line="35" w:lineRule="exact"/>
        <w:rPr>
          <w:rFonts w:ascii="Arial" w:cs="Arial" w:eastAsia="Arial" w:hAnsi="Arial"/>
          <w:sz w:val="15"/>
          <w:szCs w:val="15"/>
          <w:color w:val="auto"/>
        </w:rPr>
      </w:pPr>
    </w:p>
    <w:p>
      <w:pPr>
        <w:ind w:left="300" w:hanging="293"/>
        <w:spacing w:after="0"/>
        <w:tabs>
          <w:tab w:leader="none" w:pos="300" w:val="left"/>
        </w:tabs>
        <w:numPr>
          <w:ilvl w:val="0"/>
          <w:numId w:val="95"/>
        </w:numPr>
        <w:rPr>
          <w:rFonts w:ascii="Arial" w:cs="Arial" w:eastAsia="Arial" w:hAnsi="Arial"/>
          <w:sz w:val="15"/>
          <w:szCs w:val="15"/>
          <w:color w:val="auto"/>
        </w:rPr>
      </w:pPr>
      <w:r>
        <w:rPr>
          <w:rFonts w:ascii="Arial" w:cs="Arial" w:eastAsia="Arial" w:hAnsi="Arial"/>
          <w:sz w:val="15"/>
          <w:szCs w:val="15"/>
          <w:color w:val="auto"/>
        </w:rPr>
        <w:t>Mr. Fosheim ceased to serve on the Board effective July 8, 2024.</w:t>
      </w:r>
    </w:p>
    <w:p>
      <w:pPr>
        <w:spacing w:after="0" w:line="200" w:lineRule="exact"/>
        <w:rPr>
          <w:sz w:val="20"/>
          <w:szCs w:val="20"/>
          <w:color w:val="auto"/>
        </w:rPr>
      </w:pPr>
    </w:p>
    <w:p>
      <w:pPr>
        <w:spacing w:after="0" w:line="27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60090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(3)  Mr. Schapiro was appointed to our Board on July 10, 2024.</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Director Stock Ownership Guidelines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Our Board adopted the following minimum stock ownership guidelines for non-executive members of our Board: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700" w:type="dxa"/>
            <w:vAlign w:val="bottom"/>
            <w:tcBorders>
              <w:bottom w:val="single" w:sz="8" w:color="001544"/>
            </w:tcBorders>
          </w:tcPr>
          <w:p>
            <w:pPr>
              <w:ind w:left="80"/>
              <w:spacing w:after="0"/>
              <w:rPr>
                <w:sz w:val="20"/>
                <w:szCs w:val="20"/>
                <w:color w:val="auto"/>
              </w:rPr>
            </w:pPr>
            <w:r>
              <w:rPr>
                <w:rFonts w:ascii="Arial" w:cs="Arial" w:eastAsia="Arial" w:hAnsi="Arial"/>
                <w:sz w:val="16"/>
                <w:szCs w:val="16"/>
                <w:b w:val="1"/>
                <w:bCs w:val="1"/>
                <w:color w:val="001544"/>
              </w:rPr>
              <w:t>Title</w:t>
            </w:r>
          </w:p>
        </w:tc>
        <w:tc>
          <w:tcPr>
            <w:tcW w:w="1800" w:type="dxa"/>
            <w:vAlign w:val="bottom"/>
            <w:tcBorders>
              <w:bottom w:val="single" w:sz="8" w:color="001544"/>
            </w:tcBorders>
          </w:tcPr>
          <w:p>
            <w:pPr>
              <w:ind w:left="880"/>
              <w:spacing w:after="0"/>
              <w:rPr>
                <w:sz w:val="20"/>
                <w:szCs w:val="20"/>
                <w:color w:val="auto"/>
              </w:rPr>
            </w:pPr>
            <w:r>
              <w:rPr>
                <w:rFonts w:ascii="Arial" w:cs="Arial" w:eastAsia="Arial" w:hAnsi="Arial"/>
                <w:sz w:val="16"/>
                <w:szCs w:val="16"/>
                <w:b w:val="1"/>
                <w:bCs w:val="1"/>
                <w:color w:val="001544"/>
              </w:rPr>
              <w:t>Guideline</w:t>
            </w:r>
          </w:p>
        </w:tc>
        <w:tc>
          <w:tcPr>
            <w:tcW w:w="4960" w:type="dxa"/>
            <w:vAlign w:val="bottom"/>
            <w:tcBorders>
              <w:bottom w:val="single" w:sz="8" w:color="001544"/>
            </w:tcBorders>
          </w:tcPr>
          <w:p>
            <w:pPr>
              <w:spacing w:after="0"/>
              <w:rPr>
                <w:sz w:val="19"/>
                <w:szCs w:val="19"/>
                <w:color w:val="auto"/>
              </w:rPr>
            </w:pPr>
          </w:p>
        </w:tc>
      </w:tr>
      <w:tr>
        <w:trPr>
          <w:trHeight w:val="269"/>
        </w:trPr>
        <w:tc>
          <w:tcPr>
            <w:tcW w:w="270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6"/>
                <w:szCs w:val="16"/>
                <w:color w:val="auto"/>
              </w:rPr>
              <w:t>Non-Executive Directors</w:t>
            </w:r>
          </w:p>
        </w:tc>
        <w:tc>
          <w:tcPr>
            <w:tcW w:w="1800" w:type="dxa"/>
            <w:vAlign w:val="bottom"/>
            <w:tcBorders>
              <w:bottom w:val="single" w:sz="8" w:color="DBDFEA"/>
            </w:tcBorders>
            <w:shd w:val="clear" w:color="auto" w:fill="DBDFEA"/>
          </w:tcPr>
          <w:p>
            <w:pPr>
              <w:ind w:left="880"/>
              <w:spacing w:after="0"/>
              <w:rPr>
                <w:sz w:val="20"/>
                <w:szCs w:val="20"/>
                <w:color w:val="auto"/>
              </w:rPr>
            </w:pPr>
            <w:r>
              <w:rPr>
                <w:rFonts w:ascii="Times New Roman" w:cs="Times New Roman" w:eastAsia="Times New Roman" w:hAnsi="Times New Roman"/>
                <w:sz w:val="16"/>
                <w:szCs w:val="16"/>
                <w:color w:val="008861"/>
              </w:rPr>
              <w:t>● ● ● ●</w:t>
            </w:r>
          </w:p>
        </w:tc>
        <w:tc>
          <w:tcPr>
            <w:tcW w:w="4960" w:type="dxa"/>
            <w:vAlign w:val="bottom"/>
            <w:tcBorders>
              <w:bottom w:val="single" w:sz="8" w:color="DBDFEA"/>
            </w:tcBorders>
            <w:shd w:val="clear" w:color="auto" w:fill="DBDFEA"/>
          </w:tcPr>
          <w:p>
            <w:pPr>
              <w:ind w:left="200"/>
              <w:spacing w:after="0"/>
              <w:rPr>
                <w:sz w:val="20"/>
                <w:szCs w:val="20"/>
                <w:color w:val="auto"/>
              </w:rPr>
            </w:pPr>
            <w:r>
              <w:rPr>
                <w:rFonts w:ascii="Arial" w:cs="Arial" w:eastAsia="Arial" w:hAnsi="Arial"/>
                <w:sz w:val="16"/>
                <w:szCs w:val="16"/>
                <w:color w:val="auto"/>
              </w:rPr>
              <w:t xml:space="preserve">A multiple of </w:t>
            </w:r>
            <w:r>
              <w:rPr>
                <w:rFonts w:ascii="Arial" w:cs="Arial" w:eastAsia="Arial" w:hAnsi="Arial"/>
                <w:sz w:val="16"/>
                <w:szCs w:val="16"/>
                <w:b w:val="1"/>
                <w:bCs w:val="1"/>
                <w:color w:val="001544"/>
              </w:rPr>
              <w:t>4x</w:t>
            </w:r>
            <w:r>
              <w:rPr>
                <w:rFonts w:ascii="Arial" w:cs="Arial" w:eastAsia="Arial" w:hAnsi="Arial"/>
                <w:sz w:val="16"/>
                <w:szCs w:val="16"/>
                <w:color w:val="auto"/>
              </w:rPr>
              <w:t xml:space="preserve"> annual director cash base retainer</w:t>
            </w:r>
          </w:p>
        </w:tc>
      </w:tr>
      <w:tr>
        <w:trPr>
          <w:trHeight w:val="20"/>
        </w:trPr>
        <w:tc>
          <w:tcPr>
            <w:tcW w:w="2700" w:type="dxa"/>
            <w:vAlign w:val="bottom"/>
            <w:shd w:val="clear" w:color="auto" w:fill="001544"/>
          </w:tcPr>
          <w:p>
            <w:pPr>
              <w:spacing w:after="0" w:line="20" w:lineRule="exact"/>
              <w:rPr>
                <w:sz w:val="1"/>
                <w:szCs w:val="1"/>
                <w:color w:val="auto"/>
              </w:rPr>
            </w:pPr>
          </w:p>
        </w:tc>
        <w:tc>
          <w:tcPr>
            <w:tcW w:w="1800" w:type="dxa"/>
            <w:vAlign w:val="bottom"/>
            <w:shd w:val="clear" w:color="auto" w:fill="001544"/>
          </w:tcPr>
          <w:p>
            <w:pPr>
              <w:spacing w:after="0" w:line="20" w:lineRule="exact"/>
              <w:rPr>
                <w:sz w:val="1"/>
                <w:szCs w:val="1"/>
                <w:color w:val="auto"/>
              </w:rPr>
            </w:pPr>
          </w:p>
        </w:tc>
        <w:tc>
          <w:tcPr>
            <w:tcW w:w="4960" w:type="dxa"/>
            <w:vAlign w:val="bottom"/>
            <w:shd w:val="clear" w:color="auto" w:fill="001544"/>
          </w:tcPr>
          <w:p>
            <w:pPr>
              <w:spacing w:after="0" w:line="20" w:lineRule="exact"/>
              <w:rPr>
                <w:sz w:val="1"/>
                <w:szCs w:val="1"/>
                <w:color w:val="auto"/>
              </w:rPr>
            </w:pPr>
          </w:p>
        </w:tc>
      </w:tr>
    </w:tbl>
    <w:p>
      <w:pPr>
        <w:spacing w:after="0" w:line="17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Pursuant to the Non-Executive Independent Director Compensation Policy, each non-executive director is required to maintain ownership of shares of Class A common stock of the Company (which may include deferred stock units) with a value no less than four-times (4x) the annual cash base fee for his or her services. In connection with the foregoing share ownership requirement, each non-executive director shall have until the end of the five-year period commencing upon such director’s initial election to the Board to comply with the minimum share ownership requirement in order to stand for re-election. Each director is currently in compliance with these ownership requirements or is within the five-year transition period.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B1B4B6"/>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60090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40"/>
          <w:szCs w:val="40"/>
          <w:color w:val="auto"/>
        </w:rPr>
        <w:t>EXECUTIVE</w:t>
      </w:r>
    </w:p>
    <w:p>
      <w:pPr>
        <w:spacing w:after="0" w:line="50"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202565</wp:posOffset>
            </wp:positionV>
            <wp:extent cx="478790" cy="641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8790" cy="6413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sets forth certain information concerning our executive officers. Our executive officers, who are appointed annually by our Board of Directors, are critical to creating and executing on the Company’s strategy.</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320" w:type="dxa"/>
            <w:vAlign w:val="bottom"/>
            <w:tcBorders>
              <w:bottom w:val="single" w:sz="8" w:color="001544"/>
            </w:tcBorders>
          </w:tcPr>
          <w:p>
            <w:pPr>
              <w:ind w:left="80"/>
              <w:spacing w:after="0"/>
              <w:rPr>
                <w:sz w:val="20"/>
                <w:szCs w:val="20"/>
                <w:color w:val="auto"/>
              </w:rPr>
            </w:pPr>
            <w:r>
              <w:rPr>
                <w:rFonts w:ascii="Arial" w:cs="Arial" w:eastAsia="Arial" w:hAnsi="Arial"/>
                <w:sz w:val="16"/>
                <w:szCs w:val="16"/>
                <w:b w:val="1"/>
                <w:bCs w:val="1"/>
                <w:color w:val="001544"/>
              </w:rPr>
              <w:t>Name</w:t>
            </w:r>
          </w:p>
        </w:tc>
        <w:tc>
          <w:tcPr>
            <w:tcW w:w="560" w:type="dxa"/>
            <w:vAlign w:val="bottom"/>
            <w:tcBorders>
              <w:bottom w:val="single" w:sz="8" w:color="001544"/>
            </w:tcBorders>
          </w:tcPr>
          <w:p>
            <w:pPr>
              <w:jc w:val="right"/>
              <w:spacing w:after="0"/>
              <w:rPr>
                <w:sz w:val="20"/>
                <w:szCs w:val="20"/>
                <w:color w:val="auto"/>
              </w:rPr>
            </w:pPr>
            <w:r>
              <w:rPr>
                <w:rFonts w:ascii="Arial" w:cs="Arial" w:eastAsia="Arial" w:hAnsi="Arial"/>
                <w:sz w:val="16"/>
                <w:szCs w:val="16"/>
                <w:b w:val="1"/>
                <w:bCs w:val="1"/>
                <w:color w:val="001544"/>
              </w:rPr>
              <w:t>Age</w:t>
            </w:r>
          </w:p>
        </w:tc>
        <w:tc>
          <w:tcPr>
            <w:tcW w:w="5580" w:type="dxa"/>
            <w:vAlign w:val="bottom"/>
            <w:tcBorders>
              <w:bottom w:val="single" w:sz="8" w:color="001544"/>
            </w:tcBorders>
          </w:tcPr>
          <w:p>
            <w:pPr>
              <w:ind w:left="180"/>
              <w:spacing w:after="0"/>
              <w:rPr>
                <w:sz w:val="20"/>
                <w:szCs w:val="20"/>
                <w:color w:val="auto"/>
              </w:rPr>
            </w:pPr>
            <w:r>
              <w:rPr>
                <w:rFonts w:ascii="Arial" w:cs="Arial" w:eastAsia="Arial" w:hAnsi="Arial"/>
                <w:sz w:val="16"/>
                <w:szCs w:val="16"/>
                <w:b w:val="1"/>
                <w:bCs w:val="1"/>
                <w:color w:val="001544"/>
              </w:rPr>
              <w:t>Position</w:t>
            </w:r>
          </w:p>
        </w:tc>
      </w:tr>
      <w:tr>
        <w:trPr>
          <w:trHeight w:val="264"/>
        </w:trPr>
        <w:tc>
          <w:tcPr>
            <w:tcW w:w="3320" w:type="dxa"/>
            <w:vAlign w:val="bottom"/>
            <w:shd w:val="clear" w:color="auto" w:fill="DBDFEA"/>
          </w:tcPr>
          <w:p>
            <w:pPr>
              <w:ind w:left="80"/>
              <w:spacing w:after="0"/>
              <w:rPr>
                <w:sz w:val="20"/>
                <w:szCs w:val="20"/>
                <w:color w:val="auto"/>
              </w:rPr>
            </w:pPr>
            <w:r>
              <w:rPr>
                <w:rFonts w:ascii="Arial" w:cs="Arial" w:eastAsia="Arial" w:hAnsi="Arial"/>
                <w:sz w:val="16"/>
                <w:szCs w:val="16"/>
                <w:color w:val="auto"/>
              </w:rPr>
              <w:t>Marc C. Ganzi</w:t>
            </w:r>
          </w:p>
        </w:tc>
        <w:tc>
          <w:tcPr>
            <w:tcW w:w="560" w:type="dxa"/>
            <w:vAlign w:val="bottom"/>
            <w:shd w:val="clear" w:color="auto" w:fill="DBDFEA"/>
          </w:tcPr>
          <w:p>
            <w:pPr>
              <w:jc w:val="right"/>
              <w:ind w:right="120"/>
              <w:spacing w:after="0"/>
              <w:rPr>
                <w:sz w:val="20"/>
                <w:szCs w:val="20"/>
                <w:color w:val="auto"/>
              </w:rPr>
            </w:pPr>
            <w:r>
              <w:rPr>
                <w:rFonts w:ascii="Arial" w:cs="Arial" w:eastAsia="Arial" w:hAnsi="Arial"/>
                <w:sz w:val="16"/>
                <w:szCs w:val="16"/>
                <w:color w:val="auto"/>
              </w:rPr>
              <w:t>53</w:t>
            </w:r>
          </w:p>
        </w:tc>
        <w:tc>
          <w:tcPr>
            <w:tcW w:w="5580" w:type="dxa"/>
            <w:vAlign w:val="bottom"/>
            <w:shd w:val="clear" w:color="auto" w:fill="DBDFEA"/>
          </w:tcPr>
          <w:p>
            <w:pPr>
              <w:ind w:left="180"/>
              <w:spacing w:after="0"/>
              <w:rPr>
                <w:sz w:val="20"/>
                <w:szCs w:val="20"/>
                <w:color w:val="auto"/>
              </w:rPr>
            </w:pPr>
            <w:r>
              <w:rPr>
                <w:rFonts w:ascii="Arial" w:cs="Arial" w:eastAsia="Arial" w:hAnsi="Arial"/>
                <w:sz w:val="16"/>
                <w:szCs w:val="16"/>
                <w:color w:val="auto"/>
              </w:rPr>
              <w:t>Chief Executive Officer</w:t>
            </w:r>
          </w:p>
        </w:tc>
      </w:tr>
      <w:tr>
        <w:trPr>
          <w:trHeight w:val="63"/>
        </w:trPr>
        <w:tc>
          <w:tcPr>
            <w:tcW w:w="3320" w:type="dxa"/>
            <w:vAlign w:val="bottom"/>
            <w:tcBorders>
              <w:bottom w:val="single" w:sz="8" w:color="001544"/>
            </w:tcBorders>
            <w:shd w:val="clear" w:color="auto" w:fill="DBDFEA"/>
          </w:tcPr>
          <w:p>
            <w:pPr>
              <w:spacing w:after="0"/>
              <w:rPr>
                <w:sz w:val="5"/>
                <w:szCs w:val="5"/>
                <w:color w:val="auto"/>
              </w:rPr>
            </w:pPr>
          </w:p>
        </w:tc>
        <w:tc>
          <w:tcPr>
            <w:tcW w:w="560" w:type="dxa"/>
            <w:vAlign w:val="bottom"/>
            <w:tcBorders>
              <w:bottom w:val="single" w:sz="8" w:color="001544"/>
            </w:tcBorders>
            <w:shd w:val="clear" w:color="auto" w:fill="DBDFEA"/>
          </w:tcPr>
          <w:p>
            <w:pPr>
              <w:spacing w:after="0"/>
              <w:rPr>
                <w:sz w:val="5"/>
                <w:szCs w:val="5"/>
                <w:color w:val="auto"/>
              </w:rPr>
            </w:pPr>
          </w:p>
        </w:tc>
        <w:tc>
          <w:tcPr>
            <w:tcW w:w="5580" w:type="dxa"/>
            <w:vAlign w:val="bottom"/>
            <w:tcBorders>
              <w:bottom w:val="single" w:sz="8" w:color="001544"/>
            </w:tcBorders>
            <w:shd w:val="clear" w:color="auto" w:fill="DBDFEA"/>
          </w:tcPr>
          <w:p>
            <w:pPr>
              <w:spacing w:after="0"/>
              <w:rPr>
                <w:sz w:val="5"/>
                <w:szCs w:val="5"/>
                <w:color w:val="auto"/>
              </w:rPr>
            </w:pPr>
          </w:p>
        </w:tc>
      </w:tr>
      <w:tr>
        <w:trPr>
          <w:trHeight w:val="256"/>
        </w:trPr>
        <w:tc>
          <w:tcPr>
            <w:tcW w:w="3320" w:type="dxa"/>
            <w:vAlign w:val="bottom"/>
            <w:shd w:val="clear" w:color="auto" w:fill="DBDFEA"/>
          </w:tcPr>
          <w:p>
            <w:pPr>
              <w:ind w:left="80"/>
              <w:spacing w:after="0"/>
              <w:rPr>
                <w:sz w:val="20"/>
                <w:szCs w:val="20"/>
                <w:color w:val="auto"/>
              </w:rPr>
            </w:pPr>
            <w:r>
              <w:rPr>
                <w:rFonts w:ascii="Arial" w:cs="Arial" w:eastAsia="Arial" w:hAnsi="Arial"/>
                <w:sz w:val="16"/>
                <w:szCs w:val="16"/>
                <w:color w:val="auto"/>
              </w:rPr>
              <w:t>Benjamin J. Jenkins</w:t>
            </w:r>
          </w:p>
        </w:tc>
        <w:tc>
          <w:tcPr>
            <w:tcW w:w="560" w:type="dxa"/>
            <w:vAlign w:val="bottom"/>
            <w:shd w:val="clear" w:color="auto" w:fill="DBDFEA"/>
          </w:tcPr>
          <w:p>
            <w:pPr>
              <w:jc w:val="right"/>
              <w:ind w:right="120"/>
              <w:spacing w:after="0"/>
              <w:rPr>
                <w:sz w:val="20"/>
                <w:szCs w:val="20"/>
                <w:color w:val="auto"/>
              </w:rPr>
            </w:pPr>
            <w:r>
              <w:rPr>
                <w:rFonts w:ascii="Arial" w:cs="Arial" w:eastAsia="Arial" w:hAnsi="Arial"/>
                <w:sz w:val="16"/>
                <w:szCs w:val="16"/>
                <w:color w:val="auto"/>
              </w:rPr>
              <w:t>54</w:t>
            </w:r>
          </w:p>
        </w:tc>
        <w:tc>
          <w:tcPr>
            <w:tcW w:w="5580" w:type="dxa"/>
            <w:vAlign w:val="bottom"/>
            <w:shd w:val="clear" w:color="auto" w:fill="DBDFEA"/>
          </w:tcPr>
          <w:p>
            <w:pPr>
              <w:ind w:left="180"/>
              <w:spacing w:after="0"/>
              <w:rPr>
                <w:sz w:val="20"/>
                <w:szCs w:val="20"/>
                <w:color w:val="auto"/>
              </w:rPr>
            </w:pPr>
            <w:r>
              <w:rPr>
                <w:rFonts w:ascii="Arial" w:cs="Arial" w:eastAsia="Arial" w:hAnsi="Arial"/>
                <w:sz w:val="16"/>
                <w:szCs w:val="16"/>
                <w:color w:val="auto"/>
              </w:rPr>
              <w:t>President and Chief Investment Officer</w:t>
            </w:r>
          </w:p>
        </w:tc>
      </w:tr>
      <w:tr>
        <w:trPr>
          <w:trHeight w:val="63"/>
        </w:trPr>
        <w:tc>
          <w:tcPr>
            <w:tcW w:w="3320" w:type="dxa"/>
            <w:vAlign w:val="bottom"/>
            <w:tcBorders>
              <w:bottom w:val="single" w:sz="8" w:color="001544"/>
            </w:tcBorders>
            <w:shd w:val="clear" w:color="auto" w:fill="DBDFEA"/>
          </w:tcPr>
          <w:p>
            <w:pPr>
              <w:spacing w:after="0"/>
              <w:rPr>
                <w:sz w:val="5"/>
                <w:szCs w:val="5"/>
                <w:color w:val="auto"/>
              </w:rPr>
            </w:pPr>
          </w:p>
        </w:tc>
        <w:tc>
          <w:tcPr>
            <w:tcW w:w="560" w:type="dxa"/>
            <w:vAlign w:val="bottom"/>
            <w:tcBorders>
              <w:bottom w:val="single" w:sz="8" w:color="001544"/>
            </w:tcBorders>
            <w:shd w:val="clear" w:color="auto" w:fill="DBDFEA"/>
          </w:tcPr>
          <w:p>
            <w:pPr>
              <w:spacing w:after="0"/>
              <w:rPr>
                <w:sz w:val="5"/>
                <w:szCs w:val="5"/>
                <w:color w:val="auto"/>
              </w:rPr>
            </w:pPr>
          </w:p>
        </w:tc>
        <w:tc>
          <w:tcPr>
            <w:tcW w:w="5580" w:type="dxa"/>
            <w:vAlign w:val="bottom"/>
            <w:tcBorders>
              <w:bottom w:val="single" w:sz="8" w:color="001544"/>
            </w:tcBorders>
            <w:shd w:val="clear" w:color="auto" w:fill="DBDFEA"/>
          </w:tcPr>
          <w:p>
            <w:pPr>
              <w:spacing w:after="0"/>
              <w:rPr>
                <w:sz w:val="5"/>
                <w:szCs w:val="5"/>
                <w:color w:val="auto"/>
              </w:rPr>
            </w:pPr>
          </w:p>
        </w:tc>
      </w:tr>
      <w:tr>
        <w:trPr>
          <w:trHeight w:val="256"/>
        </w:trPr>
        <w:tc>
          <w:tcPr>
            <w:tcW w:w="3320" w:type="dxa"/>
            <w:vAlign w:val="bottom"/>
            <w:shd w:val="clear" w:color="auto" w:fill="DBDFEA"/>
          </w:tcPr>
          <w:p>
            <w:pPr>
              <w:ind w:left="80"/>
              <w:spacing w:after="0"/>
              <w:rPr>
                <w:sz w:val="20"/>
                <w:szCs w:val="20"/>
                <w:color w:val="auto"/>
              </w:rPr>
            </w:pPr>
            <w:r>
              <w:rPr>
                <w:rFonts w:ascii="Arial" w:cs="Arial" w:eastAsia="Arial" w:hAnsi="Arial"/>
                <w:sz w:val="16"/>
                <w:szCs w:val="16"/>
                <w:color w:val="auto"/>
              </w:rPr>
              <w:t>Thomas Mayrhofer</w:t>
            </w:r>
          </w:p>
        </w:tc>
        <w:tc>
          <w:tcPr>
            <w:tcW w:w="560" w:type="dxa"/>
            <w:vAlign w:val="bottom"/>
            <w:shd w:val="clear" w:color="auto" w:fill="DBDFEA"/>
          </w:tcPr>
          <w:p>
            <w:pPr>
              <w:jc w:val="right"/>
              <w:ind w:right="120"/>
              <w:spacing w:after="0"/>
              <w:rPr>
                <w:sz w:val="20"/>
                <w:szCs w:val="20"/>
                <w:color w:val="auto"/>
              </w:rPr>
            </w:pPr>
            <w:r>
              <w:rPr>
                <w:rFonts w:ascii="Arial" w:cs="Arial" w:eastAsia="Arial" w:hAnsi="Arial"/>
                <w:sz w:val="16"/>
                <w:szCs w:val="16"/>
                <w:color w:val="auto"/>
              </w:rPr>
              <w:t>52</w:t>
            </w:r>
          </w:p>
        </w:tc>
        <w:tc>
          <w:tcPr>
            <w:tcW w:w="5580" w:type="dxa"/>
            <w:vAlign w:val="bottom"/>
            <w:shd w:val="clear" w:color="auto" w:fill="DBDFEA"/>
          </w:tcPr>
          <w:p>
            <w:pPr>
              <w:ind w:left="180"/>
              <w:spacing w:after="0"/>
              <w:rPr>
                <w:sz w:val="20"/>
                <w:szCs w:val="20"/>
                <w:color w:val="auto"/>
              </w:rPr>
            </w:pPr>
            <w:r>
              <w:rPr>
                <w:rFonts w:ascii="Arial" w:cs="Arial" w:eastAsia="Arial" w:hAnsi="Arial"/>
                <w:sz w:val="16"/>
                <w:szCs w:val="16"/>
                <w:color w:val="auto"/>
              </w:rPr>
              <w:t>Chief Financial Officer and Treasurer</w:t>
            </w:r>
          </w:p>
        </w:tc>
      </w:tr>
      <w:tr>
        <w:trPr>
          <w:trHeight w:val="63"/>
        </w:trPr>
        <w:tc>
          <w:tcPr>
            <w:tcW w:w="3320" w:type="dxa"/>
            <w:vAlign w:val="bottom"/>
            <w:tcBorders>
              <w:bottom w:val="single" w:sz="8" w:color="001544"/>
            </w:tcBorders>
            <w:shd w:val="clear" w:color="auto" w:fill="DBDFEA"/>
          </w:tcPr>
          <w:p>
            <w:pPr>
              <w:spacing w:after="0"/>
              <w:rPr>
                <w:sz w:val="5"/>
                <w:szCs w:val="5"/>
                <w:color w:val="auto"/>
              </w:rPr>
            </w:pPr>
          </w:p>
        </w:tc>
        <w:tc>
          <w:tcPr>
            <w:tcW w:w="560" w:type="dxa"/>
            <w:vAlign w:val="bottom"/>
            <w:tcBorders>
              <w:bottom w:val="single" w:sz="8" w:color="001544"/>
            </w:tcBorders>
            <w:shd w:val="clear" w:color="auto" w:fill="DBDFEA"/>
          </w:tcPr>
          <w:p>
            <w:pPr>
              <w:spacing w:after="0"/>
              <w:rPr>
                <w:sz w:val="5"/>
                <w:szCs w:val="5"/>
                <w:color w:val="auto"/>
              </w:rPr>
            </w:pPr>
          </w:p>
        </w:tc>
        <w:tc>
          <w:tcPr>
            <w:tcW w:w="5580" w:type="dxa"/>
            <w:vAlign w:val="bottom"/>
            <w:tcBorders>
              <w:bottom w:val="single" w:sz="8" w:color="001544"/>
            </w:tcBorders>
            <w:shd w:val="clear" w:color="auto" w:fill="DBDFEA"/>
          </w:tcPr>
          <w:p>
            <w:pPr>
              <w:spacing w:after="0"/>
              <w:rPr>
                <w:sz w:val="5"/>
                <w:szCs w:val="5"/>
                <w:color w:val="auto"/>
              </w:rPr>
            </w:pPr>
          </w:p>
        </w:tc>
      </w:tr>
      <w:tr>
        <w:trPr>
          <w:trHeight w:val="256"/>
        </w:trPr>
        <w:tc>
          <w:tcPr>
            <w:tcW w:w="3320" w:type="dxa"/>
            <w:vAlign w:val="bottom"/>
            <w:shd w:val="clear" w:color="auto" w:fill="DBDFEA"/>
          </w:tcPr>
          <w:p>
            <w:pPr>
              <w:ind w:left="80"/>
              <w:spacing w:after="0"/>
              <w:rPr>
                <w:sz w:val="20"/>
                <w:szCs w:val="20"/>
                <w:color w:val="auto"/>
              </w:rPr>
            </w:pPr>
            <w:r>
              <w:rPr>
                <w:rFonts w:ascii="Arial" w:cs="Arial" w:eastAsia="Arial" w:hAnsi="Arial"/>
                <w:sz w:val="16"/>
                <w:szCs w:val="16"/>
                <w:color w:val="auto"/>
              </w:rPr>
              <w:t>Geoffrey Goldschein</w:t>
            </w:r>
          </w:p>
        </w:tc>
        <w:tc>
          <w:tcPr>
            <w:tcW w:w="560" w:type="dxa"/>
            <w:vAlign w:val="bottom"/>
            <w:shd w:val="clear" w:color="auto" w:fill="DBDFEA"/>
          </w:tcPr>
          <w:p>
            <w:pPr>
              <w:jc w:val="right"/>
              <w:ind w:right="120"/>
              <w:spacing w:after="0"/>
              <w:rPr>
                <w:sz w:val="20"/>
                <w:szCs w:val="20"/>
                <w:color w:val="auto"/>
              </w:rPr>
            </w:pPr>
            <w:r>
              <w:rPr>
                <w:rFonts w:ascii="Arial" w:cs="Arial" w:eastAsia="Arial" w:hAnsi="Arial"/>
                <w:sz w:val="16"/>
                <w:szCs w:val="16"/>
                <w:color w:val="auto"/>
              </w:rPr>
              <w:t>49</w:t>
            </w:r>
          </w:p>
        </w:tc>
        <w:tc>
          <w:tcPr>
            <w:tcW w:w="5580" w:type="dxa"/>
            <w:vAlign w:val="bottom"/>
            <w:shd w:val="clear" w:color="auto" w:fill="DBDFEA"/>
          </w:tcPr>
          <w:p>
            <w:pPr>
              <w:ind w:left="180"/>
              <w:spacing w:after="0"/>
              <w:rPr>
                <w:sz w:val="20"/>
                <w:szCs w:val="20"/>
                <w:color w:val="auto"/>
              </w:rPr>
            </w:pPr>
            <w:r>
              <w:rPr>
                <w:rFonts w:ascii="Arial" w:cs="Arial" w:eastAsia="Arial" w:hAnsi="Arial"/>
                <w:sz w:val="16"/>
                <w:szCs w:val="16"/>
                <w:color w:val="auto"/>
              </w:rPr>
              <w:t>Chief Legal Officer and Secretary</w:t>
            </w:r>
          </w:p>
        </w:tc>
      </w:tr>
      <w:tr>
        <w:trPr>
          <w:trHeight w:val="63"/>
        </w:trPr>
        <w:tc>
          <w:tcPr>
            <w:tcW w:w="3320" w:type="dxa"/>
            <w:vAlign w:val="bottom"/>
            <w:tcBorders>
              <w:bottom w:val="single" w:sz="8" w:color="001544"/>
            </w:tcBorders>
            <w:shd w:val="clear" w:color="auto" w:fill="DBDFEA"/>
          </w:tcPr>
          <w:p>
            <w:pPr>
              <w:spacing w:after="0"/>
              <w:rPr>
                <w:sz w:val="5"/>
                <w:szCs w:val="5"/>
                <w:color w:val="auto"/>
              </w:rPr>
            </w:pPr>
          </w:p>
        </w:tc>
        <w:tc>
          <w:tcPr>
            <w:tcW w:w="560" w:type="dxa"/>
            <w:vAlign w:val="bottom"/>
            <w:tcBorders>
              <w:bottom w:val="single" w:sz="8" w:color="001544"/>
            </w:tcBorders>
            <w:shd w:val="clear" w:color="auto" w:fill="DBDFEA"/>
          </w:tcPr>
          <w:p>
            <w:pPr>
              <w:spacing w:after="0"/>
              <w:rPr>
                <w:sz w:val="5"/>
                <w:szCs w:val="5"/>
                <w:color w:val="auto"/>
              </w:rPr>
            </w:pPr>
          </w:p>
        </w:tc>
        <w:tc>
          <w:tcPr>
            <w:tcW w:w="5580" w:type="dxa"/>
            <w:vAlign w:val="bottom"/>
            <w:tcBorders>
              <w:bottom w:val="single" w:sz="8" w:color="001544"/>
            </w:tcBorders>
            <w:shd w:val="clear" w:color="auto" w:fill="DBDFEA"/>
          </w:tcPr>
          <w:p>
            <w:pPr>
              <w:spacing w:after="0"/>
              <w:rPr>
                <w:sz w:val="5"/>
                <w:szCs w:val="5"/>
                <w:color w:val="auto"/>
              </w:rPr>
            </w:pPr>
          </w:p>
        </w:tc>
      </w:tr>
      <w:tr>
        <w:trPr>
          <w:trHeight w:val="256"/>
        </w:trPr>
        <w:tc>
          <w:tcPr>
            <w:tcW w:w="3320" w:type="dxa"/>
            <w:vAlign w:val="bottom"/>
            <w:shd w:val="clear" w:color="auto" w:fill="DBDFEA"/>
          </w:tcPr>
          <w:p>
            <w:pPr>
              <w:ind w:left="80"/>
              <w:spacing w:after="0"/>
              <w:rPr>
                <w:sz w:val="20"/>
                <w:szCs w:val="20"/>
                <w:color w:val="auto"/>
              </w:rPr>
            </w:pPr>
            <w:r>
              <w:rPr>
                <w:rFonts w:ascii="Arial" w:cs="Arial" w:eastAsia="Arial" w:hAnsi="Arial"/>
                <w:sz w:val="16"/>
                <w:szCs w:val="16"/>
                <w:color w:val="auto"/>
              </w:rPr>
              <w:t>Liam Stewart</w:t>
            </w:r>
          </w:p>
        </w:tc>
        <w:tc>
          <w:tcPr>
            <w:tcW w:w="560" w:type="dxa"/>
            <w:vAlign w:val="bottom"/>
            <w:shd w:val="clear" w:color="auto" w:fill="DBDFEA"/>
          </w:tcPr>
          <w:p>
            <w:pPr>
              <w:jc w:val="right"/>
              <w:ind w:right="120"/>
              <w:spacing w:after="0"/>
              <w:rPr>
                <w:sz w:val="20"/>
                <w:szCs w:val="20"/>
                <w:color w:val="auto"/>
              </w:rPr>
            </w:pPr>
            <w:r>
              <w:rPr>
                <w:rFonts w:ascii="Arial" w:cs="Arial" w:eastAsia="Arial" w:hAnsi="Arial"/>
                <w:sz w:val="16"/>
                <w:szCs w:val="16"/>
                <w:color w:val="auto"/>
              </w:rPr>
              <w:t>47</w:t>
            </w:r>
          </w:p>
        </w:tc>
        <w:tc>
          <w:tcPr>
            <w:tcW w:w="5580" w:type="dxa"/>
            <w:vAlign w:val="bottom"/>
            <w:shd w:val="clear" w:color="auto" w:fill="DBDFEA"/>
          </w:tcPr>
          <w:p>
            <w:pPr>
              <w:ind w:left="180"/>
              <w:spacing w:after="0"/>
              <w:rPr>
                <w:sz w:val="20"/>
                <w:szCs w:val="20"/>
                <w:color w:val="auto"/>
              </w:rPr>
            </w:pPr>
            <w:r>
              <w:rPr>
                <w:rFonts w:ascii="Arial" w:cs="Arial" w:eastAsia="Arial" w:hAnsi="Arial"/>
                <w:sz w:val="16"/>
                <w:szCs w:val="16"/>
                <w:color w:val="auto"/>
              </w:rPr>
              <w:t>Chief Operating Officer</w:t>
            </w:r>
          </w:p>
        </w:tc>
      </w:tr>
      <w:tr>
        <w:trPr>
          <w:trHeight w:val="63"/>
        </w:trPr>
        <w:tc>
          <w:tcPr>
            <w:tcW w:w="3320" w:type="dxa"/>
            <w:vAlign w:val="bottom"/>
            <w:tcBorders>
              <w:bottom w:val="single" w:sz="8" w:color="001544"/>
            </w:tcBorders>
            <w:shd w:val="clear" w:color="auto" w:fill="DBDFEA"/>
          </w:tcPr>
          <w:p>
            <w:pPr>
              <w:spacing w:after="0"/>
              <w:rPr>
                <w:sz w:val="5"/>
                <w:szCs w:val="5"/>
                <w:color w:val="auto"/>
              </w:rPr>
            </w:pPr>
          </w:p>
        </w:tc>
        <w:tc>
          <w:tcPr>
            <w:tcW w:w="560" w:type="dxa"/>
            <w:vAlign w:val="bottom"/>
            <w:tcBorders>
              <w:bottom w:val="single" w:sz="8" w:color="001544"/>
            </w:tcBorders>
            <w:shd w:val="clear" w:color="auto" w:fill="DBDFEA"/>
          </w:tcPr>
          <w:p>
            <w:pPr>
              <w:spacing w:after="0"/>
              <w:rPr>
                <w:sz w:val="5"/>
                <w:szCs w:val="5"/>
                <w:color w:val="auto"/>
              </w:rPr>
            </w:pPr>
          </w:p>
        </w:tc>
        <w:tc>
          <w:tcPr>
            <w:tcW w:w="5580" w:type="dxa"/>
            <w:vAlign w:val="bottom"/>
            <w:tcBorders>
              <w:bottom w:val="single" w:sz="8" w:color="001544"/>
            </w:tcBorders>
            <w:shd w:val="clear" w:color="auto" w:fill="DBDFEA"/>
          </w:tcPr>
          <w:p>
            <w:pPr>
              <w:spacing w:after="0"/>
              <w:rPr>
                <w:sz w:val="5"/>
                <w:szCs w:val="5"/>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See “Proposal No. 1: Election of Directors—Board of Directors” above for Mr. Ganzi’s biographical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83820</wp:posOffset>
            </wp:positionV>
            <wp:extent cx="6009005" cy="2635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09005" cy="263525"/>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p>
      <w:pPr>
        <w:spacing w:after="0" w:line="184"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FFFFFF"/>
        </w:rPr>
        <w:t>BEN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61595</wp:posOffset>
            </wp:positionV>
            <wp:extent cx="1316355" cy="12928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16355" cy="129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20" w:hanging="45"/>
        <w:spacing w:after="0" w:line="330" w:lineRule="auto"/>
        <w:rPr>
          <w:sz w:val="20"/>
          <w:szCs w:val="20"/>
          <w:color w:val="auto"/>
        </w:rPr>
      </w:pPr>
      <w:r>
        <w:rPr>
          <w:rFonts w:ascii="Arial" w:cs="Arial" w:eastAsia="Arial" w:hAnsi="Arial"/>
          <w:sz w:val="14"/>
          <w:szCs w:val="14"/>
          <w:b w:val="1"/>
          <w:bCs w:val="1"/>
          <w:color w:val="auto"/>
        </w:rPr>
        <w:t>President and Chief Investment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right="160"/>
        <w:spacing w:after="0" w:line="248" w:lineRule="auto"/>
        <w:rPr>
          <w:sz w:val="20"/>
          <w:szCs w:val="20"/>
          <w:color w:val="auto"/>
        </w:rPr>
      </w:pPr>
      <w:r>
        <w:rPr>
          <w:rFonts w:ascii="Arial" w:cs="Arial" w:eastAsia="Arial" w:hAnsi="Arial"/>
          <w:sz w:val="15"/>
          <w:szCs w:val="15"/>
          <w:b w:val="1"/>
          <w:bCs w:val="1"/>
          <w:color w:val="001544"/>
        </w:rPr>
        <w:t xml:space="preserve">Benjamin J. Jenkins </w:t>
      </w:r>
      <w:r>
        <w:rPr>
          <w:rFonts w:ascii="Arial" w:cs="Arial" w:eastAsia="Arial" w:hAnsi="Arial"/>
          <w:sz w:val="15"/>
          <w:szCs w:val="15"/>
          <w:color w:val="000000"/>
        </w:rPr>
        <w:t>is President and Chief Investment Officer of DigitalBridge, a position he has held</w:t>
      </w:r>
      <w:r>
        <w:rPr>
          <w:rFonts w:ascii="Arial" w:cs="Arial" w:eastAsia="Arial" w:hAnsi="Arial"/>
          <w:sz w:val="15"/>
          <w:szCs w:val="15"/>
          <w:b w:val="1"/>
          <w:bCs w:val="1"/>
          <w:color w:val="001544"/>
        </w:rPr>
        <w:t xml:space="preserve"> </w:t>
      </w:r>
      <w:r>
        <w:rPr>
          <w:rFonts w:ascii="Arial" w:cs="Arial" w:eastAsia="Arial" w:hAnsi="Arial"/>
          <w:sz w:val="15"/>
          <w:szCs w:val="15"/>
          <w:color w:val="000000"/>
        </w:rPr>
        <w:t>since March 2022. Mr. Jenkins previously served as Chief Investment Officer of the Company’s Digital IM segment and as Chairman of Digital Bridge Holdings prior to its acquisition by DigitalBridge in July 2019. Mr. Jenkins is also the Co-Founder of Digital Bridge Holdings and the former Chairman of Global Tower Partners. Prior to forming Digital Bridge Holdings in 2013, Mr. Jenkins was a Senior Managing Director and head of the Hong Kong office for The Blackstone Group. During his 12 years at Blackstone, Mr. Jenkins led over a dozen private equity investments (including Global Tower Partners) across a range of industries and geographies, including telecommunications deals in developed and emerging markets. Prior to joining Blackstone, Mr. Jenkins was an associate at Saunders, Karp and Megrue and a financial analyst at Morgan Stanley. Mr. Jenkins received a Bachelor of Arts with honors from Stanford University and an MBA with distinction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-1375410</wp:posOffset>
            </wp:positionH>
            <wp:positionV relativeFrom="paragraph">
              <wp:posOffset>119380</wp:posOffset>
            </wp:positionV>
            <wp:extent cx="6009005" cy="2635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09005" cy="263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400"/>
            <w:col w:w="7300"/>
          </w:cols>
          <w:pgMar w:left="1200" w:top="487" w:right="1219" w:bottom="1440" w:gutter="0" w:footer="0" w:header="0"/>
          <w:type w:val="continuous"/>
        </w:sectPr>
      </w:pPr>
    </w:p>
    <w:p>
      <w:pPr>
        <w:spacing w:after="0" w:line="41"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FFFFFF"/>
        </w:rPr>
        <w:t>THOMAS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61595</wp:posOffset>
            </wp:positionV>
            <wp:extent cx="1316355" cy="12211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16355" cy="1221105"/>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280"/>
        <w:spacing w:after="0"/>
        <w:rPr>
          <w:sz w:val="20"/>
          <w:szCs w:val="20"/>
          <w:color w:val="auto"/>
        </w:rPr>
      </w:pPr>
      <w:r>
        <w:rPr>
          <w:rFonts w:ascii="Arial" w:cs="Arial" w:eastAsia="Arial" w:hAnsi="Arial"/>
          <w:sz w:val="15"/>
          <w:szCs w:val="15"/>
          <w:b w:val="1"/>
          <w:bCs w:val="1"/>
          <w:color w:val="auto"/>
        </w:rPr>
        <w:t>Chief Financial Officer</w:t>
      </w:r>
    </w:p>
    <w:p>
      <w:pPr>
        <w:spacing w:after="0" w:line="17" w:lineRule="exact"/>
        <w:rPr>
          <w:sz w:val="20"/>
          <w:szCs w:val="20"/>
          <w:color w:val="auto"/>
        </w:rPr>
      </w:pPr>
    </w:p>
    <w:p>
      <w:pPr>
        <w:jc w:val="center"/>
        <w:ind w:left="280"/>
        <w:spacing w:after="0"/>
        <w:rPr>
          <w:sz w:val="20"/>
          <w:szCs w:val="20"/>
          <w:color w:val="auto"/>
        </w:rPr>
      </w:pPr>
      <w:r>
        <w:rPr>
          <w:rFonts w:ascii="Arial" w:cs="Arial" w:eastAsia="Arial" w:hAnsi="Arial"/>
          <w:sz w:val="15"/>
          <w:szCs w:val="15"/>
          <w:b w:val="1"/>
          <w:bCs w:val="1"/>
          <w:color w:val="auto"/>
        </w:rPr>
        <w:t>and Treasurer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100"/>
        <w:spacing w:after="0" w:line="247" w:lineRule="auto"/>
        <w:rPr>
          <w:sz w:val="20"/>
          <w:szCs w:val="20"/>
          <w:color w:val="auto"/>
        </w:rPr>
      </w:pPr>
      <w:r>
        <w:rPr>
          <w:rFonts w:ascii="Arial" w:cs="Arial" w:eastAsia="Arial" w:hAnsi="Arial"/>
          <w:sz w:val="15"/>
          <w:szCs w:val="15"/>
          <w:b w:val="1"/>
          <w:bCs w:val="1"/>
          <w:color w:val="001544"/>
        </w:rPr>
        <w:t xml:space="preserve">Thomas Mayrhofer </w:t>
      </w:r>
      <w:r>
        <w:rPr>
          <w:rFonts w:ascii="Arial" w:cs="Arial" w:eastAsia="Arial" w:hAnsi="Arial"/>
          <w:sz w:val="15"/>
          <w:szCs w:val="15"/>
          <w:color w:val="000000"/>
        </w:rPr>
        <w:t>is Chief Financial Officer and Treasurer of DigitalBridge. Mr. Mayrhofer joined</w:t>
      </w:r>
      <w:r>
        <w:rPr>
          <w:rFonts w:ascii="Arial" w:cs="Arial" w:eastAsia="Arial" w:hAnsi="Arial"/>
          <w:sz w:val="15"/>
          <w:szCs w:val="15"/>
          <w:b w:val="1"/>
          <w:bCs w:val="1"/>
          <w:color w:val="001544"/>
        </w:rPr>
        <w:t xml:space="preserve"> </w:t>
      </w:r>
      <w:r>
        <w:rPr>
          <w:rFonts w:ascii="Arial" w:cs="Arial" w:eastAsia="Arial" w:hAnsi="Arial"/>
          <w:sz w:val="15"/>
          <w:szCs w:val="15"/>
          <w:color w:val="000000"/>
        </w:rPr>
        <w:t>DigitalBridge in January 2024 and became DigitalBridge’s Chief Financial Officer and Treasurer on March 18, 2024. Mr. Mayrhofer previously served as Chief Financial Officer (2018-2021) and Chief Operating Officer (2019-2022) of EJF Capital, LLC. Prior to joining EJF Capital, Mr. Mayrhofer spent nearly 18 years at The Carlyle Group in a variety of financial roles across all of the firm’s products—including private equity, energy, real estate and credit. Mr. Mayrhofer concluded his tenure at The Carlyle Group as a Partner and CFO of the firm’s Private Equity business, where he led a team of more than 90 finance professionals and had oversight of approximately $100 billion of assets under management. Prior to joining Carlyle,</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Mr. Mayrhofer worked at Arthur Andersen LLP. Mr. Mayrhofer graduated from The College of William &amp; Mary with a BBA in Accounting.</w:t>
      </w:r>
    </w:p>
    <w:p>
      <w:pPr>
        <w:spacing w:after="0" w:line="248" w:lineRule="exact"/>
        <w:rPr>
          <w:sz w:val="20"/>
          <w:szCs w:val="20"/>
          <w:color w:val="auto"/>
        </w:rPr>
      </w:pPr>
    </w:p>
    <w:p>
      <w:pPr>
        <w:sectPr>
          <w:pgSz w:w="11900" w:h="16838" w:orient="portrait"/>
          <w:cols w:equalWidth="0" w:num="2">
            <w:col w:w="1880" w:space="300"/>
            <w:col w:w="7300"/>
          </w:cols>
          <w:pgMar w:left="1200" w:top="487" w:right="1219" w:bottom="1440" w:gutter="0" w:footer="0" w:header="0"/>
          <w:type w:val="continuous"/>
        </w:sectPr>
      </w:pPr>
    </w:p>
    <w:p>
      <w:pPr>
        <w:spacing w:after="0" w:line="31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548640</wp:posOffset>
            </wp:positionV>
            <wp:extent cx="6009005" cy="2635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09005" cy="26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FFFFFF"/>
        </w:rPr>
        <w:t>GEOFFREY GOLDSCHEIN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1316355" cy="15163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16355" cy="1516380"/>
                    </a:xfrm>
                    <a:prstGeom prst="rect">
                      <a:avLst/>
                    </a:prstGeom>
                    <a:noFill/>
                  </pic:spPr>
                </pic:pic>
              </a:graphicData>
            </a:graphic>
          </wp:anchor>
        </w:drawing>
      </w:r>
    </w:p>
    <w:p>
      <w:pPr>
        <w:sectPr>
          <w:pgSz w:w="11900" w:h="16838" w:orient="portrait"/>
          <w:cols w:equalWidth="0" w:num="1">
            <w:col w:w="9420"/>
          </w:cols>
          <w:pgMar w:left="1200" w:top="48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Chief Legal Officer and</w:t>
      </w:r>
    </w:p>
    <w:p>
      <w:pPr>
        <w:spacing w:after="0" w:line="29" w:lineRule="exact"/>
        <w:rPr>
          <w:sz w:val="20"/>
          <w:szCs w:val="20"/>
          <w:color w:val="auto"/>
        </w:rPr>
      </w:pPr>
    </w:p>
    <w:p>
      <w:pPr>
        <w:jc w:val="center"/>
        <w:ind w:left="260"/>
        <w:spacing w:after="0"/>
        <w:rPr>
          <w:sz w:val="20"/>
          <w:szCs w:val="20"/>
          <w:color w:val="auto"/>
        </w:rPr>
      </w:pPr>
      <w:r>
        <w:rPr>
          <w:rFonts w:ascii="Arial" w:cs="Arial" w:eastAsia="Arial" w:hAnsi="Arial"/>
          <w:sz w:val="15"/>
          <w:szCs w:val="15"/>
          <w:b w:val="1"/>
          <w:bCs w:val="1"/>
          <w:color w:val="auto"/>
        </w:rPr>
        <w:t>Secretary</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200"/>
        <w:spacing w:after="0" w:line="246" w:lineRule="auto"/>
        <w:rPr>
          <w:sz w:val="20"/>
          <w:szCs w:val="20"/>
          <w:color w:val="auto"/>
        </w:rPr>
      </w:pPr>
      <w:r>
        <w:rPr>
          <w:rFonts w:ascii="Arial" w:cs="Arial" w:eastAsia="Arial" w:hAnsi="Arial"/>
          <w:sz w:val="15"/>
          <w:szCs w:val="15"/>
          <w:b w:val="1"/>
          <w:bCs w:val="1"/>
          <w:color w:val="001544"/>
        </w:rPr>
        <w:t xml:space="preserve">Geoffrey Goldschein </w:t>
      </w:r>
      <w:r>
        <w:rPr>
          <w:rFonts w:ascii="Arial" w:cs="Arial" w:eastAsia="Arial" w:hAnsi="Arial"/>
          <w:sz w:val="15"/>
          <w:szCs w:val="15"/>
          <w:color w:val="000000"/>
        </w:rPr>
        <w:t>is Chief Legal Officer and Secretary of DigitalBridge, a position he has held since</w:t>
      </w:r>
      <w:r>
        <w:rPr>
          <w:rFonts w:ascii="Arial" w:cs="Arial" w:eastAsia="Arial" w:hAnsi="Arial"/>
          <w:sz w:val="15"/>
          <w:szCs w:val="15"/>
          <w:b w:val="1"/>
          <w:bCs w:val="1"/>
          <w:color w:val="001544"/>
        </w:rPr>
        <w:t xml:space="preserve"> </w:t>
      </w:r>
      <w:r>
        <w:rPr>
          <w:rFonts w:ascii="Arial" w:cs="Arial" w:eastAsia="Arial" w:hAnsi="Arial"/>
          <w:sz w:val="15"/>
          <w:szCs w:val="15"/>
          <w:color w:val="000000"/>
        </w:rPr>
        <w:t>May 2023. Mr. Goldschein previously served as General Counsel of the Company’s Digital IM segment since 2018. Prior to joining DigitalBridge, Mr. Goldschein spent approximately ten years at Macquarie Infrastructure and Real Assets (MIRA), where he worked as legal counsel for many listed and unlisted infrastructure funds. Prior to MIRA, Mr. Goldschein worked in the corporate finance, mergers and acquisitions and leveraged buyout groups of several large international law firms, primarily representing private equity funds and their portfolio companies in a wide variety of domestic and international transactions. Mr. Goldschein has over 20 years of experience advising on fund formations, U.S. securities laws, portfolio company acquisitions and divestitures, and other material portfolio company matters.</w:t>
      </w:r>
    </w:p>
    <w:p>
      <w:pPr>
        <w:spacing w:after="0" w:line="6" w:lineRule="exact"/>
        <w:rPr>
          <w:sz w:val="20"/>
          <w:szCs w:val="20"/>
          <w:color w:val="auto"/>
        </w:rPr>
      </w:pPr>
    </w:p>
    <w:p>
      <w:pPr>
        <w:ind w:right="80"/>
        <w:spacing w:after="0" w:line="250" w:lineRule="auto"/>
        <w:rPr>
          <w:sz w:val="20"/>
          <w:szCs w:val="20"/>
          <w:color w:val="auto"/>
        </w:rPr>
      </w:pPr>
      <w:r>
        <w:rPr>
          <w:rFonts w:ascii="Arial" w:cs="Arial" w:eastAsia="Arial" w:hAnsi="Arial"/>
          <w:sz w:val="15"/>
          <w:szCs w:val="15"/>
          <w:color w:val="auto"/>
        </w:rPr>
        <w:t>Mr. Goldschein received a Bachelor of Arts in Psychology, cum laude, from Tufts University. He earned a Juris Doctor from the Georgetown University Law Center, where he was a senior editor of the Georgetown Journal of International Law and served as an intern in the Satellite Division of the Federal Communications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-1375410</wp:posOffset>
            </wp:positionH>
            <wp:positionV relativeFrom="paragraph">
              <wp:posOffset>140970</wp:posOffset>
            </wp:positionV>
            <wp:extent cx="6009005" cy="2635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09005" cy="263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280"/>
            <w:col w:w="7240"/>
          </w:cols>
          <w:pgMar w:left="1200" w:top="487" w:right="1279" w:bottom="1440" w:gutter="0" w:footer="0" w:header="0"/>
          <w:type w:val="continuous"/>
        </w:sectPr>
      </w:pPr>
    </w:p>
    <w:p>
      <w:pPr>
        <w:spacing w:after="0" w:line="62" w:lineRule="exact"/>
        <w:rPr>
          <w:sz w:val="20"/>
          <w:szCs w:val="20"/>
          <w:color w:val="auto"/>
        </w:rPr>
      </w:pPr>
    </w:p>
    <w:p>
      <w:pPr>
        <w:ind w:left="140"/>
        <w:spacing w:after="0"/>
        <w:rPr>
          <w:sz w:val="20"/>
          <w:szCs w:val="20"/>
          <w:color w:val="auto"/>
        </w:rPr>
      </w:pPr>
      <w:r>
        <w:rPr>
          <w:rFonts w:ascii="Arial" w:cs="Arial" w:eastAsia="Arial" w:hAnsi="Arial"/>
          <w:sz w:val="23"/>
          <w:szCs w:val="23"/>
          <w:b w:val="1"/>
          <w:bCs w:val="1"/>
          <w:color w:val="FFFFFF"/>
        </w:rPr>
        <w:t>LIAM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1316355" cy="16281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16355" cy="1628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Chief Operating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spacing w:after="0" w:line="247" w:lineRule="auto"/>
        <w:rPr>
          <w:sz w:val="20"/>
          <w:szCs w:val="20"/>
          <w:color w:val="auto"/>
        </w:rPr>
      </w:pPr>
      <w:r>
        <w:rPr>
          <w:rFonts w:ascii="Arial" w:cs="Arial" w:eastAsia="Arial" w:hAnsi="Arial"/>
          <w:sz w:val="15"/>
          <w:szCs w:val="15"/>
          <w:b w:val="1"/>
          <w:bCs w:val="1"/>
          <w:color w:val="001544"/>
        </w:rPr>
        <w:t xml:space="preserve">Liam Stewart </w:t>
      </w:r>
      <w:r>
        <w:rPr>
          <w:rFonts w:ascii="Arial" w:cs="Arial" w:eastAsia="Arial" w:hAnsi="Arial"/>
          <w:sz w:val="15"/>
          <w:szCs w:val="15"/>
          <w:color w:val="000000"/>
        </w:rPr>
        <w:t>is Chief Operating Officer of DigitalBridge, a position he has held since March 2022. Prior to</w:t>
      </w:r>
      <w:r>
        <w:rPr>
          <w:rFonts w:ascii="Arial" w:cs="Arial" w:eastAsia="Arial" w:hAnsi="Arial"/>
          <w:sz w:val="15"/>
          <w:szCs w:val="15"/>
          <w:b w:val="1"/>
          <w:bCs w:val="1"/>
          <w:color w:val="001544"/>
        </w:rPr>
        <w:t xml:space="preserve"> </w:t>
      </w:r>
      <w:r>
        <w:rPr>
          <w:rFonts w:ascii="Arial" w:cs="Arial" w:eastAsia="Arial" w:hAnsi="Arial"/>
          <w:sz w:val="15"/>
          <w:szCs w:val="15"/>
          <w:color w:val="000000"/>
        </w:rPr>
        <w:t>joining DigitalBridge in September 2020 as the Chief Operating Officer of the Company’s Digital IM segment, Mr. Stewart was the Chief Financial Officer of Macquarie Infrastructure Corporation from June 2015 until September 2020. Mr. Stewart has approximately 20 years of experience in acquiring, operating and financing infrastructure assets in the U.S., Australia, and Asia. Prior to joining Macquarie Infrastructure and Real Assets in 2014, Mr. Stewart was a Senior Vice President and Management Partner at Global Tower Partners (GTP), where he had responsibility for all capital markets initiatives and led over a dozen domestic and international financings for GTP. He was also responsible for all treasury, capital markets and strategic planning, budgeting, forecasting, investor relations and reporting initiatives at GTP. Prior to joining GTP in 2009, Mr. Stewart was employed by the Macquarie Group where he had day to day responsibility for a listed Macquarie affiliate’s North American media and telecommunications investments. Mr. Stewart has an MBA from the Kellogg School of Management at Northwestern University and a Bachelor of Arts and Bachelor of Laws from the University of New South Wales. He is also admitted to practice as a solicitor in the state of New South Wales.</w:t>
      </w:r>
    </w:p>
    <w:p>
      <w:pPr>
        <w:spacing w:after="0" w:line="200" w:lineRule="exact"/>
        <w:rPr>
          <w:sz w:val="20"/>
          <w:szCs w:val="20"/>
          <w:color w:val="auto"/>
        </w:rPr>
      </w:pPr>
    </w:p>
    <w:p>
      <w:pPr>
        <w:sectPr>
          <w:pgSz w:w="11900" w:h="16838" w:orient="portrait"/>
          <w:cols w:equalWidth="0" w:num="2">
            <w:col w:w="1920" w:space="260"/>
            <w:col w:w="7240"/>
          </w:cols>
          <w:pgMar w:left="1200" w:top="48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color w:val="008861"/>
        </w:rPr>
        <w:t>|</w:t>
      </w:r>
      <w:r>
        <w:rPr>
          <w:rFonts w:ascii="Arial" w:cs="Arial" w:eastAsia="Arial" w:hAnsi="Arial"/>
          <w:sz w:val="16"/>
          <w:szCs w:val="16"/>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20"/>
          </w:cols>
          <w:pgMar w:left="1200" w:top="487" w:right="127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B1B4B6"/>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60090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40"/>
          <w:szCs w:val="40"/>
          <w:color w:val="auto"/>
        </w:rPr>
        <w:t>PROPOSAL NO. 2:</w:t>
      </w:r>
    </w:p>
    <w:p>
      <w:pPr>
        <w:spacing w:after="0" w:line="50" w:lineRule="exact"/>
        <w:rPr>
          <w:sz w:val="20"/>
          <w:szCs w:val="20"/>
          <w:color w:val="auto"/>
        </w:rPr>
      </w:pPr>
    </w:p>
    <w:p>
      <w:pPr>
        <w:ind w:right="680"/>
        <w:spacing w:after="0" w:line="258" w:lineRule="auto"/>
        <w:rPr>
          <w:sz w:val="20"/>
          <w:szCs w:val="20"/>
          <w:color w:val="auto"/>
        </w:rPr>
      </w:pPr>
      <w:r>
        <w:rPr>
          <w:rFonts w:ascii="Arial" w:cs="Arial" w:eastAsia="Arial" w:hAnsi="Arial"/>
          <w:sz w:val="45"/>
          <w:szCs w:val="45"/>
          <w:b w:val="1"/>
          <w:bCs w:val="1"/>
          <w:color w:val="auto"/>
        </w:rPr>
        <w:t>NON-BINDING, ADVISORY VOTE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478790" cy="641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8790" cy="6413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Pursuant to Section 14A(a)(1) of the Exchange Act, we are providing stockholders with the opportunity to approve the following non-binding, advisory resolution:</w:t>
      </w:r>
    </w:p>
    <w:p>
      <w:pPr>
        <w:spacing w:after="0" w:line="151" w:lineRule="exact"/>
        <w:rPr>
          <w:sz w:val="20"/>
          <w:szCs w:val="20"/>
          <w:color w:val="auto"/>
        </w:rPr>
      </w:pPr>
    </w:p>
    <w:p>
      <w:pPr>
        <w:ind w:left="340" w:right="44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that the compensation paid to the Company’s named executive officers, as disclosed in this Proxy Statement pursuant to the Item 402 of Regulation S-K, including the Compensation Discussion and Analysis, compensation tables and narrative discussion, is hereby APPROVED.”</w:t>
      </w:r>
    </w:p>
    <w:p>
      <w:pPr>
        <w:spacing w:after="0" w:line="16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asking our stockholders to indicate their support for the resolution approving our named executive officers’ compensation as described in this Proxy Statement. This advisory vote is commonly referred to as “say-on-pay.” This vote is not limited to any specific item of compensation but rather addresses the overall compensation of our named executive officers and our philosophy, policies and practices relating to their compensation as described in this Proxy Statement in accordance with the SEC’s compensation disclosure rules. Please see “Compensation Discussion and Analysis” in this Proxy Statement for additional details about our executive compensation programs, including information about the compensation of our named executive officers for 2024.</w:t>
      </w:r>
    </w:p>
    <w:p>
      <w:pPr>
        <w:spacing w:after="0" w:line="172"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The resolution approving the compensation of our named executive officers is advisory and, therefore, will not have any binding legal effect on the Company, our Board or the Compensation Committee. Our Board and the Compensation Committee value the opinions of our stockholders and intend to take the results of the vote on this proposal into account in future decisions regarding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115570</wp:posOffset>
            </wp:positionV>
            <wp:extent cx="6009005" cy="4146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09005" cy="414655"/>
                    </a:xfrm>
                    <a:prstGeom prst="rect">
                      <a:avLst/>
                    </a:prstGeom>
                    <a:noFill/>
                  </pic:spPr>
                </pic:pic>
              </a:graphicData>
            </a:graphic>
          </wp:anchor>
        </w:drawing>
      </w:r>
    </w:p>
    <w:p>
      <w:pPr>
        <w:spacing w:after="0" w:line="284" w:lineRule="exact"/>
        <w:rPr>
          <w:sz w:val="20"/>
          <w:szCs w:val="20"/>
          <w:color w:val="auto"/>
        </w:rPr>
      </w:pPr>
    </w:p>
    <w:p>
      <w:pPr>
        <w:ind w:left="960" w:right="640"/>
        <w:spacing w:after="0" w:line="263" w:lineRule="auto"/>
        <w:rPr>
          <w:sz w:val="20"/>
          <w:szCs w:val="20"/>
          <w:color w:val="auto"/>
        </w:rPr>
      </w:pPr>
      <w:r>
        <w:rPr>
          <w:rFonts w:ascii="Arial" w:cs="Arial" w:eastAsia="Arial" w:hAnsi="Arial"/>
          <w:sz w:val="17"/>
          <w:szCs w:val="17"/>
          <w:color w:val="auto"/>
        </w:rPr>
        <w:t>Our Board of Directors Recommends a Vote “</w:t>
      </w:r>
      <w:r>
        <w:rPr>
          <w:rFonts w:ascii="Arial" w:cs="Arial" w:eastAsia="Arial" w:hAnsi="Arial"/>
          <w:sz w:val="17"/>
          <w:szCs w:val="17"/>
          <w:b w:val="1"/>
          <w:bCs w:val="1"/>
          <w:color w:val="008861"/>
        </w:rPr>
        <w:t>FOR</w:t>
      </w:r>
      <w:r>
        <w:rPr>
          <w:rFonts w:ascii="Arial" w:cs="Arial" w:eastAsia="Arial" w:hAnsi="Arial"/>
          <w:sz w:val="17"/>
          <w:szCs w:val="17"/>
          <w:color w:val="auto"/>
        </w:rPr>
        <w:t>” Approval, on a Non-binding, Advisory Basis, of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40"/>
          <w:szCs w:val="40"/>
          <w:color w:val="auto"/>
        </w:rPr>
        <w:t>HUMAN CAPITAL AND COMPENSATION</w:t>
      </w:r>
    </w:p>
    <w:p>
      <w:pPr>
        <w:spacing w:after="0" w:line="50"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194945</wp:posOffset>
            </wp:positionV>
            <wp:extent cx="478790" cy="641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8790" cy="6413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Compensation Committee of our Board of Directors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Respectfully submitted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131445</wp:posOffset>
            </wp:positionV>
            <wp:extent cx="6009005"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436"/>
        </w:trPr>
        <w:tc>
          <w:tcPr>
            <w:tcW w:w="2080" w:type="dxa"/>
            <w:vAlign w:val="bottom"/>
            <w:shd w:val="clear" w:color="auto" w:fill="DBDFEA"/>
          </w:tcPr>
          <w:p>
            <w:pPr>
              <w:ind w:left="300"/>
              <w:spacing w:after="0"/>
              <w:rPr>
                <w:sz w:val="20"/>
                <w:szCs w:val="20"/>
                <w:color w:val="auto"/>
              </w:rPr>
            </w:pPr>
            <w:r>
              <w:rPr>
                <w:rFonts w:ascii="Arial" w:cs="Arial" w:eastAsia="Arial" w:hAnsi="Arial"/>
                <w:sz w:val="16"/>
                <w:szCs w:val="16"/>
                <w:b w:val="1"/>
                <w:bCs w:val="1"/>
                <w:color w:val="001544"/>
              </w:rPr>
              <w:t>James Keith Brown</w:t>
            </w:r>
          </w:p>
        </w:tc>
        <w:tc>
          <w:tcPr>
            <w:tcW w:w="200" w:type="dxa"/>
            <w:vAlign w:val="bottom"/>
            <w:tcBorders>
              <w:right w:val="single" w:sz="8" w:color="008861"/>
            </w:tcBorders>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shd w:val="clear" w:color="auto" w:fill="DBDFEA"/>
          </w:tcPr>
          <w:p>
            <w:pPr>
              <w:jc w:val="center"/>
              <w:spacing w:after="0"/>
              <w:rPr>
                <w:sz w:val="20"/>
                <w:szCs w:val="20"/>
                <w:color w:val="auto"/>
              </w:rPr>
            </w:pPr>
            <w:r>
              <w:rPr>
                <w:rFonts w:ascii="Arial" w:cs="Arial" w:eastAsia="Arial" w:hAnsi="Arial"/>
                <w:sz w:val="16"/>
                <w:szCs w:val="16"/>
                <w:b w:val="1"/>
                <w:bCs w:val="1"/>
                <w:color w:val="001544"/>
                <w:w w:val="97"/>
              </w:rPr>
              <w:t>Jeannie H.</w:t>
            </w:r>
          </w:p>
        </w:tc>
        <w:tc>
          <w:tcPr>
            <w:tcW w:w="200" w:type="dxa"/>
            <w:vAlign w:val="bottom"/>
            <w:tcBorders>
              <w:right w:val="single" w:sz="8" w:color="008861"/>
            </w:tcBorders>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shd w:val="clear" w:color="auto" w:fill="DBDFEA"/>
          </w:tcPr>
          <w:p>
            <w:pPr>
              <w:jc w:val="center"/>
              <w:spacing w:after="0"/>
              <w:rPr>
                <w:sz w:val="20"/>
                <w:szCs w:val="20"/>
                <w:color w:val="auto"/>
              </w:rPr>
            </w:pPr>
            <w:r>
              <w:rPr>
                <w:rFonts w:ascii="Arial" w:cs="Arial" w:eastAsia="Arial" w:hAnsi="Arial"/>
                <w:sz w:val="16"/>
                <w:szCs w:val="16"/>
                <w:b w:val="1"/>
                <w:bCs w:val="1"/>
                <w:color w:val="001544"/>
                <w:w w:val="99"/>
              </w:rPr>
              <w:t>Gregory J. McCray</w:t>
            </w:r>
          </w:p>
        </w:tc>
        <w:tc>
          <w:tcPr>
            <w:tcW w:w="180" w:type="dxa"/>
            <w:vAlign w:val="bottom"/>
            <w:tcBorders>
              <w:right w:val="single" w:sz="8" w:color="008861"/>
            </w:tcBorders>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shd w:val="clear" w:color="auto" w:fill="DBDFEA"/>
          </w:tcPr>
          <w:p>
            <w:pPr>
              <w:ind w:left="580"/>
              <w:spacing w:after="0"/>
              <w:rPr>
                <w:sz w:val="20"/>
                <w:szCs w:val="20"/>
                <w:color w:val="auto"/>
              </w:rPr>
            </w:pPr>
            <w:r>
              <w:rPr>
                <w:rFonts w:ascii="Arial" w:cs="Arial" w:eastAsia="Arial" w:hAnsi="Arial"/>
                <w:sz w:val="16"/>
                <w:szCs w:val="16"/>
                <w:b w:val="1"/>
                <w:bCs w:val="1"/>
                <w:color w:val="001544"/>
              </w:rPr>
              <w:t>Ian Schapiro</w:t>
            </w:r>
          </w:p>
        </w:tc>
      </w:tr>
      <w:tr>
        <w:trPr>
          <w:trHeight w:val="218"/>
        </w:trPr>
        <w:tc>
          <w:tcPr>
            <w:tcW w:w="2080" w:type="dxa"/>
            <w:vAlign w:val="bottom"/>
            <w:shd w:val="clear" w:color="auto" w:fill="DBDFEA"/>
          </w:tcPr>
          <w:p>
            <w:pPr>
              <w:spacing w:after="0"/>
              <w:rPr>
                <w:sz w:val="18"/>
                <w:szCs w:val="18"/>
                <w:color w:val="auto"/>
              </w:rPr>
            </w:pPr>
          </w:p>
        </w:tc>
        <w:tc>
          <w:tcPr>
            <w:tcW w:w="200" w:type="dxa"/>
            <w:vAlign w:val="bottom"/>
            <w:tcBorders>
              <w:right w:val="single" w:sz="8" w:color="008861"/>
            </w:tcBorders>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shd w:val="clear" w:color="auto" w:fill="DBDFEA"/>
          </w:tcPr>
          <w:p>
            <w:pPr>
              <w:jc w:val="center"/>
              <w:spacing w:after="0"/>
              <w:rPr>
                <w:sz w:val="20"/>
                <w:szCs w:val="20"/>
                <w:color w:val="auto"/>
              </w:rPr>
            </w:pPr>
            <w:r>
              <w:rPr>
                <w:rFonts w:ascii="Arial" w:cs="Arial" w:eastAsia="Arial" w:hAnsi="Arial"/>
                <w:sz w:val="16"/>
                <w:szCs w:val="16"/>
                <w:b w:val="1"/>
                <w:bCs w:val="1"/>
                <w:color w:val="001544"/>
                <w:w w:val="99"/>
              </w:rPr>
              <w:t>Diefenderfer</w:t>
            </w:r>
          </w:p>
        </w:tc>
        <w:tc>
          <w:tcPr>
            <w:tcW w:w="200" w:type="dxa"/>
            <w:vAlign w:val="bottom"/>
            <w:tcBorders>
              <w:right w:val="single" w:sz="8" w:color="008861"/>
            </w:tcBorders>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shd w:val="clear" w:color="auto" w:fill="DBDFEA"/>
          </w:tcPr>
          <w:p>
            <w:pPr>
              <w:jc w:val="center"/>
              <w:spacing w:after="0"/>
              <w:rPr>
                <w:sz w:val="20"/>
                <w:szCs w:val="20"/>
                <w:color w:val="auto"/>
              </w:rPr>
            </w:pPr>
            <w:r>
              <w:rPr>
                <w:rFonts w:ascii="Arial" w:cs="Arial" w:eastAsia="Arial" w:hAnsi="Arial"/>
                <w:sz w:val="16"/>
                <w:szCs w:val="16"/>
                <w:i w:val="1"/>
                <w:iCs w:val="1"/>
                <w:color w:val="auto"/>
              </w:rPr>
              <w:t>Chairperson</w:t>
            </w:r>
          </w:p>
        </w:tc>
        <w:tc>
          <w:tcPr>
            <w:tcW w:w="180" w:type="dxa"/>
            <w:vAlign w:val="bottom"/>
            <w:tcBorders>
              <w:right w:val="single" w:sz="8" w:color="008861"/>
            </w:tcBorders>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shd w:val="clear" w:color="auto" w:fill="DBDFEA"/>
          </w:tcPr>
          <w:p>
            <w:pPr>
              <w:spacing w:after="0"/>
              <w:rPr>
                <w:sz w:val="18"/>
                <w:szCs w:val="18"/>
                <w:color w:val="auto"/>
              </w:rPr>
            </w:pPr>
          </w:p>
        </w:tc>
      </w:tr>
      <w:tr>
        <w:trPr>
          <w:trHeight w:val="55"/>
        </w:trPr>
        <w:tc>
          <w:tcPr>
            <w:tcW w:w="2080" w:type="dxa"/>
            <w:vAlign w:val="bottom"/>
            <w:shd w:val="clear" w:color="auto" w:fill="DBDFEA"/>
          </w:tcPr>
          <w:p>
            <w:pPr>
              <w:spacing w:after="0"/>
              <w:rPr>
                <w:sz w:val="4"/>
                <w:szCs w:val="4"/>
                <w:color w:val="auto"/>
              </w:rPr>
            </w:pPr>
          </w:p>
        </w:tc>
        <w:tc>
          <w:tcPr>
            <w:tcW w:w="200" w:type="dxa"/>
            <w:vAlign w:val="bottom"/>
            <w:tcBorders>
              <w:right w:val="single" w:sz="8" w:color="008861"/>
            </w:tcBorders>
          </w:tcPr>
          <w:p>
            <w:pPr>
              <w:spacing w:after="0"/>
              <w:rPr>
                <w:sz w:val="4"/>
                <w:szCs w:val="4"/>
                <w:color w:val="auto"/>
              </w:rPr>
            </w:pPr>
          </w:p>
        </w:tc>
        <w:tc>
          <w:tcPr>
            <w:tcW w:w="160" w:type="dxa"/>
            <w:vAlign w:val="bottom"/>
          </w:tcPr>
          <w:p>
            <w:pPr>
              <w:spacing w:after="0"/>
              <w:rPr>
                <w:sz w:val="4"/>
                <w:szCs w:val="4"/>
                <w:color w:val="auto"/>
              </w:rPr>
            </w:pPr>
          </w:p>
        </w:tc>
        <w:tc>
          <w:tcPr>
            <w:tcW w:w="2100" w:type="dxa"/>
            <w:vAlign w:val="bottom"/>
            <w:shd w:val="clear" w:color="auto" w:fill="DBDFEA"/>
          </w:tcPr>
          <w:p>
            <w:pPr>
              <w:spacing w:after="0"/>
              <w:rPr>
                <w:sz w:val="4"/>
                <w:szCs w:val="4"/>
                <w:color w:val="auto"/>
              </w:rPr>
            </w:pPr>
          </w:p>
        </w:tc>
        <w:tc>
          <w:tcPr>
            <w:tcW w:w="200" w:type="dxa"/>
            <w:vAlign w:val="bottom"/>
            <w:tcBorders>
              <w:right w:val="single" w:sz="8" w:color="008861"/>
            </w:tcBorders>
          </w:tcPr>
          <w:p>
            <w:pPr>
              <w:spacing w:after="0"/>
              <w:rPr>
                <w:sz w:val="4"/>
                <w:szCs w:val="4"/>
                <w:color w:val="auto"/>
              </w:rPr>
            </w:pPr>
          </w:p>
        </w:tc>
        <w:tc>
          <w:tcPr>
            <w:tcW w:w="160" w:type="dxa"/>
            <w:vAlign w:val="bottom"/>
          </w:tcPr>
          <w:p>
            <w:pPr>
              <w:spacing w:after="0"/>
              <w:rPr>
                <w:sz w:val="4"/>
                <w:szCs w:val="4"/>
                <w:color w:val="auto"/>
              </w:rPr>
            </w:pPr>
          </w:p>
        </w:tc>
        <w:tc>
          <w:tcPr>
            <w:tcW w:w="2100" w:type="dxa"/>
            <w:vAlign w:val="bottom"/>
            <w:shd w:val="clear" w:color="auto" w:fill="DBDFEA"/>
          </w:tcPr>
          <w:p>
            <w:pPr>
              <w:spacing w:after="0"/>
              <w:rPr>
                <w:sz w:val="4"/>
                <w:szCs w:val="4"/>
                <w:color w:val="auto"/>
              </w:rPr>
            </w:pPr>
          </w:p>
        </w:tc>
        <w:tc>
          <w:tcPr>
            <w:tcW w:w="180" w:type="dxa"/>
            <w:vAlign w:val="bottom"/>
            <w:tcBorders>
              <w:right w:val="single" w:sz="8" w:color="008861"/>
            </w:tcBorders>
          </w:tcPr>
          <w:p>
            <w:pPr>
              <w:spacing w:after="0"/>
              <w:rPr>
                <w:sz w:val="4"/>
                <w:szCs w:val="4"/>
                <w:color w:val="auto"/>
              </w:rPr>
            </w:pPr>
          </w:p>
        </w:tc>
        <w:tc>
          <w:tcPr>
            <w:tcW w:w="160" w:type="dxa"/>
            <w:vAlign w:val="bottom"/>
          </w:tcPr>
          <w:p>
            <w:pPr>
              <w:spacing w:after="0"/>
              <w:rPr>
                <w:sz w:val="4"/>
                <w:szCs w:val="4"/>
                <w:color w:val="auto"/>
              </w:rPr>
            </w:pPr>
          </w:p>
        </w:tc>
        <w:tc>
          <w:tcPr>
            <w:tcW w:w="2120" w:type="dxa"/>
            <w:vAlign w:val="bottom"/>
            <w:shd w:val="clear" w:color="auto" w:fill="DBDFEA"/>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-1044575</wp:posOffset>
            </wp:positionV>
            <wp:extent cx="718185" cy="7181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185" cy="71818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-1044575</wp:posOffset>
            </wp:positionV>
            <wp:extent cx="726440" cy="7340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440" cy="7340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-1044575</wp:posOffset>
            </wp:positionV>
            <wp:extent cx="726440" cy="7340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440" cy="734060"/>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-1044575</wp:posOffset>
            </wp:positionV>
            <wp:extent cx="734060" cy="7340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4060" cy="734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30 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40"/>
          <w:szCs w:val="40"/>
          <w:color w:val="auto"/>
        </w:rPr>
        <w:t>COMPENSATION</w:t>
      </w:r>
    </w:p>
    <w:p>
      <w:pPr>
        <w:spacing w:after="0" w:line="50"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194945</wp:posOffset>
            </wp:positionV>
            <wp:extent cx="478790" cy="641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8790" cy="6413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This Compensation Discussion and Analysis section discusses the compensation of our named executive officers (NEOs)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450" w:type="dxa"/>
            <w:vAlign w:val="bottom"/>
            <w:tcBorders>
              <w:bottom w:val="single" w:sz="8" w:color="001544"/>
            </w:tcBorders>
          </w:tcPr>
          <w:p>
            <w:pPr>
              <w:ind w:left="80"/>
              <w:spacing w:after="0"/>
              <w:rPr>
                <w:sz w:val="20"/>
                <w:szCs w:val="20"/>
                <w:color w:val="auto"/>
              </w:rPr>
            </w:pPr>
            <w:r>
              <w:rPr>
                <w:rFonts w:ascii="Arial" w:cs="Arial" w:eastAsia="Arial" w:hAnsi="Arial"/>
                <w:sz w:val="16"/>
                <w:szCs w:val="16"/>
                <w:b w:val="1"/>
                <w:bCs w:val="1"/>
                <w:color w:val="001544"/>
              </w:rPr>
              <w:t>Name</w:t>
            </w:r>
          </w:p>
        </w:tc>
        <w:tc>
          <w:tcPr>
            <w:tcW w:w="7010" w:type="dxa"/>
            <w:vAlign w:val="bottom"/>
            <w:tcBorders>
              <w:bottom w:val="single" w:sz="8" w:color="001544"/>
            </w:tcBorders>
          </w:tcPr>
          <w:p>
            <w:pPr>
              <w:ind w:left="90"/>
              <w:spacing w:after="0"/>
              <w:rPr>
                <w:sz w:val="20"/>
                <w:szCs w:val="20"/>
                <w:color w:val="auto"/>
              </w:rPr>
            </w:pPr>
            <w:r>
              <w:rPr>
                <w:rFonts w:ascii="Arial" w:cs="Arial" w:eastAsia="Arial" w:hAnsi="Arial"/>
                <w:sz w:val="16"/>
                <w:szCs w:val="16"/>
                <w:b w:val="1"/>
                <w:bCs w:val="1"/>
                <w:color w:val="001544"/>
              </w:rPr>
              <w:t>Position</w:t>
            </w:r>
          </w:p>
        </w:tc>
      </w:tr>
      <w:tr>
        <w:trPr>
          <w:trHeight w:val="281"/>
        </w:trPr>
        <w:tc>
          <w:tcPr>
            <w:tcW w:w="245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6"/>
                <w:szCs w:val="16"/>
                <w:color w:val="auto"/>
              </w:rPr>
              <w:t>Marc C. Ganzi</w:t>
            </w:r>
          </w:p>
        </w:tc>
        <w:tc>
          <w:tcPr>
            <w:tcW w:w="7010" w:type="dxa"/>
            <w:vAlign w:val="bottom"/>
            <w:tcBorders>
              <w:bottom w:val="single" w:sz="8" w:color="DBDFEA"/>
            </w:tcBorders>
            <w:shd w:val="clear" w:color="auto" w:fill="DBDFEA"/>
          </w:tcPr>
          <w:p>
            <w:pPr>
              <w:ind w:left="90"/>
              <w:spacing w:after="0"/>
              <w:rPr>
                <w:sz w:val="20"/>
                <w:szCs w:val="20"/>
                <w:color w:val="auto"/>
              </w:rPr>
            </w:pPr>
            <w:r>
              <w:rPr>
                <w:rFonts w:ascii="Arial" w:cs="Arial" w:eastAsia="Arial" w:hAnsi="Arial"/>
                <w:sz w:val="16"/>
                <w:szCs w:val="16"/>
                <w:color w:val="auto"/>
              </w:rPr>
              <w:t>Chief Executive Officer</w:t>
            </w:r>
          </w:p>
        </w:tc>
      </w:tr>
      <w:tr>
        <w:trPr>
          <w:trHeight w:val="274"/>
        </w:trPr>
        <w:tc>
          <w:tcPr>
            <w:tcW w:w="2450" w:type="dxa"/>
            <w:vAlign w:val="bottom"/>
            <w:tcBorders>
              <w:top w:val="single" w:sz="8" w:color="001544"/>
              <w:bottom w:val="single" w:sz="8" w:color="DBDFEA"/>
            </w:tcBorders>
            <w:shd w:val="clear" w:color="auto" w:fill="DBDFEA"/>
          </w:tcPr>
          <w:p>
            <w:pPr>
              <w:ind w:left="80"/>
              <w:spacing w:after="0"/>
              <w:rPr>
                <w:sz w:val="20"/>
                <w:szCs w:val="20"/>
                <w:color w:val="auto"/>
              </w:rPr>
            </w:pPr>
            <w:r>
              <w:rPr>
                <w:rFonts w:ascii="Arial" w:cs="Arial" w:eastAsia="Arial" w:hAnsi="Arial"/>
                <w:sz w:val="16"/>
                <w:szCs w:val="16"/>
                <w:color w:val="auto"/>
              </w:rPr>
              <w:t>Benjamin J. Jenkins</w:t>
            </w:r>
          </w:p>
        </w:tc>
        <w:tc>
          <w:tcPr>
            <w:tcW w:w="7010" w:type="dxa"/>
            <w:vAlign w:val="bottom"/>
            <w:tcBorders>
              <w:top w:val="single" w:sz="8" w:color="001544"/>
              <w:bottom w:val="single" w:sz="8" w:color="DBDFEA"/>
            </w:tcBorders>
            <w:shd w:val="clear" w:color="auto" w:fill="DBDFEA"/>
          </w:tcPr>
          <w:p>
            <w:pPr>
              <w:ind w:left="90"/>
              <w:spacing w:after="0"/>
              <w:rPr>
                <w:sz w:val="20"/>
                <w:szCs w:val="20"/>
                <w:color w:val="auto"/>
              </w:rPr>
            </w:pPr>
            <w:r>
              <w:rPr>
                <w:rFonts w:ascii="Arial" w:cs="Arial" w:eastAsia="Arial" w:hAnsi="Arial"/>
                <w:sz w:val="16"/>
                <w:szCs w:val="16"/>
                <w:color w:val="auto"/>
              </w:rPr>
              <w:t>President and Chief Investment Officer</w:t>
            </w:r>
          </w:p>
        </w:tc>
      </w:tr>
      <w:tr>
        <w:trPr>
          <w:trHeight w:val="274"/>
        </w:trPr>
        <w:tc>
          <w:tcPr>
            <w:tcW w:w="2450" w:type="dxa"/>
            <w:vAlign w:val="bottom"/>
            <w:tcBorders>
              <w:top w:val="single" w:sz="8" w:color="001544"/>
              <w:bottom w:val="single" w:sz="8" w:color="DBDFEA"/>
            </w:tcBorders>
            <w:shd w:val="clear" w:color="auto" w:fill="DBDFEA"/>
          </w:tcPr>
          <w:p>
            <w:pPr>
              <w:ind w:left="80"/>
              <w:spacing w:after="0"/>
              <w:rPr>
                <w:sz w:val="20"/>
                <w:szCs w:val="20"/>
                <w:color w:val="auto"/>
              </w:rPr>
            </w:pPr>
            <w:r>
              <w:rPr>
                <w:rFonts w:ascii="Arial" w:cs="Arial" w:eastAsia="Arial" w:hAnsi="Arial"/>
                <w:sz w:val="16"/>
                <w:szCs w:val="16"/>
                <w:color w:val="auto"/>
              </w:rPr>
              <w:t>Thomas Mayrhofer</w:t>
            </w:r>
          </w:p>
        </w:tc>
        <w:tc>
          <w:tcPr>
            <w:tcW w:w="7010" w:type="dxa"/>
            <w:vAlign w:val="bottom"/>
            <w:tcBorders>
              <w:top w:val="single" w:sz="8" w:color="001544"/>
              <w:bottom w:val="single" w:sz="8" w:color="DBDFEA"/>
            </w:tcBorders>
            <w:shd w:val="clear" w:color="auto" w:fill="DBDFEA"/>
          </w:tcPr>
          <w:p>
            <w:pPr>
              <w:ind w:left="90"/>
              <w:spacing w:after="0"/>
              <w:rPr>
                <w:sz w:val="20"/>
                <w:szCs w:val="20"/>
                <w:color w:val="auto"/>
              </w:rPr>
            </w:pPr>
            <w:r>
              <w:rPr>
                <w:rFonts w:ascii="Arial" w:cs="Arial" w:eastAsia="Arial" w:hAnsi="Arial"/>
                <w:sz w:val="16"/>
                <w:szCs w:val="16"/>
                <w:color w:val="auto"/>
              </w:rPr>
              <w:t>Chief Financial Officer and Treasurer</w:t>
            </w:r>
          </w:p>
        </w:tc>
      </w:tr>
      <w:tr>
        <w:trPr>
          <w:trHeight w:val="274"/>
        </w:trPr>
        <w:tc>
          <w:tcPr>
            <w:tcW w:w="2450" w:type="dxa"/>
            <w:vAlign w:val="bottom"/>
            <w:tcBorders>
              <w:top w:val="single" w:sz="8" w:color="001544"/>
              <w:bottom w:val="single" w:sz="8" w:color="DBDFEA"/>
            </w:tcBorders>
            <w:shd w:val="clear" w:color="auto" w:fill="DBDFEA"/>
          </w:tcPr>
          <w:p>
            <w:pPr>
              <w:ind w:left="80"/>
              <w:spacing w:after="0"/>
              <w:rPr>
                <w:sz w:val="20"/>
                <w:szCs w:val="20"/>
                <w:color w:val="auto"/>
              </w:rPr>
            </w:pPr>
            <w:r>
              <w:rPr>
                <w:rFonts w:ascii="Arial" w:cs="Arial" w:eastAsia="Arial" w:hAnsi="Arial"/>
                <w:sz w:val="16"/>
                <w:szCs w:val="16"/>
                <w:color w:val="auto"/>
              </w:rPr>
              <w:t>Geoffrey Goldschein</w:t>
            </w:r>
          </w:p>
        </w:tc>
        <w:tc>
          <w:tcPr>
            <w:tcW w:w="7010" w:type="dxa"/>
            <w:vAlign w:val="bottom"/>
            <w:tcBorders>
              <w:top w:val="single" w:sz="8" w:color="001544"/>
              <w:bottom w:val="single" w:sz="8" w:color="DBDFEA"/>
            </w:tcBorders>
            <w:shd w:val="clear" w:color="auto" w:fill="DBDFEA"/>
          </w:tcPr>
          <w:p>
            <w:pPr>
              <w:ind w:left="90"/>
              <w:spacing w:after="0"/>
              <w:rPr>
                <w:sz w:val="20"/>
                <w:szCs w:val="20"/>
                <w:color w:val="auto"/>
              </w:rPr>
            </w:pPr>
            <w:r>
              <w:rPr>
                <w:rFonts w:ascii="Arial" w:cs="Arial" w:eastAsia="Arial" w:hAnsi="Arial"/>
                <w:sz w:val="16"/>
                <w:szCs w:val="16"/>
                <w:color w:val="auto"/>
              </w:rPr>
              <w:t>Chief Legal Officer and Secretary</w:t>
            </w:r>
          </w:p>
        </w:tc>
      </w:tr>
      <w:tr>
        <w:trPr>
          <w:trHeight w:val="249"/>
        </w:trPr>
        <w:tc>
          <w:tcPr>
            <w:tcW w:w="2450" w:type="dxa"/>
            <w:vAlign w:val="bottom"/>
            <w:tcBorders>
              <w:top w:val="single" w:sz="8" w:color="001544"/>
              <w:bottom w:val="single" w:sz="8" w:color="DBDFEA"/>
            </w:tcBorders>
            <w:shd w:val="clear" w:color="auto" w:fill="DBDFEA"/>
          </w:tcPr>
          <w:p>
            <w:pPr>
              <w:ind w:left="80"/>
              <w:spacing w:after="0"/>
              <w:rPr>
                <w:sz w:val="20"/>
                <w:szCs w:val="20"/>
                <w:color w:val="auto"/>
              </w:rPr>
            </w:pPr>
            <w:r>
              <w:rPr>
                <w:rFonts w:ascii="Arial" w:cs="Arial" w:eastAsia="Arial" w:hAnsi="Arial"/>
                <w:sz w:val="16"/>
                <w:szCs w:val="16"/>
                <w:color w:val="auto"/>
              </w:rPr>
              <w:t>Liam Stewart</w:t>
            </w:r>
          </w:p>
        </w:tc>
        <w:tc>
          <w:tcPr>
            <w:tcW w:w="7010" w:type="dxa"/>
            <w:vAlign w:val="bottom"/>
            <w:tcBorders>
              <w:top w:val="single" w:sz="8" w:color="001544"/>
              <w:bottom w:val="single" w:sz="8" w:color="DBDFEA"/>
            </w:tcBorders>
            <w:shd w:val="clear" w:color="auto" w:fill="DBDFEA"/>
          </w:tcPr>
          <w:p>
            <w:pPr>
              <w:ind w:left="90"/>
              <w:spacing w:after="0"/>
              <w:rPr>
                <w:sz w:val="20"/>
                <w:szCs w:val="20"/>
                <w:color w:val="auto"/>
              </w:rPr>
            </w:pPr>
            <w:r>
              <w:rPr>
                <w:rFonts w:ascii="Arial" w:cs="Arial" w:eastAsia="Arial" w:hAnsi="Arial"/>
                <w:sz w:val="16"/>
                <w:szCs w:val="16"/>
                <w:color w:val="auto"/>
              </w:rPr>
              <w:t>Chief Operating Officer</w:t>
            </w:r>
          </w:p>
        </w:tc>
      </w:tr>
      <w:tr>
        <w:trPr>
          <w:trHeight w:val="20"/>
        </w:trPr>
        <w:tc>
          <w:tcPr>
            <w:tcW w:w="2450" w:type="dxa"/>
            <w:vAlign w:val="bottom"/>
            <w:shd w:val="clear" w:color="auto" w:fill="001544"/>
          </w:tcPr>
          <w:p>
            <w:pPr>
              <w:spacing w:after="0" w:line="20" w:lineRule="exact"/>
              <w:rPr>
                <w:sz w:val="1"/>
                <w:szCs w:val="1"/>
                <w:color w:val="auto"/>
              </w:rPr>
            </w:pPr>
          </w:p>
        </w:tc>
        <w:tc>
          <w:tcPr>
            <w:tcW w:w="7010" w:type="dxa"/>
            <w:vAlign w:val="bottom"/>
            <w:shd w:val="clear" w:color="auto" w:fill="001544"/>
          </w:tcPr>
          <w:p>
            <w:pPr>
              <w:spacing w:after="0" w:line="20" w:lineRule="exact"/>
              <w:rPr>
                <w:sz w:val="1"/>
                <w:szCs w:val="1"/>
                <w:color w:val="auto"/>
              </w:rPr>
            </w:pPr>
          </w:p>
        </w:tc>
      </w:tr>
    </w:tbl>
    <w:p>
      <w:pPr>
        <w:spacing w:after="0" w:line="17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This Compensation Discussion and Analysis section also discusses the compensation of Jacky Wu, our former Executive Vice President, Chief Financial Officer and Treasurer, who is an NEO for 2024 but was no longer employed as of December 31, 2024. For a discussion of Mr. Wu’s 2024 compensation, see “Employment Agreements with Other Named Executive Officers—Jacky Wu”.</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 xml:space="preserve">DIGITALBRIDGE  2025 PROXY STATEMENT  </w:t>
      </w:r>
      <w:r>
        <w:rPr>
          <w:rFonts w:ascii="Arial" w:cs="Arial" w:eastAsia="Arial" w:hAnsi="Arial"/>
          <w:sz w:val="17"/>
          <w:szCs w:val="17"/>
          <w:color w:val="008861"/>
        </w:rPr>
        <w:t>|</w:t>
      </w:r>
      <w:r>
        <w:rPr>
          <w:rFonts w:ascii="Arial" w:cs="Arial" w:eastAsia="Arial" w:hAnsi="Arial"/>
          <w:sz w:val="17"/>
          <w:szCs w:val="17"/>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35"/>
          <w:szCs w:val="35"/>
          <w:color w:val="001544"/>
        </w:rPr>
        <w:t>Executive Compensation Program</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Pay for Performance Philosophy and Program Objectives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008861"/>
        </w:rPr>
        <w:t>OUR PHILOSOPHY</w:t>
      </w:r>
    </w:p>
    <w:p>
      <w:pPr>
        <w:spacing w:after="0" w:line="199"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The primary goal of our executive compensation program is to align the interests of our executive officers with those of our stockholders and investors in the funds we manage in a way that allows us to attract and retain the best executive talent to grow our business. Our executive compensation program contains elements that are designed to strengthen the link between pay and performance and to discourage excessive risk-taking. The elements of our executive compensation program include base salaries, cash bonuses, equity awards and performance fee allocations in our managed funds and investment vehicles, which is consistent with our peers in the alternative asset management industry.</w:t>
      </w:r>
    </w:p>
    <w:p>
      <w:pPr>
        <w:spacing w:after="0" w:line="14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regularly benchmark our performance and compensation against our peers, taking into consideration market capitalization and complexity as indicated by revenues and other factors, to set target levels of compensation and determine the value and level of award opportunities. We focus on creating variable pay structures, emphasizing long-term compensation directly related to our stock price, relative TSR and other strategic and financial objectives. We also encourage the direct investment of our executive officers in our managed funds and investment vehicles, which is a requirement for our executives to receive performance fee allocations and further aligns the interests of our executive officers with those of stockholders and investors. See “Performance Fees.”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342"/>
        </w:trPr>
        <w:tc>
          <w:tcPr>
            <w:tcW w:w="2220" w:type="dxa"/>
            <w:vAlign w:val="bottom"/>
            <w:shd w:val="clear" w:color="auto" w:fill="001544"/>
          </w:tcPr>
          <w:p>
            <w:pPr>
              <w:ind w:left="60"/>
              <w:spacing w:after="0"/>
              <w:rPr>
                <w:sz w:val="20"/>
                <w:szCs w:val="20"/>
                <w:color w:val="auto"/>
              </w:rPr>
            </w:pPr>
            <w:r>
              <w:rPr>
                <w:rFonts w:ascii="Arial" w:cs="Arial" w:eastAsia="Arial" w:hAnsi="Arial"/>
                <w:sz w:val="23"/>
                <w:szCs w:val="23"/>
                <w:b w:val="1"/>
                <w:bCs w:val="1"/>
                <w:color w:val="FFFFFF"/>
              </w:rPr>
              <w:t>1</w:t>
            </w:r>
          </w:p>
        </w:tc>
        <w:tc>
          <w:tcPr>
            <w:tcW w:w="120" w:type="dxa"/>
            <w:vAlign w:val="bottom"/>
            <w:tcBorders>
              <w:right w:val="single" w:sz="8" w:color="008861"/>
            </w:tcBorders>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shd w:val="clear" w:color="auto" w:fill="001544"/>
          </w:tcPr>
          <w:p>
            <w:pPr>
              <w:ind w:left="80"/>
              <w:spacing w:after="0"/>
              <w:rPr>
                <w:sz w:val="20"/>
                <w:szCs w:val="20"/>
                <w:color w:val="auto"/>
              </w:rPr>
            </w:pPr>
            <w:r>
              <w:rPr>
                <w:rFonts w:ascii="Arial" w:cs="Arial" w:eastAsia="Arial" w:hAnsi="Arial"/>
                <w:sz w:val="23"/>
                <w:szCs w:val="23"/>
                <w:b w:val="1"/>
                <w:bCs w:val="1"/>
                <w:color w:val="FFFFFF"/>
              </w:rPr>
              <w:t>2</w:t>
            </w:r>
          </w:p>
        </w:tc>
        <w:tc>
          <w:tcPr>
            <w:tcW w:w="120" w:type="dxa"/>
            <w:vAlign w:val="bottom"/>
            <w:tcBorders>
              <w:right w:val="single" w:sz="8" w:color="008861"/>
            </w:tcBorders>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shd w:val="clear" w:color="auto" w:fill="001544"/>
          </w:tcPr>
          <w:p>
            <w:pPr>
              <w:ind w:left="80"/>
              <w:spacing w:after="0"/>
              <w:rPr>
                <w:sz w:val="20"/>
                <w:szCs w:val="20"/>
                <w:color w:val="auto"/>
              </w:rPr>
            </w:pPr>
            <w:r>
              <w:rPr>
                <w:rFonts w:ascii="Arial" w:cs="Arial" w:eastAsia="Arial" w:hAnsi="Arial"/>
                <w:sz w:val="23"/>
                <w:szCs w:val="23"/>
                <w:b w:val="1"/>
                <w:bCs w:val="1"/>
                <w:color w:val="FFFFFF"/>
              </w:rPr>
              <w:t>3</w:t>
            </w:r>
          </w:p>
        </w:tc>
        <w:tc>
          <w:tcPr>
            <w:tcW w:w="120" w:type="dxa"/>
            <w:vAlign w:val="bottom"/>
            <w:tcBorders>
              <w:right w:val="single" w:sz="8" w:color="008861"/>
            </w:tcBorders>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shd w:val="clear" w:color="auto" w:fill="001544"/>
          </w:tcPr>
          <w:p>
            <w:pPr>
              <w:ind w:left="60"/>
              <w:spacing w:after="0"/>
              <w:rPr>
                <w:sz w:val="20"/>
                <w:szCs w:val="20"/>
                <w:color w:val="auto"/>
              </w:rPr>
            </w:pPr>
            <w:r>
              <w:rPr>
                <w:rFonts w:ascii="Arial" w:cs="Arial" w:eastAsia="Arial" w:hAnsi="Arial"/>
                <w:sz w:val="23"/>
                <w:szCs w:val="23"/>
                <w:b w:val="1"/>
                <w:bCs w:val="1"/>
                <w:color w:val="FFFFFF"/>
              </w:rPr>
              <w:t>4</w:t>
            </w:r>
          </w:p>
        </w:tc>
        <w:tc>
          <w:tcPr>
            <w:tcW w:w="0" w:type="dxa"/>
            <w:vAlign w:val="bottom"/>
          </w:tcPr>
          <w:p>
            <w:pPr>
              <w:spacing w:after="0"/>
              <w:rPr>
                <w:sz w:val="1"/>
                <w:szCs w:val="1"/>
                <w:color w:val="auto"/>
              </w:rPr>
            </w:pPr>
          </w:p>
        </w:tc>
      </w:tr>
      <w:tr>
        <w:trPr>
          <w:trHeight w:val="600"/>
        </w:trPr>
        <w:tc>
          <w:tcPr>
            <w:tcW w:w="2220" w:type="dxa"/>
            <w:vAlign w:val="bottom"/>
            <w:shd w:val="clear" w:color="auto" w:fill="001544"/>
          </w:tcPr>
          <w:p>
            <w:pPr>
              <w:spacing w:after="0"/>
              <w:rPr>
                <w:sz w:val="24"/>
                <w:szCs w:val="24"/>
                <w:color w:val="auto"/>
              </w:rPr>
            </w:pPr>
          </w:p>
        </w:tc>
        <w:tc>
          <w:tcPr>
            <w:tcW w:w="120" w:type="dxa"/>
            <w:vAlign w:val="bottom"/>
            <w:tcBorders>
              <w:right w:val="single" w:sz="8" w:color="008861"/>
            </w:tcBorders>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shd w:val="clear" w:color="auto" w:fill="001544"/>
          </w:tcPr>
          <w:p>
            <w:pPr>
              <w:spacing w:after="0"/>
              <w:rPr>
                <w:sz w:val="24"/>
                <w:szCs w:val="24"/>
                <w:color w:val="auto"/>
              </w:rPr>
            </w:pPr>
          </w:p>
        </w:tc>
        <w:tc>
          <w:tcPr>
            <w:tcW w:w="120" w:type="dxa"/>
            <w:vAlign w:val="bottom"/>
            <w:tcBorders>
              <w:right w:val="single" w:sz="8" w:color="008861"/>
            </w:tcBorders>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shd w:val="clear" w:color="auto" w:fill="001544"/>
          </w:tcPr>
          <w:p>
            <w:pPr>
              <w:spacing w:after="0"/>
              <w:rPr>
                <w:sz w:val="24"/>
                <w:szCs w:val="24"/>
                <w:color w:val="auto"/>
              </w:rPr>
            </w:pPr>
          </w:p>
        </w:tc>
        <w:tc>
          <w:tcPr>
            <w:tcW w:w="120" w:type="dxa"/>
            <w:vAlign w:val="bottom"/>
            <w:tcBorders>
              <w:right w:val="single" w:sz="8" w:color="008861"/>
            </w:tcBorders>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shd w:val="clear" w:color="auto" w:fill="001544"/>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220" w:type="dxa"/>
            <w:vAlign w:val="bottom"/>
          </w:tcPr>
          <w:p>
            <w:pPr>
              <w:ind w:left="320"/>
              <w:spacing w:after="0"/>
              <w:rPr>
                <w:sz w:val="20"/>
                <w:szCs w:val="20"/>
                <w:color w:val="auto"/>
              </w:rPr>
            </w:pPr>
            <w:r>
              <w:rPr>
                <w:rFonts w:ascii="Arial" w:cs="Arial" w:eastAsia="Arial" w:hAnsi="Arial"/>
                <w:sz w:val="17"/>
                <w:szCs w:val="17"/>
                <w:b w:val="1"/>
                <w:bCs w:val="1"/>
                <w:color w:val="auto"/>
              </w:rPr>
              <w:t>Annual Cash Bonus</w:t>
            </w:r>
          </w:p>
        </w:tc>
        <w:tc>
          <w:tcPr>
            <w:tcW w:w="120" w:type="dxa"/>
            <w:vAlign w:val="bottom"/>
            <w:tcBorders>
              <w:right w:val="single" w:sz="8" w:color="008861"/>
            </w:tcBorders>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vMerge w:val="restart"/>
          </w:tcPr>
          <w:p>
            <w:pPr>
              <w:ind w:left="40"/>
              <w:spacing w:after="0"/>
              <w:rPr>
                <w:sz w:val="20"/>
                <w:szCs w:val="20"/>
                <w:color w:val="auto"/>
              </w:rPr>
            </w:pPr>
            <w:r>
              <w:rPr>
                <w:rFonts w:ascii="Arial" w:cs="Arial" w:eastAsia="Arial" w:hAnsi="Arial"/>
                <w:sz w:val="17"/>
                <w:szCs w:val="17"/>
                <w:b w:val="1"/>
                <w:bCs w:val="1"/>
                <w:color w:val="auto"/>
                <w:w w:val="98"/>
              </w:rPr>
              <w:t>Equity and Cash Weighting</w:t>
            </w:r>
          </w:p>
        </w:tc>
        <w:tc>
          <w:tcPr>
            <w:tcW w:w="120" w:type="dxa"/>
            <w:vAlign w:val="bottom"/>
            <w:tcBorders>
              <w:right w:val="single" w:sz="8" w:color="008861"/>
            </w:tcBorders>
          </w:tcPr>
          <w:p>
            <w:pPr>
              <w:spacing w:after="0"/>
              <w:rPr>
                <w:sz w:val="18"/>
                <w:szCs w:val="18"/>
                <w:color w:val="auto"/>
              </w:rPr>
            </w:pPr>
          </w:p>
        </w:tc>
        <w:tc>
          <w:tcPr>
            <w:tcW w:w="60" w:type="dxa"/>
            <w:vAlign w:val="bottom"/>
          </w:tcPr>
          <w:p>
            <w:pPr>
              <w:spacing w:after="0"/>
              <w:rPr>
                <w:sz w:val="18"/>
                <w:szCs w:val="18"/>
                <w:color w:val="auto"/>
              </w:rPr>
            </w:pPr>
          </w:p>
        </w:tc>
        <w:tc>
          <w:tcPr>
            <w:tcW w:w="2240" w:type="dxa"/>
            <w:vAlign w:val="bottom"/>
            <w:vMerge w:val="restart"/>
          </w:tcPr>
          <w:p>
            <w:pPr>
              <w:ind w:left="300"/>
              <w:spacing w:after="0"/>
              <w:rPr>
                <w:sz w:val="20"/>
                <w:szCs w:val="20"/>
                <w:color w:val="auto"/>
              </w:rPr>
            </w:pPr>
            <w:r>
              <w:rPr>
                <w:rFonts w:ascii="Arial" w:cs="Arial" w:eastAsia="Arial" w:hAnsi="Arial"/>
                <w:sz w:val="17"/>
                <w:szCs w:val="17"/>
                <w:b w:val="1"/>
                <w:bCs w:val="1"/>
                <w:color w:val="auto"/>
              </w:rPr>
              <w:t>Long-Term Incentive</w:t>
            </w:r>
          </w:p>
        </w:tc>
        <w:tc>
          <w:tcPr>
            <w:tcW w:w="120" w:type="dxa"/>
            <w:vAlign w:val="bottom"/>
            <w:tcBorders>
              <w:right w:val="single" w:sz="8" w:color="008861"/>
            </w:tcBorders>
          </w:tcPr>
          <w:p>
            <w:pPr>
              <w:spacing w:after="0"/>
              <w:rPr>
                <w:sz w:val="18"/>
                <w:szCs w:val="18"/>
                <w:color w:val="auto"/>
              </w:rPr>
            </w:pPr>
          </w:p>
        </w:tc>
        <w:tc>
          <w:tcPr>
            <w:tcW w:w="60" w:type="dxa"/>
            <w:vAlign w:val="bottom"/>
          </w:tcPr>
          <w:p>
            <w:pPr>
              <w:spacing w:after="0"/>
              <w:rPr>
                <w:sz w:val="18"/>
                <w:szCs w:val="18"/>
                <w:color w:val="auto"/>
              </w:rPr>
            </w:pPr>
          </w:p>
        </w:tc>
        <w:tc>
          <w:tcPr>
            <w:tcW w:w="2240" w:type="dxa"/>
            <w:vAlign w:val="bottom"/>
          </w:tcPr>
          <w:p>
            <w:pPr>
              <w:ind w:left="440"/>
              <w:spacing w:after="0"/>
              <w:rPr>
                <w:sz w:val="20"/>
                <w:szCs w:val="20"/>
                <w:color w:val="auto"/>
              </w:rPr>
            </w:pPr>
            <w:r>
              <w:rPr>
                <w:rFonts w:ascii="Arial" w:cs="Arial" w:eastAsia="Arial" w:hAnsi="Arial"/>
                <w:sz w:val="17"/>
                <w:szCs w:val="17"/>
                <w:b w:val="1"/>
                <w:bCs w:val="1"/>
                <w:color w:val="auto"/>
              </w:rPr>
              <w:t>Performance Fee</w:t>
            </w:r>
          </w:p>
        </w:tc>
        <w:tc>
          <w:tcPr>
            <w:tcW w:w="0" w:type="dxa"/>
            <w:vAlign w:val="bottom"/>
          </w:tcPr>
          <w:p>
            <w:pPr>
              <w:spacing w:after="0"/>
              <w:rPr>
                <w:sz w:val="1"/>
                <w:szCs w:val="1"/>
                <w:color w:val="auto"/>
              </w:rPr>
            </w:pPr>
          </w:p>
        </w:tc>
      </w:tr>
      <w:tr>
        <w:trPr>
          <w:trHeight w:val="129"/>
        </w:trPr>
        <w:tc>
          <w:tcPr>
            <w:tcW w:w="2220" w:type="dxa"/>
            <w:vAlign w:val="bottom"/>
            <w:vMerge w:val="restart"/>
          </w:tcPr>
          <w:p>
            <w:pPr>
              <w:ind w:left="720"/>
              <w:spacing w:after="0"/>
              <w:rPr>
                <w:sz w:val="20"/>
                <w:szCs w:val="20"/>
                <w:color w:val="auto"/>
              </w:rPr>
            </w:pPr>
            <w:r>
              <w:rPr>
                <w:rFonts w:ascii="Arial" w:cs="Arial" w:eastAsia="Arial" w:hAnsi="Arial"/>
                <w:sz w:val="17"/>
                <w:szCs w:val="17"/>
                <w:b w:val="1"/>
                <w:bCs w:val="1"/>
                <w:color w:val="auto"/>
              </w:rPr>
              <w:t>Approach</w:t>
            </w:r>
          </w:p>
        </w:tc>
        <w:tc>
          <w:tcPr>
            <w:tcW w:w="120" w:type="dxa"/>
            <w:vAlign w:val="bottom"/>
            <w:tcBorders>
              <w:right w:val="single" w:sz="8" w:color="008861"/>
            </w:tcBorders>
          </w:tcPr>
          <w:p>
            <w:pPr>
              <w:spacing w:after="0"/>
              <w:rPr>
                <w:sz w:val="11"/>
                <w:szCs w:val="11"/>
                <w:color w:val="auto"/>
              </w:rPr>
            </w:pPr>
          </w:p>
        </w:tc>
        <w:tc>
          <w:tcPr>
            <w:tcW w:w="60" w:type="dxa"/>
            <w:vAlign w:val="bottom"/>
          </w:tcPr>
          <w:p>
            <w:pPr>
              <w:spacing w:after="0"/>
              <w:rPr>
                <w:sz w:val="11"/>
                <w:szCs w:val="11"/>
                <w:color w:val="auto"/>
              </w:rPr>
            </w:pPr>
          </w:p>
        </w:tc>
        <w:tc>
          <w:tcPr>
            <w:tcW w:w="2220" w:type="dxa"/>
            <w:vAlign w:val="bottom"/>
            <w:vMerge w:val="continue"/>
          </w:tcPr>
          <w:p>
            <w:pPr>
              <w:spacing w:after="0"/>
              <w:rPr>
                <w:sz w:val="11"/>
                <w:szCs w:val="11"/>
                <w:color w:val="auto"/>
              </w:rPr>
            </w:pPr>
          </w:p>
        </w:tc>
        <w:tc>
          <w:tcPr>
            <w:tcW w:w="120" w:type="dxa"/>
            <w:vAlign w:val="bottom"/>
            <w:tcBorders>
              <w:right w:val="single" w:sz="8" w:color="008861"/>
            </w:tcBorders>
          </w:tcPr>
          <w:p>
            <w:pPr>
              <w:spacing w:after="0"/>
              <w:rPr>
                <w:sz w:val="11"/>
                <w:szCs w:val="11"/>
                <w:color w:val="auto"/>
              </w:rPr>
            </w:pPr>
          </w:p>
        </w:tc>
        <w:tc>
          <w:tcPr>
            <w:tcW w:w="6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120" w:type="dxa"/>
            <w:vAlign w:val="bottom"/>
            <w:tcBorders>
              <w:right w:val="single" w:sz="8" w:color="008861"/>
            </w:tcBorders>
          </w:tcPr>
          <w:p>
            <w:pPr>
              <w:spacing w:after="0"/>
              <w:rPr>
                <w:sz w:val="11"/>
                <w:szCs w:val="11"/>
                <w:color w:val="auto"/>
              </w:rPr>
            </w:pPr>
          </w:p>
        </w:tc>
        <w:tc>
          <w:tcPr>
            <w:tcW w:w="60" w:type="dxa"/>
            <w:vAlign w:val="bottom"/>
          </w:tcPr>
          <w:p>
            <w:pPr>
              <w:spacing w:after="0"/>
              <w:rPr>
                <w:sz w:val="11"/>
                <w:szCs w:val="11"/>
                <w:color w:val="auto"/>
              </w:rPr>
            </w:pPr>
          </w:p>
        </w:tc>
        <w:tc>
          <w:tcPr>
            <w:tcW w:w="2240" w:type="dxa"/>
            <w:vAlign w:val="bottom"/>
            <w:vMerge w:val="restart"/>
          </w:tcPr>
          <w:p>
            <w:pPr>
              <w:ind w:left="660"/>
              <w:spacing w:after="0"/>
              <w:rPr>
                <w:sz w:val="20"/>
                <w:szCs w:val="20"/>
                <w:color w:val="auto"/>
              </w:rPr>
            </w:pPr>
            <w:r>
              <w:rPr>
                <w:rFonts w:ascii="Arial" w:cs="Arial" w:eastAsia="Arial" w:hAnsi="Arial"/>
                <w:sz w:val="17"/>
                <w:szCs w:val="17"/>
                <w:b w:val="1"/>
                <w:bCs w:val="1"/>
                <w:color w:val="auto"/>
              </w:rPr>
              <w:t>Allocations</w:t>
            </w:r>
          </w:p>
        </w:tc>
        <w:tc>
          <w:tcPr>
            <w:tcW w:w="0" w:type="dxa"/>
            <w:vAlign w:val="bottom"/>
          </w:tcPr>
          <w:p>
            <w:pPr>
              <w:spacing w:after="0"/>
              <w:rPr>
                <w:sz w:val="1"/>
                <w:szCs w:val="1"/>
                <w:color w:val="auto"/>
              </w:rPr>
            </w:pPr>
          </w:p>
        </w:tc>
      </w:tr>
      <w:tr>
        <w:trPr>
          <w:trHeight w:val="101"/>
        </w:trPr>
        <w:tc>
          <w:tcPr>
            <w:tcW w:w="2220" w:type="dxa"/>
            <w:vAlign w:val="bottom"/>
            <w:tcBorders>
              <w:bottom w:val="single" w:sz="8" w:color="001544"/>
            </w:tcBorders>
            <w:vMerge w:val="continue"/>
          </w:tcPr>
          <w:p>
            <w:pPr>
              <w:spacing w:after="0"/>
              <w:rPr>
                <w:sz w:val="8"/>
                <w:szCs w:val="8"/>
                <w:color w:val="auto"/>
              </w:rPr>
            </w:pPr>
          </w:p>
        </w:tc>
        <w:tc>
          <w:tcPr>
            <w:tcW w:w="120" w:type="dxa"/>
            <w:vAlign w:val="bottom"/>
            <w:tcBorders>
              <w:right w:val="single" w:sz="8" w:color="008861"/>
            </w:tcBorders>
          </w:tcPr>
          <w:p>
            <w:pPr>
              <w:spacing w:after="0"/>
              <w:rPr>
                <w:sz w:val="8"/>
                <w:szCs w:val="8"/>
                <w:color w:val="auto"/>
              </w:rPr>
            </w:pPr>
          </w:p>
        </w:tc>
        <w:tc>
          <w:tcPr>
            <w:tcW w:w="60" w:type="dxa"/>
            <w:vAlign w:val="bottom"/>
          </w:tcPr>
          <w:p>
            <w:pPr>
              <w:spacing w:after="0"/>
              <w:rPr>
                <w:sz w:val="8"/>
                <w:szCs w:val="8"/>
                <w:color w:val="auto"/>
              </w:rPr>
            </w:pPr>
          </w:p>
        </w:tc>
        <w:tc>
          <w:tcPr>
            <w:tcW w:w="2220" w:type="dxa"/>
            <w:vAlign w:val="bottom"/>
            <w:tcBorders>
              <w:bottom w:val="single" w:sz="8" w:color="001544"/>
            </w:tcBorders>
          </w:tcPr>
          <w:p>
            <w:pPr>
              <w:spacing w:after="0"/>
              <w:rPr>
                <w:sz w:val="8"/>
                <w:szCs w:val="8"/>
                <w:color w:val="auto"/>
              </w:rPr>
            </w:pPr>
          </w:p>
        </w:tc>
        <w:tc>
          <w:tcPr>
            <w:tcW w:w="120" w:type="dxa"/>
            <w:vAlign w:val="bottom"/>
            <w:tcBorders>
              <w:right w:val="single" w:sz="8" w:color="008861"/>
            </w:tcBorders>
          </w:tcPr>
          <w:p>
            <w:pPr>
              <w:spacing w:after="0"/>
              <w:rPr>
                <w:sz w:val="8"/>
                <w:szCs w:val="8"/>
                <w:color w:val="auto"/>
              </w:rPr>
            </w:pPr>
          </w:p>
        </w:tc>
        <w:tc>
          <w:tcPr>
            <w:tcW w:w="60" w:type="dxa"/>
            <w:vAlign w:val="bottom"/>
          </w:tcPr>
          <w:p>
            <w:pPr>
              <w:spacing w:after="0"/>
              <w:rPr>
                <w:sz w:val="8"/>
                <w:szCs w:val="8"/>
                <w:color w:val="auto"/>
              </w:rPr>
            </w:pPr>
          </w:p>
        </w:tc>
        <w:tc>
          <w:tcPr>
            <w:tcW w:w="2240" w:type="dxa"/>
            <w:vAlign w:val="bottom"/>
            <w:tcBorders>
              <w:bottom w:val="single" w:sz="8" w:color="001544"/>
            </w:tcBorders>
          </w:tcPr>
          <w:p>
            <w:pPr>
              <w:spacing w:after="0"/>
              <w:rPr>
                <w:sz w:val="8"/>
                <w:szCs w:val="8"/>
                <w:color w:val="auto"/>
              </w:rPr>
            </w:pPr>
          </w:p>
        </w:tc>
        <w:tc>
          <w:tcPr>
            <w:tcW w:w="120" w:type="dxa"/>
            <w:vAlign w:val="bottom"/>
            <w:tcBorders>
              <w:right w:val="single" w:sz="8" w:color="008861"/>
            </w:tcBorders>
          </w:tcPr>
          <w:p>
            <w:pPr>
              <w:spacing w:after="0"/>
              <w:rPr>
                <w:sz w:val="8"/>
                <w:szCs w:val="8"/>
                <w:color w:val="auto"/>
              </w:rPr>
            </w:pPr>
          </w:p>
        </w:tc>
        <w:tc>
          <w:tcPr>
            <w:tcW w:w="60" w:type="dxa"/>
            <w:vAlign w:val="bottom"/>
          </w:tcPr>
          <w:p>
            <w:pPr>
              <w:spacing w:after="0"/>
              <w:rPr>
                <w:sz w:val="8"/>
                <w:szCs w:val="8"/>
                <w:color w:val="auto"/>
              </w:rPr>
            </w:pPr>
          </w:p>
        </w:tc>
        <w:tc>
          <w:tcPr>
            <w:tcW w:w="2240" w:type="dxa"/>
            <w:vAlign w:val="bottom"/>
            <w:tcBorders>
              <w:bottom w:val="single" w:sz="8" w:color="001544"/>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220" w:type="dxa"/>
            <w:vAlign w:val="bottom"/>
            <w:shd w:val="clear" w:color="auto" w:fill="DBDFEA"/>
          </w:tcPr>
          <w:p>
            <w:pPr>
              <w:ind w:left="6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We utilize a formulaic</w:t>
            </w:r>
          </w:p>
        </w:tc>
        <w:tc>
          <w:tcPr>
            <w:tcW w:w="120" w:type="dxa"/>
            <w:vAlign w:val="bottom"/>
            <w:tcBorders>
              <w:right w:val="single" w:sz="8" w:color="008861"/>
            </w:tcBorders>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shd w:val="clear" w:color="auto" w:fill="DBDFEA"/>
          </w:tcPr>
          <w:p>
            <w:pPr>
              <w:ind w:left="6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We set incentive targets</w:t>
            </w:r>
          </w:p>
        </w:tc>
        <w:tc>
          <w:tcPr>
            <w:tcW w:w="120" w:type="dxa"/>
            <w:vAlign w:val="bottom"/>
            <w:tcBorders>
              <w:right w:val="single" w:sz="8" w:color="008861"/>
            </w:tcBorders>
          </w:tcPr>
          <w:p>
            <w:pPr>
              <w:spacing w:after="0"/>
              <w:rPr>
                <w:sz w:val="18"/>
                <w:szCs w:val="18"/>
                <w:color w:val="auto"/>
              </w:rPr>
            </w:pPr>
          </w:p>
        </w:tc>
        <w:tc>
          <w:tcPr>
            <w:tcW w:w="60" w:type="dxa"/>
            <w:vAlign w:val="bottom"/>
          </w:tcPr>
          <w:p>
            <w:pPr>
              <w:spacing w:after="0"/>
              <w:rPr>
                <w:sz w:val="18"/>
                <w:szCs w:val="18"/>
                <w:color w:val="auto"/>
              </w:rPr>
            </w:pPr>
          </w:p>
        </w:tc>
        <w:tc>
          <w:tcPr>
            <w:tcW w:w="2240" w:type="dxa"/>
            <w:vAlign w:val="bottom"/>
            <w:shd w:val="clear" w:color="auto" w:fill="DBDFEA"/>
          </w:tcPr>
          <w:p>
            <w:pPr>
              <w:ind w:left="6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We grant at least 50% of</w:t>
            </w:r>
          </w:p>
        </w:tc>
        <w:tc>
          <w:tcPr>
            <w:tcW w:w="120" w:type="dxa"/>
            <w:vAlign w:val="bottom"/>
            <w:tcBorders>
              <w:right w:val="single" w:sz="8" w:color="008861"/>
            </w:tcBorders>
          </w:tcPr>
          <w:p>
            <w:pPr>
              <w:spacing w:after="0"/>
              <w:rPr>
                <w:sz w:val="18"/>
                <w:szCs w:val="18"/>
                <w:color w:val="auto"/>
              </w:rPr>
            </w:pPr>
          </w:p>
        </w:tc>
        <w:tc>
          <w:tcPr>
            <w:tcW w:w="60" w:type="dxa"/>
            <w:vAlign w:val="bottom"/>
          </w:tcPr>
          <w:p>
            <w:pPr>
              <w:spacing w:after="0"/>
              <w:rPr>
                <w:sz w:val="18"/>
                <w:szCs w:val="18"/>
                <w:color w:val="auto"/>
              </w:rPr>
            </w:pPr>
          </w:p>
        </w:tc>
        <w:tc>
          <w:tcPr>
            <w:tcW w:w="2240" w:type="dxa"/>
            <w:vAlign w:val="bottom"/>
            <w:shd w:val="clear" w:color="auto" w:fill="DBDFEA"/>
          </w:tcPr>
          <w:p>
            <w:pPr>
              <w:ind w:left="6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We allocate a portion of</w:t>
            </w:r>
          </w:p>
        </w:tc>
        <w:tc>
          <w:tcPr>
            <w:tcW w:w="0" w:type="dxa"/>
            <w:vAlign w:val="bottom"/>
          </w:tcPr>
          <w:p>
            <w:pPr>
              <w:spacing w:after="0"/>
              <w:rPr>
                <w:sz w:val="1"/>
                <w:szCs w:val="1"/>
                <w:color w:val="auto"/>
              </w:rPr>
            </w:pPr>
          </w:p>
        </w:tc>
      </w:tr>
      <w:tr>
        <w:trPr>
          <w:trHeight w:val="188"/>
        </w:trPr>
        <w:tc>
          <w:tcPr>
            <w:tcW w:w="2220" w:type="dxa"/>
            <w:vAlign w:val="bottom"/>
            <w:shd w:val="clear" w:color="auto" w:fill="DBDFEA"/>
          </w:tcPr>
          <w:p>
            <w:pPr>
              <w:ind w:left="360"/>
              <w:spacing w:after="0" w:line="189" w:lineRule="exact"/>
              <w:rPr>
                <w:sz w:val="20"/>
                <w:szCs w:val="20"/>
                <w:color w:val="auto"/>
              </w:rPr>
            </w:pPr>
            <w:r>
              <w:rPr>
                <w:rFonts w:ascii="Arial" w:cs="Arial" w:eastAsia="Arial" w:hAnsi="Arial"/>
                <w:sz w:val="17"/>
                <w:szCs w:val="17"/>
                <w:color w:val="auto"/>
              </w:rPr>
              <w:t>approach to determining</w:t>
            </w: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shd w:val="clear" w:color="auto" w:fill="DBDFEA"/>
          </w:tcPr>
          <w:p>
            <w:pPr>
              <w:ind w:left="360"/>
              <w:spacing w:after="0" w:line="189" w:lineRule="exact"/>
              <w:rPr>
                <w:sz w:val="20"/>
                <w:szCs w:val="20"/>
                <w:color w:val="auto"/>
              </w:rPr>
            </w:pPr>
            <w:r>
              <w:rPr>
                <w:rFonts w:ascii="Arial" w:cs="Arial" w:eastAsia="Arial" w:hAnsi="Arial"/>
                <w:sz w:val="17"/>
                <w:szCs w:val="17"/>
                <w:color w:val="auto"/>
              </w:rPr>
              <w:t>more heavily weighted</w:t>
            </w: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shd w:val="clear" w:color="auto" w:fill="DBDFEA"/>
          </w:tcPr>
          <w:p>
            <w:pPr>
              <w:ind w:left="360"/>
              <w:spacing w:after="0" w:line="189" w:lineRule="exact"/>
              <w:rPr>
                <w:sz w:val="20"/>
                <w:szCs w:val="20"/>
                <w:color w:val="auto"/>
              </w:rPr>
            </w:pPr>
            <w:r>
              <w:rPr>
                <w:rFonts w:ascii="Arial" w:cs="Arial" w:eastAsia="Arial" w:hAnsi="Arial"/>
                <w:sz w:val="17"/>
                <w:szCs w:val="17"/>
                <w:color w:val="auto"/>
              </w:rPr>
              <w:t>long-term incentive</w:t>
            </w: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shd w:val="clear" w:color="auto" w:fill="DBDFEA"/>
          </w:tcPr>
          <w:p>
            <w:pPr>
              <w:ind w:left="360"/>
              <w:spacing w:after="0" w:line="189" w:lineRule="exact"/>
              <w:rPr>
                <w:sz w:val="20"/>
                <w:szCs w:val="20"/>
                <w:color w:val="auto"/>
              </w:rPr>
            </w:pPr>
            <w:r>
              <w:rPr>
                <w:rFonts w:ascii="Arial" w:cs="Arial" w:eastAsia="Arial" w:hAnsi="Arial"/>
                <w:sz w:val="17"/>
                <w:szCs w:val="17"/>
                <w:color w:val="auto"/>
              </w:rPr>
              <w:t>performance fees to</w:t>
            </w:r>
          </w:p>
        </w:tc>
        <w:tc>
          <w:tcPr>
            <w:tcW w:w="0" w:type="dxa"/>
            <w:vAlign w:val="bottom"/>
          </w:tcPr>
          <w:p>
            <w:pPr>
              <w:spacing w:after="0"/>
              <w:rPr>
                <w:sz w:val="1"/>
                <w:szCs w:val="1"/>
                <w:color w:val="auto"/>
              </w:rPr>
            </w:pPr>
          </w:p>
        </w:tc>
      </w:tr>
      <w:tr>
        <w:trPr>
          <w:trHeight w:val="188"/>
        </w:trPr>
        <w:tc>
          <w:tcPr>
            <w:tcW w:w="2220" w:type="dxa"/>
            <w:vAlign w:val="bottom"/>
            <w:shd w:val="clear" w:color="auto" w:fill="DBDFEA"/>
          </w:tcPr>
          <w:p>
            <w:pPr>
              <w:ind w:left="360"/>
              <w:spacing w:after="0" w:line="189" w:lineRule="exact"/>
              <w:rPr>
                <w:sz w:val="20"/>
                <w:szCs w:val="20"/>
                <w:color w:val="auto"/>
              </w:rPr>
            </w:pPr>
            <w:r>
              <w:rPr>
                <w:rFonts w:ascii="Arial" w:cs="Arial" w:eastAsia="Arial" w:hAnsi="Arial"/>
                <w:sz w:val="17"/>
                <w:szCs w:val="17"/>
                <w:color w:val="auto"/>
              </w:rPr>
              <w:t>annual cash bonus</w:t>
            </w: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shd w:val="clear" w:color="auto" w:fill="DBDFEA"/>
          </w:tcPr>
          <w:p>
            <w:pPr>
              <w:ind w:left="360"/>
              <w:spacing w:after="0" w:line="189" w:lineRule="exact"/>
              <w:rPr>
                <w:sz w:val="20"/>
                <w:szCs w:val="20"/>
                <w:color w:val="auto"/>
              </w:rPr>
            </w:pPr>
            <w:r>
              <w:rPr>
                <w:rFonts w:ascii="Arial" w:cs="Arial" w:eastAsia="Arial" w:hAnsi="Arial"/>
                <w:sz w:val="17"/>
                <w:szCs w:val="17"/>
                <w:color w:val="auto"/>
              </w:rPr>
              <w:t>towards equity over</w:t>
            </w: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shd w:val="clear" w:color="auto" w:fill="DBDFEA"/>
          </w:tcPr>
          <w:p>
            <w:pPr>
              <w:ind w:left="360"/>
              <w:spacing w:after="0" w:line="189" w:lineRule="exact"/>
              <w:rPr>
                <w:sz w:val="20"/>
                <w:szCs w:val="20"/>
                <w:color w:val="auto"/>
              </w:rPr>
            </w:pPr>
            <w:r>
              <w:rPr>
                <w:rFonts w:ascii="Arial" w:cs="Arial" w:eastAsia="Arial" w:hAnsi="Arial"/>
                <w:sz w:val="17"/>
                <w:szCs w:val="17"/>
                <w:color w:val="auto"/>
              </w:rPr>
              <w:t>equity compensation in</w:t>
            </w: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shd w:val="clear" w:color="auto" w:fill="DBDFEA"/>
          </w:tcPr>
          <w:p>
            <w:pPr>
              <w:ind w:left="360"/>
              <w:spacing w:after="0" w:line="189" w:lineRule="exact"/>
              <w:rPr>
                <w:sz w:val="20"/>
                <w:szCs w:val="20"/>
                <w:color w:val="auto"/>
              </w:rPr>
            </w:pPr>
            <w:r>
              <w:rPr>
                <w:rFonts w:ascii="Arial" w:cs="Arial" w:eastAsia="Arial" w:hAnsi="Arial"/>
                <w:sz w:val="17"/>
                <w:szCs w:val="17"/>
                <w:color w:val="auto"/>
              </w:rPr>
              <w:t>management, which</w:t>
            </w:r>
          </w:p>
        </w:tc>
        <w:tc>
          <w:tcPr>
            <w:tcW w:w="0" w:type="dxa"/>
            <w:vAlign w:val="bottom"/>
          </w:tcPr>
          <w:p>
            <w:pPr>
              <w:spacing w:after="0"/>
              <w:rPr>
                <w:sz w:val="1"/>
                <w:szCs w:val="1"/>
                <w:color w:val="auto"/>
              </w:rPr>
            </w:pPr>
          </w:p>
        </w:tc>
      </w:tr>
      <w:tr>
        <w:trPr>
          <w:trHeight w:val="188"/>
        </w:trPr>
        <w:tc>
          <w:tcPr>
            <w:tcW w:w="2220" w:type="dxa"/>
            <w:vAlign w:val="bottom"/>
            <w:shd w:val="clear" w:color="auto" w:fill="DBDFEA"/>
          </w:tcPr>
          <w:p>
            <w:pPr>
              <w:ind w:left="360"/>
              <w:spacing w:after="0" w:line="189" w:lineRule="exact"/>
              <w:rPr>
                <w:sz w:val="20"/>
                <w:szCs w:val="20"/>
                <w:color w:val="auto"/>
              </w:rPr>
            </w:pPr>
            <w:r>
              <w:rPr>
                <w:rFonts w:ascii="Arial" w:cs="Arial" w:eastAsia="Arial" w:hAnsi="Arial"/>
                <w:sz w:val="17"/>
                <w:szCs w:val="17"/>
                <w:color w:val="auto"/>
              </w:rPr>
              <w:t>awards to executive</w:t>
            </w: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shd w:val="clear" w:color="auto" w:fill="DBDFEA"/>
          </w:tcPr>
          <w:p>
            <w:pPr>
              <w:ind w:left="360"/>
              <w:spacing w:after="0" w:line="189" w:lineRule="exact"/>
              <w:rPr>
                <w:sz w:val="20"/>
                <w:szCs w:val="20"/>
                <w:color w:val="auto"/>
              </w:rPr>
            </w:pPr>
            <w:r>
              <w:rPr>
                <w:rFonts w:ascii="Arial" w:cs="Arial" w:eastAsia="Arial" w:hAnsi="Arial"/>
                <w:sz w:val="17"/>
                <w:szCs w:val="17"/>
                <w:color w:val="auto"/>
              </w:rPr>
              <w:t>cash compensation.</w:t>
            </w: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shd w:val="clear" w:color="auto" w:fill="DBDFEA"/>
          </w:tcPr>
          <w:p>
            <w:pPr>
              <w:ind w:left="360"/>
              <w:spacing w:after="0" w:line="189" w:lineRule="exact"/>
              <w:rPr>
                <w:sz w:val="20"/>
                <w:szCs w:val="20"/>
                <w:color w:val="auto"/>
              </w:rPr>
            </w:pPr>
            <w:r>
              <w:rPr>
                <w:rFonts w:ascii="Arial" w:cs="Arial" w:eastAsia="Arial" w:hAnsi="Arial"/>
                <w:sz w:val="17"/>
                <w:szCs w:val="17"/>
                <w:color w:val="auto"/>
              </w:rPr>
              <w:t>the form of</w:t>
            </w: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shd w:val="clear" w:color="auto" w:fill="DBDFEA"/>
          </w:tcPr>
          <w:p>
            <w:pPr>
              <w:ind w:left="360"/>
              <w:spacing w:after="0" w:line="189" w:lineRule="exact"/>
              <w:rPr>
                <w:sz w:val="20"/>
                <w:szCs w:val="20"/>
                <w:color w:val="auto"/>
              </w:rPr>
            </w:pPr>
            <w:r>
              <w:rPr>
                <w:rFonts w:ascii="Arial" w:cs="Arial" w:eastAsia="Arial" w:hAnsi="Arial"/>
                <w:sz w:val="17"/>
                <w:szCs w:val="17"/>
                <w:color w:val="auto"/>
              </w:rPr>
              <w:t>may result in payments</w:t>
            </w:r>
          </w:p>
        </w:tc>
        <w:tc>
          <w:tcPr>
            <w:tcW w:w="0" w:type="dxa"/>
            <w:vAlign w:val="bottom"/>
          </w:tcPr>
          <w:p>
            <w:pPr>
              <w:spacing w:after="0"/>
              <w:rPr>
                <w:sz w:val="1"/>
                <w:szCs w:val="1"/>
                <w:color w:val="auto"/>
              </w:rPr>
            </w:pPr>
          </w:p>
        </w:tc>
      </w:tr>
      <w:tr>
        <w:trPr>
          <w:trHeight w:val="188"/>
        </w:trPr>
        <w:tc>
          <w:tcPr>
            <w:tcW w:w="2220" w:type="dxa"/>
            <w:vAlign w:val="bottom"/>
            <w:shd w:val="clear" w:color="auto" w:fill="DBDFEA"/>
          </w:tcPr>
          <w:p>
            <w:pPr>
              <w:ind w:left="360"/>
              <w:spacing w:after="0" w:line="189" w:lineRule="exact"/>
              <w:rPr>
                <w:sz w:val="20"/>
                <w:szCs w:val="20"/>
                <w:color w:val="auto"/>
              </w:rPr>
            </w:pPr>
            <w:r>
              <w:rPr>
                <w:rFonts w:ascii="Arial" w:cs="Arial" w:eastAsia="Arial" w:hAnsi="Arial"/>
                <w:sz w:val="17"/>
                <w:szCs w:val="17"/>
                <w:color w:val="auto"/>
              </w:rPr>
              <w:t>officers involving</w:t>
            </w: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shd w:val="clear" w:color="auto" w:fill="DBDFEA"/>
          </w:tcPr>
          <w:p>
            <w:pPr>
              <w:spacing w:after="0"/>
              <w:rPr>
                <w:sz w:val="16"/>
                <w:szCs w:val="16"/>
                <w:color w:val="auto"/>
              </w:rPr>
            </w:pP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shd w:val="clear" w:color="auto" w:fill="DBDFEA"/>
          </w:tcPr>
          <w:p>
            <w:pPr>
              <w:ind w:left="360"/>
              <w:spacing w:after="0" w:line="189" w:lineRule="exact"/>
              <w:rPr>
                <w:sz w:val="20"/>
                <w:szCs w:val="20"/>
                <w:color w:val="auto"/>
              </w:rPr>
            </w:pPr>
            <w:r>
              <w:rPr>
                <w:rFonts w:ascii="Arial" w:cs="Arial" w:eastAsia="Arial" w:hAnsi="Arial"/>
                <w:sz w:val="17"/>
                <w:szCs w:val="17"/>
                <w:color w:val="auto"/>
              </w:rPr>
              <w:t>performance-based</w:t>
            </w: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shd w:val="clear" w:color="auto" w:fill="DBDFEA"/>
          </w:tcPr>
          <w:p>
            <w:pPr>
              <w:ind w:left="360"/>
              <w:spacing w:after="0" w:line="189" w:lineRule="exact"/>
              <w:rPr>
                <w:sz w:val="20"/>
                <w:szCs w:val="20"/>
                <w:color w:val="auto"/>
              </w:rPr>
            </w:pPr>
            <w:r>
              <w:rPr>
                <w:rFonts w:ascii="Arial" w:cs="Arial" w:eastAsia="Arial" w:hAnsi="Arial"/>
                <w:sz w:val="17"/>
                <w:szCs w:val="17"/>
                <w:color w:val="auto"/>
              </w:rPr>
              <w:t>to them, from time to</w:t>
            </w:r>
          </w:p>
        </w:tc>
        <w:tc>
          <w:tcPr>
            <w:tcW w:w="0" w:type="dxa"/>
            <w:vAlign w:val="bottom"/>
          </w:tcPr>
          <w:p>
            <w:pPr>
              <w:spacing w:after="0"/>
              <w:rPr>
                <w:sz w:val="1"/>
                <w:szCs w:val="1"/>
                <w:color w:val="auto"/>
              </w:rPr>
            </w:pPr>
          </w:p>
        </w:tc>
      </w:tr>
      <w:tr>
        <w:trPr>
          <w:trHeight w:val="188"/>
        </w:trPr>
        <w:tc>
          <w:tcPr>
            <w:tcW w:w="2220" w:type="dxa"/>
            <w:vAlign w:val="bottom"/>
            <w:shd w:val="clear" w:color="auto" w:fill="DBDFEA"/>
          </w:tcPr>
          <w:p>
            <w:pPr>
              <w:ind w:left="360"/>
              <w:spacing w:after="0" w:line="189" w:lineRule="exact"/>
              <w:rPr>
                <w:sz w:val="20"/>
                <w:szCs w:val="20"/>
                <w:color w:val="auto"/>
              </w:rPr>
            </w:pPr>
            <w:r>
              <w:rPr>
                <w:rFonts w:ascii="Arial" w:cs="Arial" w:eastAsia="Arial" w:hAnsi="Arial"/>
                <w:sz w:val="17"/>
                <w:szCs w:val="17"/>
                <w:color w:val="auto"/>
              </w:rPr>
              <w:t>objective metrics.</w:t>
            </w: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shd w:val="clear" w:color="auto" w:fill="DBDFEA"/>
          </w:tcPr>
          <w:p>
            <w:pPr>
              <w:spacing w:after="0"/>
              <w:rPr>
                <w:sz w:val="16"/>
                <w:szCs w:val="16"/>
                <w:color w:val="auto"/>
              </w:rPr>
            </w:pP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shd w:val="clear" w:color="auto" w:fill="DBDFEA"/>
          </w:tcPr>
          <w:p>
            <w:pPr>
              <w:ind w:left="360"/>
              <w:spacing w:after="0" w:line="189" w:lineRule="exact"/>
              <w:rPr>
                <w:sz w:val="20"/>
                <w:szCs w:val="20"/>
                <w:color w:val="auto"/>
              </w:rPr>
            </w:pPr>
            <w:r>
              <w:rPr>
                <w:rFonts w:ascii="Arial" w:cs="Arial" w:eastAsia="Arial" w:hAnsi="Arial"/>
                <w:sz w:val="17"/>
                <w:szCs w:val="17"/>
                <w:color w:val="auto"/>
              </w:rPr>
              <w:t>awards.</w:t>
            </w: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shd w:val="clear" w:color="auto" w:fill="DBDFEA"/>
          </w:tcPr>
          <w:p>
            <w:pPr>
              <w:ind w:left="360"/>
              <w:spacing w:after="0" w:line="189" w:lineRule="exact"/>
              <w:rPr>
                <w:sz w:val="20"/>
                <w:szCs w:val="20"/>
                <w:color w:val="auto"/>
              </w:rPr>
            </w:pPr>
            <w:r>
              <w:rPr>
                <w:rFonts w:ascii="Arial" w:cs="Arial" w:eastAsia="Arial" w:hAnsi="Arial"/>
                <w:sz w:val="17"/>
                <w:szCs w:val="17"/>
                <w:color w:val="auto"/>
              </w:rPr>
              <w:t>time, based upon the</w:t>
            </w:r>
          </w:p>
        </w:tc>
        <w:tc>
          <w:tcPr>
            <w:tcW w:w="0" w:type="dxa"/>
            <w:vAlign w:val="bottom"/>
          </w:tcPr>
          <w:p>
            <w:pPr>
              <w:spacing w:after="0"/>
              <w:rPr>
                <w:sz w:val="1"/>
                <w:szCs w:val="1"/>
                <w:color w:val="auto"/>
              </w:rPr>
            </w:pPr>
          </w:p>
        </w:tc>
      </w:tr>
      <w:tr>
        <w:trPr>
          <w:trHeight w:val="188"/>
        </w:trPr>
        <w:tc>
          <w:tcPr>
            <w:tcW w:w="2220" w:type="dxa"/>
            <w:vAlign w:val="bottom"/>
            <w:shd w:val="clear" w:color="auto" w:fill="DBDFEA"/>
          </w:tcPr>
          <w:p>
            <w:pPr>
              <w:spacing w:after="0"/>
              <w:rPr>
                <w:sz w:val="16"/>
                <w:szCs w:val="16"/>
                <w:color w:val="auto"/>
              </w:rPr>
            </w:pP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shd w:val="clear" w:color="auto" w:fill="DBDFEA"/>
          </w:tcPr>
          <w:p>
            <w:pPr>
              <w:spacing w:after="0"/>
              <w:rPr>
                <w:sz w:val="16"/>
                <w:szCs w:val="16"/>
                <w:color w:val="auto"/>
              </w:rPr>
            </w:pP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shd w:val="clear" w:color="auto" w:fill="DBDFEA"/>
          </w:tcPr>
          <w:p>
            <w:pPr>
              <w:spacing w:after="0"/>
              <w:rPr>
                <w:sz w:val="16"/>
                <w:szCs w:val="16"/>
                <w:color w:val="auto"/>
              </w:rPr>
            </w:pP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shd w:val="clear" w:color="auto" w:fill="DBDFEA"/>
          </w:tcPr>
          <w:p>
            <w:pPr>
              <w:ind w:left="360"/>
              <w:spacing w:after="0" w:line="189" w:lineRule="exact"/>
              <w:rPr>
                <w:sz w:val="20"/>
                <w:szCs w:val="20"/>
                <w:color w:val="auto"/>
              </w:rPr>
            </w:pPr>
            <w:r>
              <w:rPr>
                <w:rFonts w:ascii="Arial" w:cs="Arial" w:eastAsia="Arial" w:hAnsi="Arial"/>
                <w:sz w:val="17"/>
                <w:szCs w:val="17"/>
                <w:color w:val="auto"/>
              </w:rPr>
              <w:t>performance of</w:t>
            </w:r>
          </w:p>
        </w:tc>
        <w:tc>
          <w:tcPr>
            <w:tcW w:w="0" w:type="dxa"/>
            <w:vAlign w:val="bottom"/>
          </w:tcPr>
          <w:p>
            <w:pPr>
              <w:spacing w:after="0"/>
              <w:rPr>
                <w:sz w:val="1"/>
                <w:szCs w:val="1"/>
                <w:color w:val="auto"/>
              </w:rPr>
            </w:pPr>
          </w:p>
        </w:tc>
      </w:tr>
      <w:tr>
        <w:trPr>
          <w:trHeight w:val="188"/>
        </w:trPr>
        <w:tc>
          <w:tcPr>
            <w:tcW w:w="2220" w:type="dxa"/>
            <w:vAlign w:val="bottom"/>
            <w:shd w:val="clear" w:color="auto" w:fill="DBDFEA"/>
          </w:tcPr>
          <w:p>
            <w:pPr>
              <w:spacing w:after="0"/>
              <w:rPr>
                <w:sz w:val="16"/>
                <w:szCs w:val="16"/>
                <w:color w:val="auto"/>
              </w:rPr>
            </w:pP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shd w:val="clear" w:color="auto" w:fill="DBDFEA"/>
          </w:tcPr>
          <w:p>
            <w:pPr>
              <w:spacing w:after="0"/>
              <w:rPr>
                <w:sz w:val="16"/>
                <w:szCs w:val="16"/>
                <w:color w:val="auto"/>
              </w:rPr>
            </w:pP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shd w:val="clear" w:color="auto" w:fill="DBDFEA"/>
          </w:tcPr>
          <w:p>
            <w:pPr>
              <w:spacing w:after="0"/>
              <w:rPr>
                <w:sz w:val="16"/>
                <w:szCs w:val="16"/>
                <w:color w:val="auto"/>
              </w:rPr>
            </w:pP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shd w:val="clear" w:color="auto" w:fill="DBDFEA"/>
          </w:tcPr>
          <w:p>
            <w:pPr>
              <w:ind w:left="360"/>
              <w:spacing w:after="0" w:line="189" w:lineRule="exact"/>
              <w:rPr>
                <w:sz w:val="20"/>
                <w:szCs w:val="20"/>
                <w:color w:val="auto"/>
              </w:rPr>
            </w:pPr>
            <w:r>
              <w:rPr>
                <w:rFonts w:ascii="Arial" w:cs="Arial" w:eastAsia="Arial" w:hAnsi="Arial"/>
                <w:sz w:val="17"/>
                <w:szCs w:val="17"/>
                <w:color w:val="auto"/>
              </w:rPr>
              <w:t>investments made by</w:t>
            </w:r>
          </w:p>
        </w:tc>
        <w:tc>
          <w:tcPr>
            <w:tcW w:w="0" w:type="dxa"/>
            <w:vAlign w:val="bottom"/>
          </w:tcPr>
          <w:p>
            <w:pPr>
              <w:spacing w:after="0"/>
              <w:rPr>
                <w:sz w:val="1"/>
                <w:szCs w:val="1"/>
                <w:color w:val="auto"/>
              </w:rPr>
            </w:pPr>
          </w:p>
        </w:tc>
      </w:tr>
      <w:tr>
        <w:trPr>
          <w:trHeight w:val="188"/>
        </w:trPr>
        <w:tc>
          <w:tcPr>
            <w:tcW w:w="2220" w:type="dxa"/>
            <w:vAlign w:val="bottom"/>
            <w:shd w:val="clear" w:color="auto" w:fill="DBDFEA"/>
          </w:tcPr>
          <w:p>
            <w:pPr>
              <w:spacing w:after="0"/>
              <w:rPr>
                <w:sz w:val="16"/>
                <w:szCs w:val="16"/>
                <w:color w:val="auto"/>
              </w:rPr>
            </w:pP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shd w:val="clear" w:color="auto" w:fill="DBDFEA"/>
          </w:tcPr>
          <w:p>
            <w:pPr>
              <w:spacing w:after="0"/>
              <w:rPr>
                <w:sz w:val="16"/>
                <w:szCs w:val="16"/>
                <w:color w:val="auto"/>
              </w:rPr>
            </w:pP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shd w:val="clear" w:color="auto" w:fill="DBDFEA"/>
          </w:tcPr>
          <w:p>
            <w:pPr>
              <w:spacing w:after="0"/>
              <w:rPr>
                <w:sz w:val="16"/>
                <w:szCs w:val="16"/>
                <w:color w:val="auto"/>
              </w:rPr>
            </w:pPr>
          </w:p>
        </w:tc>
        <w:tc>
          <w:tcPr>
            <w:tcW w:w="120" w:type="dxa"/>
            <w:vAlign w:val="bottom"/>
            <w:tcBorders>
              <w:right w:val="single" w:sz="8" w:color="008861"/>
            </w:tcBorders>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shd w:val="clear" w:color="auto" w:fill="DBDFEA"/>
          </w:tcPr>
          <w:p>
            <w:pPr>
              <w:ind w:left="360"/>
              <w:spacing w:after="0" w:line="189" w:lineRule="exact"/>
              <w:rPr>
                <w:sz w:val="20"/>
                <w:szCs w:val="20"/>
                <w:color w:val="auto"/>
              </w:rPr>
            </w:pPr>
            <w:r>
              <w:rPr>
                <w:rFonts w:ascii="Arial" w:cs="Arial" w:eastAsia="Arial" w:hAnsi="Arial"/>
                <w:sz w:val="17"/>
                <w:szCs w:val="17"/>
                <w:color w:val="auto"/>
              </w:rPr>
              <w:t>our managed funds and</w:t>
            </w:r>
          </w:p>
        </w:tc>
        <w:tc>
          <w:tcPr>
            <w:tcW w:w="0" w:type="dxa"/>
            <w:vAlign w:val="bottom"/>
          </w:tcPr>
          <w:p>
            <w:pPr>
              <w:spacing w:after="0"/>
              <w:rPr>
                <w:sz w:val="1"/>
                <w:szCs w:val="1"/>
                <w:color w:val="auto"/>
              </w:rPr>
            </w:pPr>
          </w:p>
        </w:tc>
      </w:tr>
      <w:tr>
        <w:trPr>
          <w:trHeight w:val="230"/>
        </w:trPr>
        <w:tc>
          <w:tcPr>
            <w:tcW w:w="2220" w:type="dxa"/>
            <w:vAlign w:val="bottom"/>
            <w:shd w:val="clear" w:color="auto" w:fill="DBDFEA"/>
          </w:tcPr>
          <w:p>
            <w:pPr>
              <w:spacing w:after="0"/>
              <w:rPr>
                <w:sz w:val="20"/>
                <w:szCs w:val="20"/>
                <w:color w:val="auto"/>
              </w:rPr>
            </w:pPr>
          </w:p>
        </w:tc>
        <w:tc>
          <w:tcPr>
            <w:tcW w:w="120" w:type="dxa"/>
            <w:vAlign w:val="bottom"/>
            <w:tcBorders>
              <w:right w:val="single" w:sz="8" w:color="008861"/>
            </w:tcBorders>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shd w:val="clear" w:color="auto" w:fill="DBDFEA"/>
          </w:tcPr>
          <w:p>
            <w:pPr>
              <w:spacing w:after="0"/>
              <w:rPr>
                <w:sz w:val="20"/>
                <w:szCs w:val="20"/>
                <w:color w:val="auto"/>
              </w:rPr>
            </w:pPr>
          </w:p>
        </w:tc>
        <w:tc>
          <w:tcPr>
            <w:tcW w:w="120" w:type="dxa"/>
            <w:vAlign w:val="bottom"/>
            <w:tcBorders>
              <w:right w:val="single" w:sz="8" w:color="008861"/>
            </w:tcBorders>
          </w:tcPr>
          <w:p>
            <w:pPr>
              <w:spacing w:after="0"/>
              <w:rPr>
                <w:sz w:val="20"/>
                <w:szCs w:val="20"/>
                <w:color w:val="auto"/>
              </w:rPr>
            </w:pPr>
          </w:p>
        </w:tc>
        <w:tc>
          <w:tcPr>
            <w:tcW w:w="60" w:type="dxa"/>
            <w:vAlign w:val="bottom"/>
          </w:tcPr>
          <w:p>
            <w:pPr>
              <w:spacing w:after="0"/>
              <w:rPr>
                <w:sz w:val="20"/>
                <w:szCs w:val="20"/>
                <w:color w:val="auto"/>
              </w:rPr>
            </w:pPr>
          </w:p>
        </w:tc>
        <w:tc>
          <w:tcPr>
            <w:tcW w:w="2240" w:type="dxa"/>
            <w:vAlign w:val="bottom"/>
            <w:shd w:val="clear" w:color="auto" w:fill="DBDFEA"/>
          </w:tcPr>
          <w:p>
            <w:pPr>
              <w:spacing w:after="0"/>
              <w:rPr>
                <w:sz w:val="20"/>
                <w:szCs w:val="20"/>
                <w:color w:val="auto"/>
              </w:rPr>
            </w:pPr>
          </w:p>
        </w:tc>
        <w:tc>
          <w:tcPr>
            <w:tcW w:w="120" w:type="dxa"/>
            <w:vAlign w:val="bottom"/>
            <w:tcBorders>
              <w:right w:val="single" w:sz="8" w:color="008861"/>
            </w:tcBorders>
          </w:tcPr>
          <w:p>
            <w:pPr>
              <w:spacing w:after="0"/>
              <w:rPr>
                <w:sz w:val="20"/>
                <w:szCs w:val="20"/>
                <w:color w:val="auto"/>
              </w:rPr>
            </w:pPr>
          </w:p>
        </w:tc>
        <w:tc>
          <w:tcPr>
            <w:tcW w:w="60" w:type="dxa"/>
            <w:vAlign w:val="bottom"/>
          </w:tcPr>
          <w:p>
            <w:pPr>
              <w:spacing w:after="0"/>
              <w:rPr>
                <w:sz w:val="20"/>
                <w:szCs w:val="20"/>
                <w:color w:val="auto"/>
              </w:rPr>
            </w:pPr>
          </w:p>
        </w:tc>
        <w:tc>
          <w:tcPr>
            <w:tcW w:w="2240" w:type="dxa"/>
            <w:vAlign w:val="bottom"/>
            <w:shd w:val="clear" w:color="auto" w:fill="DBDFEA"/>
          </w:tcPr>
          <w:p>
            <w:pPr>
              <w:ind w:left="360"/>
              <w:spacing w:after="0"/>
              <w:rPr>
                <w:sz w:val="20"/>
                <w:szCs w:val="20"/>
                <w:color w:val="auto"/>
              </w:rPr>
            </w:pPr>
            <w:r>
              <w:rPr>
                <w:rFonts w:ascii="Arial" w:cs="Arial" w:eastAsia="Arial" w:hAnsi="Arial"/>
                <w:sz w:val="17"/>
                <w:szCs w:val="17"/>
                <w:color w:val="auto"/>
              </w:rPr>
              <w:t>investment vehicles.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3535045</wp:posOffset>
            </wp:positionH>
            <wp:positionV relativeFrom="paragraph">
              <wp:posOffset>-1906270</wp:posOffset>
            </wp:positionV>
            <wp:extent cx="478790" cy="3429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8790" cy="342900"/>
                    </a:xfrm>
                    <a:prstGeom prst="rect">
                      <a:avLst/>
                    </a:prstGeom>
                    <a:noFill/>
                  </pic:spPr>
                </pic:pic>
              </a:graphicData>
            </a:graphic>
          </wp:anchor>
        </w:drawing>
        <w:drawing>
          <wp:anchor simplePos="0" relativeHeight="251657728" behindDoc="1" locked="0" layoutInCell="0" allowOverlap="1">
            <wp:simplePos x="0" y="0"/>
            <wp:positionH relativeFrom="column">
              <wp:posOffset>542925</wp:posOffset>
            </wp:positionH>
            <wp:positionV relativeFrom="paragraph">
              <wp:posOffset>-1914525</wp:posOffset>
            </wp:positionV>
            <wp:extent cx="351155" cy="3511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51155" cy="351155"/>
                    </a:xfrm>
                    <a:prstGeom prst="rect">
                      <a:avLst/>
                    </a:prstGeom>
                    <a:noFill/>
                  </pic:spPr>
                </pic:pic>
              </a:graphicData>
            </a:graphic>
          </wp:anchor>
        </w:drawing>
        <w:drawing>
          <wp:anchor simplePos="0" relativeHeight="251657728" behindDoc="1" locked="0" layoutInCell="0" allowOverlap="1">
            <wp:simplePos x="0" y="0"/>
            <wp:positionH relativeFrom="column">
              <wp:posOffset>2058670</wp:posOffset>
            </wp:positionH>
            <wp:positionV relativeFrom="paragraph">
              <wp:posOffset>-1930400</wp:posOffset>
            </wp:positionV>
            <wp:extent cx="375285" cy="3670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75285" cy="367030"/>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-1922780</wp:posOffset>
            </wp:positionV>
            <wp:extent cx="367030" cy="3587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67030" cy="35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008861"/>
        </w:rPr>
        <w:t>COMPENSATION PRACTICES</w:t>
      </w:r>
    </w:p>
    <w:p>
      <w:pPr>
        <w:spacing w:after="0" w:line="199"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We believe that our executive compensation programs provide appropriate performance-based incentives to attract and retain leadership talent in the highly competitive market in which we operate, to align management and stockholder interests and to continue to drive our long-term track record of strong returns to stockholders. The following are key features of our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123825</wp:posOffset>
            </wp:positionV>
            <wp:extent cx="6009005" cy="45167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09005" cy="4516755"/>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p>
      <w:pPr>
        <w:spacing w:after="0" w:line="211"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001544"/>
        </w:rPr>
        <w:t>What We Do</w:t>
      </w:r>
    </w:p>
    <w:p>
      <w:pPr>
        <w:spacing w:after="0" w:line="85" w:lineRule="exact"/>
        <w:rPr>
          <w:sz w:val="20"/>
          <w:szCs w:val="20"/>
          <w:color w:val="auto"/>
        </w:rPr>
      </w:pPr>
    </w:p>
    <w:p>
      <w:pPr>
        <w:ind w:left="360" w:firstLine="22"/>
        <w:spacing w:after="0" w:line="237" w:lineRule="auto"/>
        <w:rPr>
          <w:sz w:val="20"/>
          <w:szCs w:val="20"/>
          <w:color w:val="auto"/>
        </w:rPr>
      </w:pPr>
      <w:r>
        <w:rPr>
          <w:rFonts w:ascii="Arial" w:cs="Arial" w:eastAsia="Arial" w:hAnsi="Arial"/>
          <w:sz w:val="17"/>
          <w:szCs w:val="17"/>
          <w:i w:val="1"/>
          <w:iCs w:val="1"/>
          <w:color w:val="001544"/>
        </w:rPr>
        <w:t xml:space="preserve">Pay for performance. </w:t>
      </w:r>
      <w:r>
        <w:rPr>
          <w:rFonts w:ascii="Arial" w:cs="Arial" w:eastAsia="Arial" w:hAnsi="Arial"/>
          <w:sz w:val="17"/>
          <w:szCs w:val="17"/>
          <w:color w:val="000000"/>
        </w:rPr>
        <w:t>The vast majority of total</w:t>
      </w:r>
      <w:r>
        <w:rPr>
          <w:rFonts w:ascii="Arial" w:cs="Arial" w:eastAsia="Arial" w:hAnsi="Arial"/>
          <w:sz w:val="17"/>
          <w:szCs w:val="17"/>
          <w:i w:val="1"/>
          <w:iCs w:val="1"/>
          <w:color w:val="001544"/>
        </w:rPr>
        <w:t xml:space="preserve"> </w:t>
      </w:r>
      <w:r>
        <w:rPr>
          <w:rFonts w:ascii="Arial" w:cs="Arial" w:eastAsia="Arial" w:hAnsi="Arial"/>
          <w:sz w:val="17"/>
          <w:szCs w:val="17"/>
          <w:color w:val="000000"/>
        </w:rPr>
        <w:t>compensation, including payments from performance fee allocations, is tied to performance (i.e., there are minimum incentive targets, but not guaranteed minimum payments) and salaries comprise a relatively small portion of each executive’s overall compensation opportunity.</w:t>
      </w:r>
    </w:p>
    <w:p>
      <w:pPr>
        <w:spacing w:after="0" w:line="19" w:lineRule="exact"/>
        <w:rPr>
          <w:sz w:val="20"/>
          <w:szCs w:val="20"/>
          <w:color w:val="auto"/>
        </w:rPr>
      </w:pPr>
    </w:p>
    <w:p>
      <w:pPr>
        <w:ind w:left="360" w:right="20" w:firstLine="22"/>
        <w:spacing w:after="0" w:line="268" w:lineRule="auto"/>
        <w:rPr>
          <w:sz w:val="20"/>
          <w:szCs w:val="20"/>
          <w:color w:val="auto"/>
        </w:rPr>
      </w:pPr>
      <w:r>
        <w:rPr>
          <w:rFonts w:ascii="Arial" w:cs="Arial" w:eastAsia="Arial" w:hAnsi="Arial"/>
          <w:sz w:val="16"/>
          <w:szCs w:val="16"/>
          <w:i w:val="1"/>
          <w:iCs w:val="1"/>
          <w:color w:val="001544"/>
        </w:rPr>
        <w:t xml:space="preserve">Long-term alignment with stockholders. </w:t>
      </w:r>
      <w:r>
        <w:rPr>
          <w:rFonts w:ascii="Arial" w:cs="Arial" w:eastAsia="Arial" w:hAnsi="Arial"/>
          <w:sz w:val="16"/>
          <w:szCs w:val="16"/>
          <w:color w:val="000000"/>
        </w:rPr>
        <w:t>Our equity</w:t>
      </w:r>
      <w:r>
        <w:rPr>
          <w:rFonts w:ascii="Arial" w:cs="Arial" w:eastAsia="Arial" w:hAnsi="Arial"/>
          <w:sz w:val="16"/>
          <w:szCs w:val="16"/>
          <w:i w:val="1"/>
          <w:iCs w:val="1"/>
          <w:color w:val="001544"/>
        </w:rPr>
        <w:t xml:space="preserve"> </w:t>
      </w:r>
      <w:r>
        <w:rPr>
          <w:rFonts w:ascii="Arial" w:cs="Arial" w:eastAsia="Arial" w:hAnsi="Arial"/>
          <w:sz w:val="16"/>
          <w:szCs w:val="16"/>
          <w:color w:val="000000"/>
        </w:rPr>
        <w:t>incentive awards are subject to time-based, multi-year vesting schedules to enhance executive officer retention.</w:t>
      </w:r>
    </w:p>
    <w:p>
      <w:pPr>
        <w:spacing w:after="0" w:line="1" w:lineRule="exact"/>
        <w:rPr>
          <w:sz w:val="20"/>
          <w:szCs w:val="20"/>
          <w:color w:val="auto"/>
        </w:rPr>
      </w:pPr>
    </w:p>
    <w:p>
      <w:pPr>
        <w:ind w:left="360" w:right="100" w:firstLine="22"/>
        <w:spacing w:after="0" w:line="235" w:lineRule="auto"/>
        <w:rPr>
          <w:sz w:val="20"/>
          <w:szCs w:val="20"/>
          <w:color w:val="auto"/>
        </w:rPr>
      </w:pPr>
      <w:r>
        <w:rPr>
          <w:rFonts w:ascii="Arial" w:cs="Arial" w:eastAsia="Arial" w:hAnsi="Arial"/>
          <w:sz w:val="17"/>
          <w:szCs w:val="17"/>
          <w:i w:val="1"/>
          <w:iCs w:val="1"/>
          <w:color w:val="001544"/>
        </w:rPr>
        <w:t xml:space="preserve">Meaningful Performance Measures and Relative TSR Performance Alignment. </w:t>
      </w:r>
      <w:r>
        <w:rPr>
          <w:rFonts w:ascii="Arial" w:cs="Arial" w:eastAsia="Arial" w:hAnsi="Arial"/>
          <w:sz w:val="17"/>
          <w:szCs w:val="17"/>
          <w:color w:val="000000"/>
        </w:rPr>
        <w:t>We align the interest of our</w:t>
      </w:r>
      <w:r>
        <w:rPr>
          <w:rFonts w:ascii="Arial" w:cs="Arial" w:eastAsia="Arial" w:hAnsi="Arial"/>
          <w:sz w:val="17"/>
          <w:szCs w:val="17"/>
          <w:i w:val="1"/>
          <w:iCs w:val="1"/>
          <w:color w:val="001544"/>
        </w:rPr>
        <w:t xml:space="preserve"> </w:t>
      </w:r>
      <w:r>
        <w:rPr>
          <w:rFonts w:ascii="Arial" w:cs="Arial" w:eastAsia="Arial" w:hAnsi="Arial"/>
          <w:sz w:val="17"/>
          <w:szCs w:val="17"/>
          <w:color w:val="000000"/>
        </w:rPr>
        <w:t>executive officers with our long-term investors by designing our equity compensation program to provide for future multi-year, performance-based equity awards. For awards granted in 2024, these awards were based on a three-year cumulative DE performance measure with a relative total stockholder return modifier (which modifier is capped at 1.0x when absolute TSR is negative).</w:t>
      </w:r>
    </w:p>
    <w:p>
      <w:pPr>
        <w:spacing w:after="0" w:line="19" w:lineRule="exact"/>
        <w:rPr>
          <w:sz w:val="20"/>
          <w:szCs w:val="20"/>
          <w:color w:val="auto"/>
        </w:rPr>
      </w:pPr>
    </w:p>
    <w:p>
      <w:pPr>
        <w:ind w:left="360" w:right="80" w:firstLine="22"/>
        <w:spacing w:after="0" w:line="242" w:lineRule="auto"/>
        <w:rPr>
          <w:sz w:val="20"/>
          <w:szCs w:val="20"/>
          <w:color w:val="auto"/>
        </w:rPr>
      </w:pPr>
      <w:r>
        <w:rPr>
          <w:rFonts w:ascii="Arial" w:cs="Arial" w:eastAsia="Arial" w:hAnsi="Arial"/>
          <w:sz w:val="17"/>
          <w:szCs w:val="17"/>
          <w:i w:val="1"/>
          <w:iCs w:val="1"/>
          <w:color w:val="001544"/>
        </w:rPr>
        <w:t xml:space="preserve">Emphasis on Performance-Based Awards. </w:t>
      </w:r>
      <w:r>
        <w:rPr>
          <w:rFonts w:ascii="Arial" w:cs="Arial" w:eastAsia="Arial" w:hAnsi="Arial"/>
          <w:sz w:val="17"/>
          <w:szCs w:val="17"/>
          <w:color w:val="000000"/>
        </w:rPr>
        <w:t>50% of all</w:t>
      </w:r>
      <w:r>
        <w:rPr>
          <w:rFonts w:ascii="Arial" w:cs="Arial" w:eastAsia="Arial" w:hAnsi="Arial"/>
          <w:sz w:val="17"/>
          <w:szCs w:val="17"/>
          <w:i w:val="1"/>
          <w:iCs w:val="1"/>
          <w:color w:val="001544"/>
        </w:rPr>
        <w:t xml:space="preserve"> </w:t>
      </w:r>
      <w:r>
        <w:rPr>
          <w:rFonts w:ascii="Arial" w:cs="Arial" w:eastAsia="Arial" w:hAnsi="Arial"/>
          <w:sz w:val="17"/>
          <w:szCs w:val="17"/>
          <w:color w:val="000000"/>
        </w:rPr>
        <w:t>long-term incentive awards granted to executive officers are performance-based (regardless of the source of such award).</w:t>
      </w:r>
    </w:p>
    <w:p>
      <w:pPr>
        <w:spacing w:after="0" w:line="16" w:lineRule="exact"/>
        <w:rPr>
          <w:sz w:val="20"/>
          <w:szCs w:val="20"/>
          <w:color w:val="auto"/>
        </w:rPr>
      </w:pPr>
    </w:p>
    <w:p>
      <w:pPr>
        <w:ind w:left="360" w:right="400" w:firstLine="22"/>
        <w:spacing w:after="0" w:line="247" w:lineRule="auto"/>
        <w:rPr>
          <w:sz w:val="20"/>
          <w:szCs w:val="20"/>
          <w:color w:val="auto"/>
        </w:rPr>
      </w:pPr>
      <w:r>
        <w:rPr>
          <w:rFonts w:ascii="Arial" w:cs="Arial" w:eastAsia="Arial" w:hAnsi="Arial"/>
          <w:sz w:val="17"/>
          <w:szCs w:val="17"/>
          <w:i w:val="1"/>
          <w:iCs w:val="1"/>
          <w:color w:val="001544"/>
        </w:rPr>
        <w:t xml:space="preserve">Clawback Policy. </w:t>
      </w:r>
      <w:r>
        <w:rPr>
          <w:rFonts w:ascii="Arial" w:cs="Arial" w:eastAsia="Arial" w:hAnsi="Arial"/>
          <w:sz w:val="17"/>
          <w:szCs w:val="17"/>
          <w:color w:val="000000"/>
        </w:rPr>
        <w:t>We impose a clawback policy</w:t>
      </w:r>
      <w:r>
        <w:rPr>
          <w:rFonts w:ascii="Arial" w:cs="Arial" w:eastAsia="Arial" w:hAnsi="Arial"/>
          <w:sz w:val="17"/>
          <w:szCs w:val="17"/>
          <w:i w:val="1"/>
          <w:iCs w:val="1"/>
          <w:color w:val="001544"/>
        </w:rPr>
        <w:t xml:space="preserve"> </w:t>
      </w:r>
      <w:r>
        <w:rPr>
          <w:rFonts w:ascii="Arial" w:cs="Arial" w:eastAsia="Arial" w:hAnsi="Arial"/>
          <w:sz w:val="17"/>
          <w:szCs w:val="17"/>
          <w:color w:val="000000"/>
        </w:rPr>
        <w:t>consistent with SEC requirements and NYSE listing standards.</w:t>
      </w:r>
    </w:p>
    <w:p>
      <w:pPr>
        <w:spacing w:after="0" w:line="12" w:lineRule="exact"/>
        <w:rPr>
          <w:sz w:val="20"/>
          <w:szCs w:val="20"/>
          <w:color w:val="auto"/>
        </w:rPr>
      </w:pPr>
    </w:p>
    <w:p>
      <w:pPr>
        <w:ind w:left="360" w:right="220" w:firstLine="22"/>
        <w:spacing w:after="0" w:line="278" w:lineRule="auto"/>
        <w:rPr>
          <w:sz w:val="20"/>
          <w:szCs w:val="20"/>
          <w:color w:val="auto"/>
        </w:rPr>
      </w:pPr>
      <w:r>
        <w:rPr>
          <w:rFonts w:ascii="Arial" w:cs="Arial" w:eastAsia="Arial" w:hAnsi="Arial"/>
          <w:sz w:val="16"/>
          <w:szCs w:val="16"/>
          <w:i w:val="1"/>
          <w:iCs w:val="1"/>
          <w:color w:val="001544"/>
        </w:rPr>
        <w:t xml:space="preserve">Stock Ownership Guidelines. </w:t>
      </w:r>
      <w:r>
        <w:rPr>
          <w:rFonts w:ascii="Arial" w:cs="Arial" w:eastAsia="Arial" w:hAnsi="Arial"/>
          <w:sz w:val="16"/>
          <w:szCs w:val="16"/>
          <w:color w:val="000000"/>
        </w:rPr>
        <w:t>We follow robust stock</w:t>
      </w:r>
      <w:r>
        <w:rPr>
          <w:rFonts w:ascii="Arial" w:cs="Arial" w:eastAsia="Arial" w:hAnsi="Arial"/>
          <w:sz w:val="16"/>
          <w:szCs w:val="16"/>
          <w:i w:val="1"/>
          <w:iCs w:val="1"/>
          <w:color w:val="001544"/>
        </w:rPr>
        <w:t xml:space="preserve"> </w:t>
      </w:r>
      <w:r>
        <w:rPr>
          <w:rFonts w:ascii="Arial" w:cs="Arial" w:eastAsia="Arial" w:hAnsi="Arial"/>
          <w:sz w:val="16"/>
          <w:szCs w:val="16"/>
          <w:color w:val="000000"/>
        </w:rPr>
        <w:t>ownership guidelines for our executives and directors.</w:t>
      </w:r>
    </w:p>
    <w:p>
      <w:pPr>
        <w:spacing w:after="0" w:line="1" w:lineRule="exact"/>
        <w:rPr>
          <w:sz w:val="20"/>
          <w:szCs w:val="20"/>
          <w:color w:val="auto"/>
        </w:rPr>
      </w:pPr>
    </w:p>
    <w:p>
      <w:pPr>
        <w:ind w:left="360" w:right="120" w:firstLine="22"/>
        <w:spacing w:after="0" w:line="286" w:lineRule="auto"/>
        <w:rPr>
          <w:sz w:val="20"/>
          <w:szCs w:val="20"/>
          <w:color w:val="auto"/>
        </w:rPr>
      </w:pPr>
      <w:r>
        <w:rPr>
          <w:rFonts w:ascii="Arial" w:cs="Arial" w:eastAsia="Arial" w:hAnsi="Arial"/>
          <w:sz w:val="16"/>
          <w:szCs w:val="16"/>
          <w:i w:val="1"/>
          <w:iCs w:val="1"/>
          <w:color w:val="001544"/>
        </w:rPr>
        <w:t xml:space="preserve">Peer Benchmarking. </w:t>
      </w:r>
      <w:r>
        <w:rPr>
          <w:rFonts w:ascii="Arial" w:cs="Arial" w:eastAsia="Arial" w:hAnsi="Arial"/>
          <w:sz w:val="16"/>
          <w:szCs w:val="16"/>
          <w:color w:val="000000"/>
        </w:rPr>
        <w:t>We consider and benchmark peer</w:t>
      </w:r>
      <w:r>
        <w:rPr>
          <w:rFonts w:ascii="Arial" w:cs="Arial" w:eastAsia="Arial" w:hAnsi="Arial"/>
          <w:sz w:val="16"/>
          <w:szCs w:val="16"/>
          <w:i w:val="1"/>
          <w:iCs w:val="1"/>
          <w:color w:val="001544"/>
        </w:rPr>
        <w:t xml:space="preserve"> </w:t>
      </w:r>
      <w:r>
        <w:rPr>
          <w:rFonts w:ascii="Arial" w:cs="Arial" w:eastAsia="Arial" w:hAnsi="Arial"/>
          <w:sz w:val="16"/>
          <w:szCs w:val="16"/>
          <w:color w:val="000000"/>
        </w:rPr>
        <w:t>companies in establishing executive compensation.</w:t>
      </w:r>
    </w:p>
    <w:p>
      <w:pPr>
        <w:spacing w:after="0" w:line="1" w:lineRule="exact"/>
        <w:rPr>
          <w:sz w:val="20"/>
          <w:szCs w:val="20"/>
          <w:color w:val="auto"/>
        </w:rPr>
      </w:pPr>
    </w:p>
    <w:p>
      <w:pPr>
        <w:ind w:left="360" w:right="20" w:firstLine="22"/>
        <w:spacing w:after="0" w:line="247" w:lineRule="auto"/>
        <w:rPr>
          <w:sz w:val="20"/>
          <w:szCs w:val="20"/>
          <w:color w:val="auto"/>
        </w:rPr>
      </w:pPr>
      <w:r>
        <w:rPr>
          <w:rFonts w:ascii="Arial" w:cs="Arial" w:eastAsia="Arial" w:hAnsi="Arial"/>
          <w:sz w:val="17"/>
          <w:szCs w:val="17"/>
          <w:i w:val="1"/>
          <w:iCs w:val="1"/>
          <w:color w:val="001544"/>
        </w:rPr>
        <w:t xml:space="preserve">Independent Compensation Consultant. </w:t>
      </w:r>
      <w:r>
        <w:rPr>
          <w:rFonts w:ascii="Arial" w:cs="Arial" w:eastAsia="Arial" w:hAnsi="Arial"/>
          <w:sz w:val="17"/>
          <w:szCs w:val="17"/>
          <w:color w:val="000000"/>
        </w:rPr>
        <w:t>An independent</w:t>
      </w:r>
      <w:r>
        <w:rPr>
          <w:rFonts w:ascii="Arial" w:cs="Arial" w:eastAsia="Arial" w:hAnsi="Arial"/>
          <w:sz w:val="17"/>
          <w:szCs w:val="17"/>
          <w:i w:val="1"/>
          <w:iCs w:val="1"/>
          <w:color w:val="001544"/>
        </w:rPr>
        <w:t xml:space="preserve"> </w:t>
      </w:r>
      <w:r>
        <w:rPr>
          <w:rFonts w:ascii="Arial" w:cs="Arial" w:eastAsia="Arial" w:hAnsi="Arial"/>
          <w:sz w:val="17"/>
          <w:szCs w:val="17"/>
          <w:color w:val="000000"/>
        </w:rPr>
        <w:t>compensation consultant is retained by the Compensation Committee.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001544"/>
        </w:rPr>
        <w:t>What We Don’t Do</w:t>
      </w:r>
    </w:p>
    <w:p>
      <w:pPr>
        <w:spacing w:after="0" w:line="85" w:lineRule="exact"/>
        <w:rPr>
          <w:sz w:val="20"/>
          <w:szCs w:val="20"/>
          <w:color w:val="auto"/>
        </w:rPr>
      </w:pPr>
    </w:p>
    <w:p>
      <w:pPr>
        <w:ind w:right="140" w:hanging="10"/>
        <w:spacing w:after="0" w:line="247" w:lineRule="auto"/>
        <w:rPr>
          <w:sz w:val="20"/>
          <w:szCs w:val="20"/>
          <w:color w:val="auto"/>
        </w:rPr>
      </w:pPr>
      <w:r>
        <w:rPr>
          <w:rFonts w:ascii="Arial" w:cs="Arial" w:eastAsia="Arial" w:hAnsi="Arial"/>
          <w:sz w:val="17"/>
          <w:szCs w:val="17"/>
          <w:i w:val="1"/>
          <w:iCs w:val="1"/>
          <w:color w:val="001544"/>
        </w:rPr>
        <w:t xml:space="preserve">No Tax Gross Ups. </w:t>
      </w:r>
      <w:r>
        <w:rPr>
          <w:rFonts w:ascii="Arial" w:cs="Arial" w:eastAsia="Arial" w:hAnsi="Arial"/>
          <w:sz w:val="17"/>
          <w:szCs w:val="17"/>
          <w:color w:val="000000"/>
        </w:rPr>
        <w:t>We do not provide tax gross-ups on</w:t>
      </w:r>
      <w:r>
        <w:rPr>
          <w:rFonts w:ascii="Arial" w:cs="Arial" w:eastAsia="Arial" w:hAnsi="Arial"/>
          <w:sz w:val="17"/>
          <w:szCs w:val="17"/>
          <w:i w:val="1"/>
          <w:iCs w:val="1"/>
          <w:color w:val="001544"/>
        </w:rPr>
        <w:t xml:space="preserve"> </w:t>
      </w:r>
      <w:r>
        <w:rPr>
          <w:rFonts w:ascii="Arial" w:cs="Arial" w:eastAsia="Arial" w:hAnsi="Arial"/>
          <w:sz w:val="17"/>
          <w:szCs w:val="17"/>
          <w:color w:val="000000"/>
        </w:rPr>
        <w:t>compensation payments made in connection with a change of control.</w:t>
      </w:r>
    </w:p>
    <w:p>
      <w:pPr>
        <w:spacing w:after="0" w:line="12" w:lineRule="exact"/>
        <w:rPr>
          <w:sz w:val="20"/>
          <w:szCs w:val="20"/>
          <w:color w:val="auto"/>
        </w:rPr>
      </w:pPr>
    </w:p>
    <w:p>
      <w:pPr>
        <w:ind w:right="60" w:hanging="10"/>
        <w:spacing w:after="0" w:line="262" w:lineRule="auto"/>
        <w:rPr>
          <w:sz w:val="20"/>
          <w:szCs w:val="20"/>
          <w:color w:val="auto"/>
        </w:rPr>
      </w:pPr>
      <w:r>
        <w:rPr>
          <w:rFonts w:ascii="Arial" w:cs="Arial" w:eastAsia="Arial" w:hAnsi="Arial"/>
          <w:sz w:val="17"/>
          <w:szCs w:val="17"/>
          <w:i w:val="1"/>
          <w:iCs w:val="1"/>
          <w:color w:val="001544"/>
        </w:rPr>
        <w:t xml:space="preserve">No Guaranteed Bonuses. </w:t>
      </w:r>
      <w:r>
        <w:rPr>
          <w:rFonts w:ascii="Arial" w:cs="Arial" w:eastAsia="Arial" w:hAnsi="Arial"/>
          <w:sz w:val="17"/>
          <w:szCs w:val="17"/>
          <w:color w:val="000000"/>
        </w:rPr>
        <w:t>We do not provide guaranteed</w:t>
      </w:r>
      <w:r>
        <w:rPr>
          <w:rFonts w:ascii="Arial" w:cs="Arial" w:eastAsia="Arial" w:hAnsi="Arial"/>
          <w:sz w:val="17"/>
          <w:szCs w:val="17"/>
          <w:i w:val="1"/>
          <w:iCs w:val="1"/>
          <w:color w:val="001544"/>
        </w:rPr>
        <w:t xml:space="preserve"> </w:t>
      </w:r>
      <w:r>
        <w:rPr>
          <w:rFonts w:ascii="Arial" w:cs="Arial" w:eastAsia="Arial" w:hAnsi="Arial"/>
          <w:sz w:val="17"/>
          <w:szCs w:val="17"/>
          <w:color w:val="000000"/>
        </w:rPr>
        <w:t>bonuses.</w:t>
      </w:r>
    </w:p>
    <w:p>
      <w:pPr>
        <w:jc w:val="both"/>
        <w:ind w:right="220" w:hanging="10"/>
        <w:spacing w:after="0" w:line="247" w:lineRule="auto"/>
        <w:rPr>
          <w:sz w:val="20"/>
          <w:szCs w:val="20"/>
          <w:color w:val="auto"/>
        </w:rPr>
      </w:pPr>
      <w:r>
        <w:rPr>
          <w:rFonts w:ascii="Arial" w:cs="Arial" w:eastAsia="Arial" w:hAnsi="Arial"/>
          <w:sz w:val="17"/>
          <w:szCs w:val="17"/>
          <w:i w:val="1"/>
          <w:iCs w:val="1"/>
          <w:color w:val="001544"/>
        </w:rPr>
        <w:t xml:space="preserve">No Single Trigger Cash Severance. </w:t>
      </w:r>
      <w:r>
        <w:rPr>
          <w:rFonts w:ascii="Arial" w:cs="Arial" w:eastAsia="Arial" w:hAnsi="Arial"/>
          <w:sz w:val="17"/>
          <w:szCs w:val="17"/>
          <w:color w:val="000000"/>
        </w:rPr>
        <w:t>We do not provide</w:t>
      </w:r>
      <w:r>
        <w:rPr>
          <w:rFonts w:ascii="Arial" w:cs="Arial" w:eastAsia="Arial" w:hAnsi="Arial"/>
          <w:sz w:val="17"/>
          <w:szCs w:val="17"/>
          <w:i w:val="1"/>
          <w:iCs w:val="1"/>
          <w:color w:val="001544"/>
        </w:rPr>
        <w:t xml:space="preserve"> </w:t>
      </w:r>
      <w:r>
        <w:rPr>
          <w:rFonts w:ascii="Arial" w:cs="Arial" w:eastAsia="Arial" w:hAnsi="Arial"/>
          <w:sz w:val="17"/>
          <w:szCs w:val="17"/>
          <w:color w:val="000000"/>
        </w:rPr>
        <w:t>for single trigger cash severance in connection with a change of control.</w:t>
      </w:r>
    </w:p>
    <w:p>
      <w:pPr>
        <w:spacing w:after="0" w:line="14" w:lineRule="exact"/>
        <w:rPr>
          <w:sz w:val="20"/>
          <w:szCs w:val="20"/>
          <w:color w:val="auto"/>
        </w:rPr>
      </w:pPr>
    </w:p>
    <w:p>
      <w:pPr>
        <w:ind w:right="180" w:hanging="10"/>
        <w:spacing w:after="0" w:line="241" w:lineRule="auto"/>
        <w:rPr>
          <w:sz w:val="20"/>
          <w:szCs w:val="20"/>
          <w:color w:val="auto"/>
        </w:rPr>
      </w:pPr>
      <w:r>
        <w:rPr>
          <w:rFonts w:ascii="Arial" w:cs="Arial" w:eastAsia="Arial" w:hAnsi="Arial"/>
          <w:sz w:val="17"/>
          <w:szCs w:val="17"/>
          <w:i w:val="1"/>
          <w:iCs w:val="1"/>
          <w:color w:val="001544"/>
        </w:rPr>
        <w:t xml:space="preserve">No Dividends on Unearned Performance-Based Awards. </w:t>
      </w:r>
      <w:r>
        <w:rPr>
          <w:rFonts w:ascii="Arial" w:cs="Arial" w:eastAsia="Arial" w:hAnsi="Arial"/>
          <w:sz w:val="17"/>
          <w:szCs w:val="17"/>
          <w:color w:val="000000"/>
        </w:rPr>
        <w:t>We will not pay dividends or distributions on</w:t>
      </w:r>
      <w:r>
        <w:rPr>
          <w:rFonts w:ascii="Arial" w:cs="Arial" w:eastAsia="Arial" w:hAnsi="Arial"/>
          <w:sz w:val="17"/>
          <w:szCs w:val="17"/>
          <w:i w:val="1"/>
          <w:iCs w:val="1"/>
          <w:color w:val="001544"/>
        </w:rPr>
        <w:t xml:space="preserve"> </w:t>
      </w:r>
      <w:r>
        <w:rPr>
          <w:rFonts w:ascii="Arial" w:cs="Arial" w:eastAsia="Arial" w:hAnsi="Arial"/>
          <w:sz w:val="17"/>
          <w:szCs w:val="17"/>
          <w:color w:val="000000"/>
        </w:rPr>
        <w:t>unearned equity awards subject to performance-based vesting.</w:t>
      </w:r>
    </w:p>
    <w:p>
      <w:pPr>
        <w:spacing w:after="0" w:line="17" w:lineRule="exact"/>
        <w:rPr>
          <w:sz w:val="20"/>
          <w:szCs w:val="20"/>
          <w:color w:val="auto"/>
        </w:rPr>
      </w:pPr>
    </w:p>
    <w:p>
      <w:pPr>
        <w:ind w:right="340" w:hanging="10"/>
        <w:spacing w:after="0" w:line="263" w:lineRule="auto"/>
        <w:rPr>
          <w:sz w:val="20"/>
          <w:szCs w:val="20"/>
          <w:color w:val="auto"/>
        </w:rPr>
      </w:pPr>
      <w:r>
        <w:rPr>
          <w:rFonts w:ascii="Arial" w:cs="Arial" w:eastAsia="Arial" w:hAnsi="Arial"/>
          <w:sz w:val="17"/>
          <w:szCs w:val="17"/>
          <w:i w:val="1"/>
          <w:iCs w:val="1"/>
          <w:color w:val="001544"/>
        </w:rPr>
        <w:t xml:space="preserve">No Hedging or Pledging. </w:t>
      </w:r>
      <w:r>
        <w:rPr>
          <w:rFonts w:ascii="Arial" w:cs="Arial" w:eastAsia="Arial" w:hAnsi="Arial"/>
          <w:sz w:val="17"/>
          <w:szCs w:val="17"/>
          <w:color w:val="000000"/>
        </w:rPr>
        <w:t>We do not allow hedging or</w:t>
      </w:r>
      <w:r>
        <w:rPr>
          <w:rFonts w:ascii="Arial" w:cs="Arial" w:eastAsia="Arial" w:hAnsi="Arial"/>
          <w:sz w:val="17"/>
          <w:szCs w:val="17"/>
          <w:i w:val="1"/>
          <w:iCs w:val="1"/>
          <w:color w:val="001544"/>
        </w:rPr>
        <w:t xml:space="preserve"> </w:t>
      </w:r>
      <w:r>
        <w:rPr>
          <w:rFonts w:ascii="Arial" w:cs="Arial" w:eastAsia="Arial" w:hAnsi="Arial"/>
          <w:sz w:val="17"/>
          <w:szCs w:val="17"/>
          <w:color w:val="000000"/>
        </w:rPr>
        <w:t>pledging of Company securities.</w:t>
      </w:r>
    </w:p>
    <w:p>
      <w:pPr>
        <w:spacing w:after="0" w:line="4119" w:lineRule="exact"/>
        <w:rPr>
          <w:sz w:val="20"/>
          <w:szCs w:val="20"/>
          <w:color w:val="auto"/>
        </w:rPr>
      </w:pPr>
    </w:p>
    <w:p>
      <w:pPr>
        <w:sectPr>
          <w:pgSz w:w="11900" w:h="16838" w:orient="portrait"/>
          <w:cols w:equalWidth="0" w:num="2">
            <w:col w:w="4580" w:space="660"/>
            <w:col w:w="4240"/>
          </w:cols>
          <w:pgMar w:left="1200" w:top="487" w:right="1219" w:bottom="1440" w:gutter="0" w:footer="0" w:header="0"/>
          <w:type w:val="continuous"/>
        </w:sectPr>
      </w:pPr>
    </w:p>
    <w:p>
      <w:pPr>
        <w:spacing w:after="0" w:line="390"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008861"/>
        </w:rPr>
        <w:t>WE PAY FOR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Elements of Variable Pay</w:t>
      </w:r>
    </w:p>
    <w:p>
      <w:pPr>
        <w:spacing w:after="0" w:line="2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Variable pay, consisting of annual cash bonus, long-term incentive equity awards and, if any, performance fee allocations, constitutes the vast majority of our executive compensation. This weighting towards variable pay allows the Compensation Committee to incentivize performance in both our business operations and our stock price. To enhance pay-for-performance alignment with our stockholders, 50% of long-term incentive equity awards granted by the Company are “at-risk” performance-based stock awards. The ultimate value of performance-based stock awards depends on the Company’s achievement of the specified performance metric and the absolute and relative total stockholder return measured over the performance period. The performance fee allocation component is an element that is consistent with other alternative asset managers in recognition that the private fund investors that we serve also seek alignment with our executives, and we believe this alignment supports the continued growth of our business. See “Performance Fee Allocations.”</w:t>
      </w:r>
    </w:p>
    <w:p>
      <w:pPr>
        <w:spacing w:after="0" w:line="176" w:lineRule="exact"/>
        <w:rPr>
          <w:sz w:val="20"/>
          <w:szCs w:val="20"/>
          <w:color w:val="auto"/>
        </w:rPr>
      </w:pPr>
    </w:p>
    <w:p>
      <w:pPr>
        <w:jc w:val="both"/>
        <w:ind w:right="160"/>
        <w:spacing w:after="0" w:line="242" w:lineRule="auto"/>
        <w:rPr>
          <w:sz w:val="20"/>
          <w:szCs w:val="20"/>
          <w:color w:val="auto"/>
        </w:rPr>
      </w:pPr>
      <w:r>
        <w:rPr>
          <w:rFonts w:ascii="Arial" w:cs="Arial" w:eastAsia="Arial" w:hAnsi="Arial"/>
          <w:sz w:val="18"/>
          <w:szCs w:val="18"/>
          <w:color w:val="auto"/>
        </w:rPr>
        <w:t>The following charts present the ratio of the components of recurring compensation that are variable and at risk (annual cash bonus, long-term incentive equity awards and performance fee payments) in comparison to salary in 2024 for our Chief Executive Officer individually, and the ratio of each average component for our other currently serving NEOs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115570</wp:posOffset>
            </wp:positionV>
            <wp:extent cx="4572635" cy="1931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572635" cy="1931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Process for Determining Annual Compensation</w:t>
      </w:r>
    </w:p>
    <w:p>
      <w:pPr>
        <w:spacing w:after="0" w:line="218" w:lineRule="exact"/>
        <w:rPr>
          <w:sz w:val="20"/>
          <w:szCs w:val="20"/>
          <w:color w:val="auto"/>
        </w:rPr>
      </w:pPr>
    </w:p>
    <w:p>
      <w:pPr>
        <w:ind w:right="260"/>
        <w:spacing w:after="0" w:line="282" w:lineRule="auto"/>
        <w:rPr>
          <w:sz w:val="20"/>
          <w:szCs w:val="20"/>
          <w:color w:val="auto"/>
        </w:rPr>
      </w:pPr>
      <w:r>
        <w:rPr>
          <w:rFonts w:ascii="Arial" w:cs="Arial" w:eastAsia="Arial" w:hAnsi="Arial"/>
          <w:sz w:val="16"/>
          <w:szCs w:val="16"/>
          <w:color w:val="auto"/>
        </w:rPr>
        <w:t>We have adopted a structured pay model, which is primarily driven by formulaic-based determinations of rigorous financial and quantitative goals. This structured pay model, described further herein, was used to determine compensation for 2024 performance for our NEOs. Our Compensation Committee reviews our compensation program annually to ensure that it continues to align the incentives of our NEOs with the interests of our stockholders.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40"/>
          </w:cols>
          <w:pgMar w:left="1200" w:top="487" w:right="125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5800"/>
        <w:spacing w:after="0"/>
        <w:rPr>
          <w:sz w:val="20"/>
          <w:szCs w:val="20"/>
          <w:color w:val="auto"/>
        </w:rPr>
      </w:pPr>
      <w:r>
        <w:rPr>
          <w:rFonts w:ascii="Arial" w:cs="Arial" w:eastAsia="Arial" w:hAnsi="Arial"/>
          <w:sz w:val="16"/>
          <w:szCs w:val="16"/>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60090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3"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During the first quarter of each fiscal year, the Compensation Committee determines the annual cash bonuses and long-term incentive equity awards to be awarded with respect to performance during the prior year. In the first half of</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each year, the Compensation Committee also adopts an annual incentive plan, which establishes a formulaic approach to determining the amount of target cash bonuses to be paid for the current fiscal year and determines the amount of base salaries, target annual cash bonuses and target long-term incentive equity awards for each executive officer. The Compensation Committee engages Pay Governance, a nationally recognized independent consulting firm, to review and provide independent analysis and recommendations to the Compensation Committee regarding compensation to our executive officers, our annual incentive plan, our peer group and other compensation matters based on their experience and relevant market data.</w:t>
      </w:r>
    </w:p>
    <w:p>
      <w:pPr>
        <w:spacing w:after="0" w:line="1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During the 2024 evaluation period, to establish a framework for executive compensation for 2024, the Compensation Committee and Pay Governance discussed each of the elements of our compensation plan, including cash bonus, long-term incentive equity awards and performance fee allocations, carefully evaluated details of equity compensation plans within the Company’s peer group and reviewed other relevant company published survey data. Pay Governance met with members of the Compensation Committee and management in separate meetings and calls regarding these matters. In addition, the Compensation Committee considered the Company’s performance and relative stockholder return, the amount of compensation payable, including annual incentive awards, to similarly situated officers within our peer group and prior stockholder votes on executive compensation, among other factors, prior to adopting the 2024 Annual Incentive Plan. The 2024 Annual Incentive Plan provided objective measures for evaluating cash bonus compensation of our NEOs as described herein.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008861"/>
        </w:rPr>
        <w:t>PEER BENCHMARKING</w:t>
      </w:r>
    </w:p>
    <w:p>
      <w:pPr>
        <w:spacing w:after="0" w:line="199"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Based on recommendations from our compensation consultant, we reviewed our peer group for 2024 after considering factors such as industry, business model relevance, size, assets under management, market capitalization, and business mix, with a focus on alternative asset managers and firms with which we compete for talent. Our peer group for 2024 consisted of the following companies: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940" w:type="dxa"/>
            <w:vAlign w:val="bottom"/>
            <w:shd w:val="clear" w:color="auto" w:fill="DBDFEA"/>
          </w:tcPr>
          <w:p>
            <w:pPr>
              <w:ind w:left="100"/>
              <w:spacing w:after="0"/>
              <w:rPr>
                <w:sz w:val="20"/>
                <w:szCs w:val="20"/>
                <w:color w:val="auto"/>
              </w:rPr>
            </w:pPr>
            <w:r>
              <w:rPr>
                <w:rFonts w:ascii="Arial" w:cs="Arial" w:eastAsia="Arial" w:hAnsi="Arial"/>
                <w:sz w:val="17"/>
                <w:szCs w:val="17"/>
                <w:i w:val="1"/>
                <w:iCs w:val="1"/>
                <w:color w:val="auto"/>
              </w:rPr>
              <w:t>Ares Management</w:t>
            </w:r>
          </w:p>
        </w:tc>
        <w:tc>
          <w:tcPr>
            <w:tcW w:w="200" w:type="dxa"/>
            <w:vAlign w:val="bottom"/>
            <w:tcBorders>
              <w:right w:val="single" w:sz="8" w:color="001544"/>
            </w:tcBorders>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shd w:val="clear" w:color="auto" w:fill="DBDFEA"/>
          </w:tcPr>
          <w:p>
            <w:pPr>
              <w:ind w:left="120"/>
              <w:spacing w:after="0"/>
              <w:rPr>
                <w:sz w:val="20"/>
                <w:szCs w:val="20"/>
                <w:color w:val="auto"/>
              </w:rPr>
            </w:pPr>
            <w:r>
              <w:rPr>
                <w:rFonts w:ascii="Arial" w:cs="Arial" w:eastAsia="Arial" w:hAnsi="Arial"/>
                <w:sz w:val="17"/>
                <w:szCs w:val="17"/>
                <w:i w:val="1"/>
                <w:iCs w:val="1"/>
                <w:color w:val="auto"/>
              </w:rPr>
              <w:t>Carlyle Group</w:t>
            </w:r>
          </w:p>
        </w:tc>
        <w:tc>
          <w:tcPr>
            <w:tcW w:w="180" w:type="dxa"/>
            <w:vAlign w:val="bottom"/>
            <w:tcBorders>
              <w:right w:val="single" w:sz="8" w:color="001544"/>
            </w:tcBorders>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shd w:val="clear" w:color="auto" w:fill="DBDFEA"/>
          </w:tcPr>
          <w:p>
            <w:pPr>
              <w:ind w:left="120"/>
              <w:spacing w:after="0"/>
              <w:rPr>
                <w:sz w:val="20"/>
                <w:szCs w:val="20"/>
                <w:color w:val="auto"/>
              </w:rPr>
            </w:pPr>
            <w:r>
              <w:rPr>
                <w:rFonts w:ascii="Arial" w:cs="Arial" w:eastAsia="Arial" w:hAnsi="Arial"/>
                <w:sz w:val="17"/>
                <w:szCs w:val="17"/>
                <w:i w:val="1"/>
                <w:iCs w:val="1"/>
                <w:color w:val="auto"/>
              </w:rPr>
              <w:t>StepStone Group</w:t>
            </w:r>
          </w:p>
        </w:tc>
      </w:tr>
      <w:tr>
        <w:trPr>
          <w:trHeight w:val="188"/>
        </w:trPr>
        <w:tc>
          <w:tcPr>
            <w:tcW w:w="2940" w:type="dxa"/>
            <w:vAlign w:val="bottom"/>
            <w:shd w:val="clear" w:color="auto" w:fill="DBDFEA"/>
          </w:tcPr>
          <w:p>
            <w:pPr>
              <w:ind w:left="100"/>
              <w:spacing w:after="0" w:line="189" w:lineRule="exact"/>
              <w:rPr>
                <w:sz w:val="20"/>
                <w:szCs w:val="20"/>
                <w:color w:val="auto"/>
              </w:rPr>
            </w:pPr>
            <w:r>
              <w:rPr>
                <w:rFonts w:ascii="Arial" w:cs="Arial" w:eastAsia="Arial" w:hAnsi="Arial"/>
                <w:sz w:val="17"/>
                <w:szCs w:val="17"/>
                <w:i w:val="1"/>
                <w:iCs w:val="1"/>
                <w:color w:val="auto"/>
              </w:rPr>
              <w:t>Blue Owl Capital</w:t>
            </w:r>
          </w:p>
        </w:tc>
        <w:tc>
          <w:tcPr>
            <w:tcW w:w="200" w:type="dxa"/>
            <w:vAlign w:val="bottom"/>
            <w:tcBorders>
              <w:right w:val="single" w:sz="8" w:color="001544"/>
            </w:tcBorders>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shd w:val="clear" w:color="auto" w:fill="DBDFEA"/>
          </w:tcPr>
          <w:p>
            <w:pPr>
              <w:ind w:left="120"/>
              <w:spacing w:after="0" w:line="189" w:lineRule="exact"/>
              <w:rPr>
                <w:sz w:val="20"/>
                <w:szCs w:val="20"/>
                <w:color w:val="auto"/>
              </w:rPr>
            </w:pPr>
            <w:r>
              <w:rPr>
                <w:rFonts w:ascii="Arial" w:cs="Arial" w:eastAsia="Arial" w:hAnsi="Arial"/>
                <w:sz w:val="17"/>
                <w:szCs w:val="17"/>
                <w:i w:val="1"/>
                <w:iCs w:val="1"/>
                <w:color w:val="auto"/>
              </w:rPr>
              <w:t>Cohen &amp; Steers</w:t>
            </w:r>
          </w:p>
        </w:tc>
        <w:tc>
          <w:tcPr>
            <w:tcW w:w="180" w:type="dxa"/>
            <w:vAlign w:val="bottom"/>
            <w:tcBorders>
              <w:right w:val="single" w:sz="8" w:color="001544"/>
            </w:tcBorders>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shd w:val="clear" w:color="auto" w:fill="DBDFEA"/>
          </w:tcPr>
          <w:p>
            <w:pPr>
              <w:ind w:left="120"/>
              <w:spacing w:after="0" w:line="189" w:lineRule="exact"/>
              <w:rPr>
                <w:sz w:val="20"/>
                <w:szCs w:val="20"/>
                <w:color w:val="auto"/>
              </w:rPr>
            </w:pPr>
            <w:r>
              <w:rPr>
                <w:rFonts w:ascii="Arial" w:cs="Arial" w:eastAsia="Arial" w:hAnsi="Arial"/>
                <w:sz w:val="17"/>
                <w:szCs w:val="17"/>
                <w:i w:val="1"/>
                <w:iCs w:val="1"/>
                <w:color w:val="auto"/>
              </w:rPr>
              <w:t>TPG</w:t>
            </w:r>
          </w:p>
        </w:tc>
      </w:tr>
      <w:tr>
        <w:trPr>
          <w:trHeight w:val="228"/>
        </w:trPr>
        <w:tc>
          <w:tcPr>
            <w:tcW w:w="2940" w:type="dxa"/>
            <w:vAlign w:val="bottom"/>
            <w:shd w:val="clear" w:color="auto" w:fill="DBDFEA"/>
          </w:tcPr>
          <w:p>
            <w:pPr>
              <w:spacing w:after="0"/>
              <w:rPr>
                <w:sz w:val="19"/>
                <w:szCs w:val="19"/>
                <w:color w:val="auto"/>
              </w:rPr>
            </w:pPr>
          </w:p>
        </w:tc>
        <w:tc>
          <w:tcPr>
            <w:tcW w:w="200" w:type="dxa"/>
            <w:vAlign w:val="bottom"/>
            <w:tcBorders>
              <w:right w:val="single" w:sz="8" w:color="001544"/>
            </w:tcBorders>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shd w:val="clear" w:color="auto" w:fill="DBDFEA"/>
          </w:tcPr>
          <w:p>
            <w:pPr>
              <w:ind w:left="120"/>
              <w:spacing w:after="0"/>
              <w:rPr>
                <w:sz w:val="20"/>
                <w:szCs w:val="20"/>
                <w:color w:val="auto"/>
              </w:rPr>
            </w:pPr>
            <w:r>
              <w:rPr>
                <w:rFonts w:ascii="Arial" w:cs="Arial" w:eastAsia="Arial" w:hAnsi="Arial"/>
                <w:sz w:val="17"/>
                <w:szCs w:val="17"/>
                <w:i w:val="1"/>
                <w:iCs w:val="1"/>
                <w:color w:val="auto"/>
              </w:rPr>
              <w:t>Hamilton Lane</w:t>
            </w:r>
          </w:p>
        </w:tc>
        <w:tc>
          <w:tcPr>
            <w:tcW w:w="180" w:type="dxa"/>
            <w:vAlign w:val="bottom"/>
            <w:tcBorders>
              <w:right w:val="single" w:sz="8" w:color="001544"/>
            </w:tcBorders>
          </w:tcPr>
          <w:p>
            <w:pPr>
              <w:spacing w:after="0"/>
              <w:rPr>
                <w:sz w:val="19"/>
                <w:szCs w:val="19"/>
                <w:color w:val="auto"/>
              </w:rPr>
            </w:pPr>
          </w:p>
        </w:tc>
        <w:tc>
          <w:tcPr>
            <w:tcW w:w="160" w:type="dxa"/>
            <w:vAlign w:val="bottom"/>
          </w:tcPr>
          <w:p>
            <w:pPr>
              <w:spacing w:after="0"/>
              <w:rPr>
                <w:sz w:val="19"/>
                <w:szCs w:val="19"/>
                <w:color w:val="auto"/>
              </w:rPr>
            </w:pPr>
          </w:p>
        </w:tc>
        <w:tc>
          <w:tcPr>
            <w:tcW w:w="2860" w:type="dxa"/>
            <w:vAlign w:val="bottom"/>
            <w:shd w:val="clear" w:color="auto" w:fill="DBDFEA"/>
          </w:tcPr>
          <w:p>
            <w:pPr>
              <w:spacing w:after="0"/>
              <w:rPr>
                <w:sz w:val="19"/>
                <w:szCs w:val="19"/>
                <w:color w:val="auto"/>
              </w:rPr>
            </w:pPr>
          </w:p>
        </w:tc>
      </w:tr>
    </w:tbl>
    <w:p>
      <w:pPr>
        <w:spacing w:after="0" w:line="177"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Based on the recommendation of our compensation consultant and a review of the factors discussed above, we determined that our peer group will remain the same for 2025.</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2024 Compensation Decisions</w:t>
      </w:r>
    </w:p>
    <w:p>
      <w:pPr>
        <w:spacing w:after="0" w:line="2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Based upon its review of our corporate performance and the individual performance of each NEO employed as of December 31, 2024, as discussed in this Compensation Discussion and Analysis, the Compensation Committee approved the compensation amounts outlined in the table below. This table provides a comprehensive summary of each such NEO’s total recurring direct compensation for the 2024 performance year. This perspective may be useful in reviewing key incentive compensation decisions, as this is how the Compensation Committee considers performance and pay, with incentive compensation generally reflective of prior year’s performance. It should be noted that the table below is not intended to be a substitute for the Summary Compensation Table presented in “Compensation Tables and Related Narrative,” as certain amounts in the table below are different from the amounts in the Summary Compensation Table. The most significant differences are that this table (i) reflects long-term incentive equity awards granted in March 2025 for the 2024 performance year, while the Summary Compensation Table provides the value of the equity awards for the year in which they were granted and (ii) excludes non-recurring special bonuses and non-</w:t>
      </w:r>
    </w:p>
    <w:p>
      <w:pPr>
        <w:spacing w:after="0" w:line="370"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recurring other compensation items included in the All Other Compensation column of the Summary Compensation Table.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008861"/>
        </w:rPr>
        <w:t>2024 TOTAL RECURRING DIRECT COMPENSATION</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center"/>
              <w:ind w:right="145"/>
              <w:spacing w:after="0"/>
              <w:rPr>
                <w:sz w:val="20"/>
                <w:szCs w:val="20"/>
                <w:color w:val="auto"/>
              </w:rPr>
            </w:pPr>
            <w:r>
              <w:rPr>
                <w:rFonts w:ascii="Arial" w:cs="Arial" w:eastAsia="Arial" w:hAnsi="Arial"/>
                <w:sz w:val="15"/>
                <w:szCs w:val="15"/>
                <w:b w:val="1"/>
                <w:bCs w:val="1"/>
                <w:color w:val="001544"/>
                <w:w w:val="99"/>
              </w:rPr>
              <w:t>Long-Term</w:t>
            </w:r>
          </w:p>
        </w:tc>
        <w:tc>
          <w:tcPr>
            <w:tcW w:w="1360" w:type="dxa"/>
            <w:vAlign w:val="bottom"/>
          </w:tcPr>
          <w:p>
            <w:pPr>
              <w:spacing w:after="0"/>
              <w:rPr>
                <w:sz w:val="15"/>
                <w:szCs w:val="15"/>
                <w:color w:val="auto"/>
              </w:rPr>
            </w:pPr>
          </w:p>
        </w:tc>
        <w:tc>
          <w:tcPr>
            <w:tcW w:w="880" w:type="dxa"/>
            <w:vAlign w:val="bottom"/>
          </w:tcPr>
          <w:p>
            <w:pPr>
              <w:jc w:val="center"/>
              <w:ind w:left="45"/>
              <w:spacing w:after="0"/>
              <w:rPr>
                <w:sz w:val="20"/>
                <w:szCs w:val="20"/>
                <w:color w:val="auto"/>
              </w:rPr>
            </w:pPr>
            <w:r>
              <w:rPr>
                <w:rFonts w:ascii="Arial" w:cs="Arial" w:eastAsia="Arial" w:hAnsi="Arial"/>
                <w:sz w:val="15"/>
                <w:szCs w:val="15"/>
                <w:b w:val="1"/>
                <w:bCs w:val="1"/>
                <w:color w:val="001544"/>
                <w:w w:val="99"/>
              </w:rPr>
              <w:t>% Change</w:t>
            </w:r>
          </w:p>
        </w:tc>
        <w:tc>
          <w:tcPr>
            <w:tcW w:w="220" w:type="dxa"/>
            <w:vAlign w:val="bottom"/>
          </w:tcPr>
          <w:p>
            <w:pPr>
              <w:spacing w:after="0"/>
              <w:rPr>
                <w:sz w:val="15"/>
                <w:szCs w:val="15"/>
                <w:color w:val="auto"/>
              </w:rPr>
            </w:pPr>
          </w:p>
        </w:tc>
      </w:tr>
      <w:tr>
        <w:trPr>
          <w:trHeight w:val="164"/>
        </w:trPr>
        <w:tc>
          <w:tcPr>
            <w:tcW w:w="3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jc w:val="center"/>
              <w:ind w:left="25"/>
              <w:spacing w:after="0" w:line="164" w:lineRule="exact"/>
              <w:rPr>
                <w:sz w:val="20"/>
                <w:szCs w:val="20"/>
                <w:color w:val="auto"/>
              </w:rPr>
            </w:pPr>
            <w:r>
              <w:rPr>
                <w:rFonts w:ascii="Arial" w:cs="Arial" w:eastAsia="Arial" w:hAnsi="Arial"/>
                <w:sz w:val="15"/>
                <w:szCs w:val="15"/>
                <w:b w:val="1"/>
                <w:bCs w:val="1"/>
                <w:color w:val="001544"/>
              </w:rPr>
              <w:t>Annual Cash</w:t>
            </w:r>
          </w:p>
        </w:tc>
        <w:tc>
          <w:tcPr>
            <w:tcW w:w="1420" w:type="dxa"/>
            <w:vAlign w:val="bottom"/>
            <w:gridSpan w:val="2"/>
          </w:tcPr>
          <w:p>
            <w:pPr>
              <w:jc w:val="center"/>
              <w:spacing w:after="0" w:line="164" w:lineRule="exact"/>
              <w:rPr>
                <w:sz w:val="20"/>
                <w:szCs w:val="20"/>
                <w:color w:val="auto"/>
              </w:rPr>
            </w:pPr>
            <w:r>
              <w:rPr>
                <w:rFonts w:ascii="Arial" w:cs="Arial" w:eastAsia="Arial" w:hAnsi="Arial"/>
                <w:sz w:val="15"/>
                <w:szCs w:val="15"/>
                <w:b w:val="1"/>
                <w:bCs w:val="1"/>
                <w:color w:val="001544"/>
              </w:rPr>
              <w:t>Incentive Equity</w:t>
            </w:r>
          </w:p>
        </w:tc>
        <w:tc>
          <w:tcPr>
            <w:tcW w:w="1360" w:type="dxa"/>
            <w:vAlign w:val="bottom"/>
          </w:tcPr>
          <w:p>
            <w:pPr>
              <w:jc w:val="center"/>
              <w:spacing w:after="0" w:line="164" w:lineRule="exact"/>
              <w:rPr>
                <w:sz w:val="20"/>
                <w:szCs w:val="20"/>
                <w:color w:val="auto"/>
              </w:rPr>
            </w:pPr>
            <w:r>
              <w:rPr>
                <w:rFonts w:ascii="Arial" w:cs="Arial" w:eastAsia="Arial" w:hAnsi="Arial"/>
                <w:sz w:val="15"/>
                <w:szCs w:val="15"/>
                <w:b w:val="1"/>
                <w:bCs w:val="1"/>
                <w:color w:val="001544"/>
                <w:w w:val="99"/>
              </w:rPr>
              <w:t>Total Direct</w:t>
            </w:r>
          </w:p>
        </w:tc>
        <w:tc>
          <w:tcPr>
            <w:tcW w:w="880" w:type="dxa"/>
            <w:vAlign w:val="bottom"/>
          </w:tcPr>
          <w:p>
            <w:pPr>
              <w:jc w:val="center"/>
              <w:ind w:left="45"/>
              <w:spacing w:after="0" w:line="164" w:lineRule="exact"/>
              <w:rPr>
                <w:sz w:val="20"/>
                <w:szCs w:val="20"/>
                <w:color w:val="auto"/>
              </w:rPr>
            </w:pPr>
            <w:r>
              <w:rPr>
                <w:rFonts w:ascii="Arial" w:cs="Arial" w:eastAsia="Arial" w:hAnsi="Arial"/>
                <w:sz w:val="15"/>
                <w:szCs w:val="15"/>
                <w:b w:val="1"/>
                <w:bCs w:val="1"/>
                <w:color w:val="001544"/>
                <w:w w:val="95"/>
              </w:rPr>
              <w:t>from</w:t>
            </w:r>
          </w:p>
        </w:tc>
        <w:tc>
          <w:tcPr>
            <w:tcW w:w="220" w:type="dxa"/>
            <w:vAlign w:val="bottom"/>
          </w:tcPr>
          <w:p>
            <w:pPr>
              <w:spacing w:after="0"/>
              <w:rPr>
                <w:sz w:val="14"/>
                <w:szCs w:val="14"/>
                <w:color w:val="auto"/>
              </w:rPr>
            </w:pPr>
          </w:p>
        </w:tc>
      </w:tr>
      <w:tr>
        <w:trPr>
          <w:trHeight w:val="176"/>
        </w:trPr>
        <w:tc>
          <w:tcPr>
            <w:tcW w:w="3180" w:type="dxa"/>
            <w:vAlign w:val="bottom"/>
          </w:tcPr>
          <w:p>
            <w:pPr>
              <w:spacing w:after="0"/>
              <w:rPr>
                <w:sz w:val="15"/>
                <w:szCs w:val="15"/>
                <w:color w:val="auto"/>
              </w:rPr>
            </w:pPr>
          </w:p>
        </w:tc>
        <w:tc>
          <w:tcPr>
            <w:tcW w:w="1140" w:type="dxa"/>
            <w:vAlign w:val="bottom"/>
          </w:tcPr>
          <w:p>
            <w:pPr>
              <w:jc w:val="right"/>
              <w:ind w:right="145"/>
              <w:spacing w:after="0"/>
              <w:rPr>
                <w:sz w:val="20"/>
                <w:szCs w:val="20"/>
                <w:color w:val="auto"/>
              </w:rPr>
            </w:pPr>
            <w:r>
              <w:rPr>
                <w:rFonts w:ascii="Arial" w:cs="Arial" w:eastAsia="Arial" w:hAnsi="Arial"/>
                <w:sz w:val="15"/>
                <w:szCs w:val="15"/>
                <w:b w:val="1"/>
                <w:bCs w:val="1"/>
                <w:color w:val="001544"/>
              </w:rPr>
              <w:t>Salary</w:t>
            </w:r>
          </w:p>
        </w:tc>
        <w:tc>
          <w:tcPr>
            <w:tcW w:w="1260" w:type="dxa"/>
            <w:vAlign w:val="bottom"/>
          </w:tcPr>
          <w:p>
            <w:pPr>
              <w:jc w:val="center"/>
              <w:ind w:left="45"/>
              <w:spacing w:after="0"/>
              <w:rPr>
                <w:sz w:val="20"/>
                <w:szCs w:val="20"/>
                <w:color w:val="auto"/>
              </w:rPr>
            </w:pPr>
            <w:r>
              <w:rPr>
                <w:rFonts w:ascii="Arial" w:cs="Arial" w:eastAsia="Arial" w:hAnsi="Arial"/>
                <w:sz w:val="15"/>
                <w:szCs w:val="15"/>
                <w:b w:val="1"/>
                <w:bCs w:val="1"/>
                <w:color w:val="001544"/>
                <w:w w:val="98"/>
              </w:rPr>
              <w:t>Bonus</w:t>
            </w:r>
          </w:p>
        </w:tc>
        <w:tc>
          <w:tcPr>
            <w:tcW w:w="260" w:type="dxa"/>
            <w:vAlign w:val="bottom"/>
          </w:tcPr>
          <w:p>
            <w:pPr>
              <w:spacing w:after="0"/>
              <w:rPr>
                <w:sz w:val="15"/>
                <w:szCs w:val="15"/>
                <w:color w:val="auto"/>
              </w:rPr>
            </w:pPr>
          </w:p>
        </w:tc>
        <w:tc>
          <w:tcPr>
            <w:tcW w:w="1160" w:type="dxa"/>
            <w:vAlign w:val="bottom"/>
          </w:tcPr>
          <w:p>
            <w:pPr>
              <w:jc w:val="center"/>
              <w:ind w:right="125"/>
              <w:spacing w:after="0" w:line="176" w:lineRule="exact"/>
              <w:rPr>
                <w:sz w:val="20"/>
                <w:szCs w:val="20"/>
                <w:color w:val="auto"/>
              </w:rPr>
            </w:pPr>
            <w:r>
              <w:rPr>
                <w:rFonts w:ascii="Arial" w:cs="Arial" w:eastAsia="Arial" w:hAnsi="Arial"/>
                <w:sz w:val="14"/>
                <w:szCs w:val="14"/>
                <w:b w:val="1"/>
                <w:bCs w:val="1"/>
                <w:color w:val="001544"/>
              </w:rPr>
              <w:t>Awards</w:t>
            </w:r>
            <w:r>
              <w:rPr>
                <w:rFonts w:ascii="Arial" w:cs="Arial" w:eastAsia="Arial" w:hAnsi="Arial"/>
                <w:sz w:val="20"/>
                <w:szCs w:val="20"/>
                <w:b w:val="1"/>
                <w:bCs w:val="1"/>
                <w:color w:val="001544"/>
                <w:vertAlign w:val="superscript"/>
              </w:rPr>
              <w:t>(1)</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001544"/>
                <w:w w:val="99"/>
              </w:rPr>
              <w:t>Compensation</w:t>
            </w:r>
          </w:p>
        </w:tc>
        <w:tc>
          <w:tcPr>
            <w:tcW w:w="880" w:type="dxa"/>
            <w:vAlign w:val="bottom"/>
          </w:tcPr>
          <w:p>
            <w:pPr>
              <w:jc w:val="center"/>
              <w:ind w:left="45"/>
              <w:spacing w:after="0"/>
              <w:rPr>
                <w:sz w:val="20"/>
                <w:szCs w:val="20"/>
                <w:color w:val="auto"/>
              </w:rPr>
            </w:pPr>
            <w:r>
              <w:rPr>
                <w:rFonts w:ascii="Arial" w:cs="Arial" w:eastAsia="Arial" w:hAnsi="Arial"/>
                <w:sz w:val="15"/>
                <w:szCs w:val="15"/>
                <w:b w:val="1"/>
                <w:bCs w:val="1"/>
                <w:color w:val="001544"/>
              </w:rPr>
              <w:t>2023 to</w:t>
            </w:r>
          </w:p>
        </w:tc>
        <w:tc>
          <w:tcPr>
            <w:tcW w:w="220" w:type="dxa"/>
            <w:vAlign w:val="bottom"/>
          </w:tcPr>
          <w:p>
            <w:pPr>
              <w:spacing w:after="0"/>
              <w:rPr>
                <w:sz w:val="15"/>
                <w:szCs w:val="15"/>
                <w:color w:val="auto"/>
              </w:rPr>
            </w:pPr>
          </w:p>
        </w:tc>
      </w:tr>
      <w:tr>
        <w:trPr>
          <w:trHeight w:val="251"/>
        </w:trPr>
        <w:tc>
          <w:tcPr>
            <w:tcW w:w="3180" w:type="dxa"/>
            <w:vAlign w:val="bottom"/>
            <w:tcBorders>
              <w:bottom w:val="single" w:sz="8" w:color="001544"/>
            </w:tcBorders>
          </w:tcPr>
          <w:p>
            <w:pPr>
              <w:ind w:left="100"/>
              <w:spacing w:after="0"/>
              <w:rPr>
                <w:sz w:val="20"/>
                <w:szCs w:val="20"/>
                <w:color w:val="auto"/>
              </w:rPr>
            </w:pPr>
            <w:r>
              <w:rPr>
                <w:rFonts w:ascii="Arial" w:cs="Arial" w:eastAsia="Arial" w:hAnsi="Arial"/>
                <w:sz w:val="15"/>
                <w:szCs w:val="15"/>
                <w:b w:val="1"/>
                <w:bCs w:val="1"/>
                <w:color w:val="001544"/>
              </w:rPr>
              <w:t>Executive</w:t>
            </w:r>
          </w:p>
        </w:tc>
        <w:tc>
          <w:tcPr>
            <w:tcW w:w="1140" w:type="dxa"/>
            <w:vAlign w:val="bottom"/>
            <w:tcBorders>
              <w:bottom w:val="single" w:sz="8" w:color="001544"/>
            </w:tcBorders>
          </w:tcPr>
          <w:p>
            <w:pPr>
              <w:jc w:val="right"/>
              <w:ind w:right="285"/>
              <w:spacing w:after="0"/>
              <w:rPr>
                <w:sz w:val="20"/>
                <w:szCs w:val="20"/>
                <w:color w:val="auto"/>
              </w:rPr>
            </w:pPr>
            <w:r>
              <w:rPr>
                <w:rFonts w:ascii="Arial" w:cs="Arial" w:eastAsia="Arial" w:hAnsi="Arial"/>
                <w:sz w:val="15"/>
                <w:szCs w:val="15"/>
                <w:b w:val="1"/>
                <w:bCs w:val="1"/>
                <w:color w:val="001544"/>
              </w:rPr>
              <w:t>($)</w:t>
            </w:r>
          </w:p>
        </w:tc>
        <w:tc>
          <w:tcPr>
            <w:tcW w:w="1260" w:type="dxa"/>
            <w:vAlign w:val="bottom"/>
            <w:tcBorders>
              <w:bottom w:val="single" w:sz="8" w:color="001544"/>
            </w:tcBorders>
          </w:tcPr>
          <w:p>
            <w:pPr>
              <w:jc w:val="center"/>
              <w:ind w:left="45"/>
              <w:spacing w:after="0"/>
              <w:rPr>
                <w:sz w:val="20"/>
                <w:szCs w:val="20"/>
                <w:color w:val="auto"/>
              </w:rPr>
            </w:pPr>
            <w:r>
              <w:rPr>
                <w:rFonts w:ascii="Arial" w:cs="Arial" w:eastAsia="Arial" w:hAnsi="Arial"/>
                <w:sz w:val="15"/>
                <w:szCs w:val="15"/>
                <w:b w:val="1"/>
                <w:bCs w:val="1"/>
                <w:color w:val="001544"/>
                <w:w w:val="97"/>
              </w:rPr>
              <w:t>($)</w:t>
            </w:r>
          </w:p>
        </w:tc>
        <w:tc>
          <w:tcPr>
            <w:tcW w:w="260" w:type="dxa"/>
            <w:vAlign w:val="bottom"/>
            <w:tcBorders>
              <w:bottom w:val="single" w:sz="8" w:color="001544"/>
            </w:tcBorders>
          </w:tcPr>
          <w:p>
            <w:pPr>
              <w:spacing w:after="0"/>
              <w:rPr>
                <w:sz w:val="21"/>
                <w:szCs w:val="21"/>
                <w:color w:val="auto"/>
              </w:rPr>
            </w:pPr>
          </w:p>
        </w:tc>
        <w:tc>
          <w:tcPr>
            <w:tcW w:w="1160" w:type="dxa"/>
            <w:vAlign w:val="bottom"/>
            <w:tcBorders>
              <w:bottom w:val="single" w:sz="8" w:color="001544"/>
            </w:tcBorders>
          </w:tcPr>
          <w:p>
            <w:pPr>
              <w:jc w:val="center"/>
              <w:ind w:right="145"/>
              <w:spacing w:after="0"/>
              <w:rPr>
                <w:sz w:val="20"/>
                <w:szCs w:val="20"/>
                <w:color w:val="auto"/>
              </w:rPr>
            </w:pPr>
            <w:r>
              <w:rPr>
                <w:rFonts w:ascii="Arial" w:cs="Arial" w:eastAsia="Arial" w:hAnsi="Arial"/>
                <w:sz w:val="15"/>
                <w:szCs w:val="15"/>
                <w:b w:val="1"/>
                <w:bCs w:val="1"/>
                <w:color w:val="001544"/>
                <w:w w:val="97"/>
              </w:rPr>
              <w:t>($)</w:t>
            </w:r>
          </w:p>
        </w:tc>
        <w:tc>
          <w:tcPr>
            <w:tcW w:w="1360" w:type="dxa"/>
            <w:vAlign w:val="bottom"/>
            <w:tcBorders>
              <w:bottom w:val="single" w:sz="8" w:color="001544"/>
            </w:tcBorders>
          </w:tcPr>
          <w:p>
            <w:pPr>
              <w:jc w:val="center"/>
              <w:spacing w:after="0" w:line="250" w:lineRule="exact"/>
              <w:rPr>
                <w:sz w:val="20"/>
                <w:szCs w:val="20"/>
                <w:color w:val="auto"/>
              </w:rPr>
            </w:pPr>
            <w:r>
              <w:rPr>
                <w:rFonts w:ascii="Arial" w:cs="Arial" w:eastAsia="Arial" w:hAnsi="Arial"/>
                <w:sz w:val="15"/>
                <w:szCs w:val="15"/>
                <w:b w:val="1"/>
                <w:bCs w:val="1"/>
                <w:color w:val="001544"/>
                <w:w w:val="88"/>
              </w:rPr>
              <w:t>($)</w:t>
            </w:r>
            <w:r>
              <w:rPr>
                <w:rFonts w:ascii="Arial" w:cs="Arial" w:eastAsia="Arial" w:hAnsi="Arial"/>
                <w:sz w:val="22"/>
                <w:szCs w:val="22"/>
                <w:b w:val="1"/>
                <w:bCs w:val="1"/>
                <w:color w:val="001544"/>
                <w:w w:val="88"/>
                <w:vertAlign w:val="superscript"/>
              </w:rPr>
              <w:t>(2)</w:t>
            </w:r>
          </w:p>
        </w:tc>
        <w:tc>
          <w:tcPr>
            <w:tcW w:w="880" w:type="dxa"/>
            <w:vAlign w:val="bottom"/>
            <w:tcBorders>
              <w:bottom w:val="single" w:sz="8" w:color="001544"/>
            </w:tcBorders>
          </w:tcPr>
          <w:p>
            <w:pPr>
              <w:jc w:val="center"/>
              <w:ind w:left="45"/>
              <w:spacing w:after="0" w:line="250" w:lineRule="exact"/>
              <w:rPr>
                <w:sz w:val="20"/>
                <w:szCs w:val="20"/>
                <w:color w:val="auto"/>
              </w:rPr>
            </w:pPr>
            <w:r>
              <w:rPr>
                <w:rFonts w:ascii="Arial" w:cs="Arial" w:eastAsia="Arial" w:hAnsi="Arial"/>
                <w:sz w:val="15"/>
                <w:szCs w:val="15"/>
                <w:b w:val="1"/>
                <w:bCs w:val="1"/>
                <w:color w:val="001544"/>
                <w:w w:val="93"/>
              </w:rPr>
              <w:t>2024</w:t>
            </w:r>
            <w:r>
              <w:rPr>
                <w:rFonts w:ascii="Arial" w:cs="Arial" w:eastAsia="Arial" w:hAnsi="Arial"/>
                <w:sz w:val="22"/>
                <w:szCs w:val="22"/>
                <w:b w:val="1"/>
                <w:bCs w:val="1"/>
                <w:color w:val="001544"/>
                <w:w w:val="93"/>
                <w:vertAlign w:val="superscript"/>
              </w:rPr>
              <w:t>(3)</w:t>
            </w:r>
          </w:p>
        </w:tc>
        <w:tc>
          <w:tcPr>
            <w:tcW w:w="220" w:type="dxa"/>
            <w:vAlign w:val="bottom"/>
            <w:tcBorders>
              <w:bottom w:val="single" w:sz="8" w:color="001544"/>
            </w:tcBorders>
          </w:tcPr>
          <w:p>
            <w:pPr>
              <w:spacing w:after="0"/>
              <w:rPr>
                <w:sz w:val="21"/>
                <w:szCs w:val="21"/>
                <w:color w:val="auto"/>
              </w:rPr>
            </w:pPr>
          </w:p>
        </w:tc>
      </w:tr>
      <w:tr>
        <w:trPr>
          <w:trHeight w:val="211"/>
        </w:trPr>
        <w:tc>
          <w:tcPr>
            <w:tcW w:w="318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Marc C. Ganzi</w:t>
            </w:r>
          </w:p>
        </w:tc>
        <w:tc>
          <w:tcPr>
            <w:tcW w:w="11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1,200,000</w:t>
            </w:r>
          </w:p>
        </w:tc>
        <w:tc>
          <w:tcPr>
            <w:tcW w:w="1260" w:type="dxa"/>
            <w:vAlign w:val="bottom"/>
            <w:tcBorders>
              <w:bottom w:val="single" w:sz="8" w:color="001544"/>
            </w:tcBorders>
            <w:shd w:val="clear" w:color="auto" w:fill="DBDFEA"/>
          </w:tcPr>
          <w:p>
            <w:pPr>
              <w:jc w:val="right"/>
              <w:ind w:right="45"/>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3,005,077</w:t>
            </w:r>
          </w:p>
        </w:tc>
        <w:tc>
          <w:tcPr>
            <w:tcW w:w="136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4,205,077</w:t>
            </w:r>
          </w:p>
        </w:tc>
        <w:tc>
          <w:tcPr>
            <w:tcW w:w="880" w:type="dxa"/>
            <w:vAlign w:val="bottom"/>
            <w:tcBorders>
              <w:bottom w:val="single" w:sz="8" w:color="001544"/>
            </w:tcBorders>
            <w:shd w:val="clear" w:color="auto" w:fill="DBDFEA"/>
          </w:tcPr>
          <w:p>
            <w:pPr>
              <w:jc w:val="center"/>
              <w:ind w:left="85"/>
              <w:spacing w:after="0"/>
              <w:rPr>
                <w:sz w:val="20"/>
                <w:szCs w:val="20"/>
                <w:color w:val="auto"/>
              </w:rPr>
            </w:pPr>
            <w:r>
              <w:rPr>
                <w:rFonts w:ascii="Arial" w:cs="Arial" w:eastAsia="Arial" w:hAnsi="Arial"/>
                <w:sz w:val="15"/>
                <w:szCs w:val="15"/>
                <w:color w:val="auto"/>
              </w:rPr>
              <w:t>(31.9)</w:t>
            </w:r>
          </w:p>
        </w:tc>
        <w:tc>
          <w:tcPr>
            <w:tcW w:w="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r>
      <w:tr>
        <w:trPr>
          <w:trHeight w:val="219"/>
        </w:trPr>
        <w:tc>
          <w:tcPr>
            <w:tcW w:w="318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Benjamin J. Jenkins</w:t>
            </w:r>
          </w:p>
        </w:tc>
        <w:tc>
          <w:tcPr>
            <w:tcW w:w="11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700,000</w:t>
            </w:r>
          </w:p>
        </w:tc>
        <w:tc>
          <w:tcPr>
            <w:tcW w:w="1260" w:type="dxa"/>
            <w:vAlign w:val="bottom"/>
            <w:tcBorders>
              <w:bottom w:val="single" w:sz="8" w:color="001544"/>
            </w:tcBorders>
            <w:shd w:val="clear" w:color="auto" w:fill="DBDFEA"/>
          </w:tcPr>
          <w:p>
            <w:pPr>
              <w:jc w:val="right"/>
              <w:ind w:right="45"/>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001544"/>
            </w:tcBorders>
            <w:shd w:val="clear" w:color="auto" w:fill="DBDFEA"/>
          </w:tcPr>
          <w:p>
            <w:pPr>
              <w:spacing w:after="0"/>
              <w:rPr>
                <w:sz w:val="19"/>
                <w:szCs w:val="19"/>
                <w:color w:val="auto"/>
              </w:rPr>
            </w:pPr>
          </w:p>
        </w:tc>
        <w:tc>
          <w:tcPr>
            <w:tcW w:w="116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2,010,801</w:t>
            </w:r>
          </w:p>
        </w:tc>
        <w:tc>
          <w:tcPr>
            <w:tcW w:w="136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2,710,801</w:t>
            </w:r>
          </w:p>
        </w:tc>
        <w:tc>
          <w:tcPr>
            <w:tcW w:w="880" w:type="dxa"/>
            <w:vAlign w:val="bottom"/>
            <w:tcBorders>
              <w:bottom w:val="single" w:sz="8" w:color="001544"/>
            </w:tcBorders>
            <w:shd w:val="clear" w:color="auto" w:fill="DBDFEA"/>
          </w:tcPr>
          <w:p>
            <w:pPr>
              <w:jc w:val="center"/>
              <w:ind w:left="85"/>
              <w:spacing w:after="0"/>
              <w:rPr>
                <w:sz w:val="20"/>
                <w:szCs w:val="20"/>
                <w:color w:val="auto"/>
              </w:rPr>
            </w:pPr>
            <w:r>
              <w:rPr>
                <w:rFonts w:ascii="Arial" w:cs="Arial" w:eastAsia="Arial" w:hAnsi="Arial"/>
                <w:sz w:val="15"/>
                <w:szCs w:val="15"/>
                <w:color w:val="auto"/>
              </w:rPr>
              <w:t>(18.3)</w:t>
            </w:r>
          </w:p>
        </w:tc>
        <w:tc>
          <w:tcPr>
            <w:tcW w:w="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r>
      <w:tr>
        <w:trPr>
          <w:trHeight w:val="226"/>
        </w:trPr>
        <w:tc>
          <w:tcPr>
            <w:tcW w:w="3180" w:type="dxa"/>
            <w:vAlign w:val="bottom"/>
            <w:tcBorders>
              <w:bottom w:val="single" w:sz="8" w:color="001544"/>
            </w:tcBorders>
            <w:shd w:val="clear" w:color="auto" w:fill="DBDFEA"/>
          </w:tcPr>
          <w:p>
            <w:pPr>
              <w:ind w:left="100"/>
              <w:spacing w:after="0" w:line="226" w:lineRule="exact"/>
              <w:rPr>
                <w:sz w:val="20"/>
                <w:szCs w:val="20"/>
                <w:color w:val="auto"/>
              </w:rPr>
            </w:pPr>
            <w:r>
              <w:rPr>
                <w:rFonts w:ascii="Arial" w:cs="Arial" w:eastAsia="Arial" w:hAnsi="Arial"/>
                <w:sz w:val="15"/>
                <w:szCs w:val="15"/>
                <w:color w:val="auto"/>
              </w:rPr>
              <w:t>Thomas Mayrhofer</w:t>
            </w:r>
            <w:r>
              <w:rPr>
                <w:rFonts w:ascii="Arial" w:cs="Arial" w:eastAsia="Arial" w:hAnsi="Arial"/>
                <w:sz w:val="22"/>
                <w:szCs w:val="22"/>
                <w:color w:val="auto"/>
                <w:vertAlign w:val="superscript"/>
              </w:rPr>
              <w:t>(3)</w:t>
            </w:r>
          </w:p>
        </w:tc>
        <w:tc>
          <w:tcPr>
            <w:tcW w:w="11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686,987</w:t>
            </w:r>
          </w:p>
        </w:tc>
        <w:tc>
          <w:tcPr>
            <w:tcW w:w="1260" w:type="dxa"/>
            <w:vAlign w:val="bottom"/>
            <w:tcBorders>
              <w:bottom w:val="single" w:sz="8" w:color="001544"/>
            </w:tcBorders>
            <w:shd w:val="clear" w:color="auto" w:fill="DBDFEA"/>
          </w:tcPr>
          <w:p>
            <w:pPr>
              <w:jc w:val="right"/>
              <w:ind w:right="45"/>
              <w:spacing w:after="0"/>
              <w:rPr>
                <w:sz w:val="20"/>
                <w:szCs w:val="20"/>
                <w:color w:val="auto"/>
              </w:rPr>
            </w:pPr>
            <w:r>
              <w:rPr>
                <w:rFonts w:ascii="Arial" w:cs="Arial" w:eastAsia="Arial" w:hAnsi="Arial"/>
                <w:sz w:val="15"/>
                <w:szCs w:val="15"/>
                <w:color w:val="auto"/>
              </w:rPr>
              <w:t>1,100,000</w:t>
            </w:r>
          </w:p>
        </w:tc>
        <w:tc>
          <w:tcPr>
            <w:tcW w:w="260" w:type="dxa"/>
            <w:vAlign w:val="bottom"/>
            <w:tcBorders>
              <w:bottom w:val="single" w:sz="8" w:color="001544"/>
            </w:tcBorders>
            <w:shd w:val="clear" w:color="auto" w:fill="DBDFEA"/>
          </w:tcPr>
          <w:p>
            <w:pPr>
              <w:spacing w:after="0"/>
              <w:rPr>
                <w:sz w:val="19"/>
                <w:szCs w:val="19"/>
                <w:color w:val="auto"/>
              </w:rPr>
            </w:pPr>
          </w:p>
        </w:tc>
        <w:tc>
          <w:tcPr>
            <w:tcW w:w="116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2,000,000</w:t>
            </w:r>
          </w:p>
        </w:tc>
        <w:tc>
          <w:tcPr>
            <w:tcW w:w="136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3,786,987</w:t>
            </w:r>
          </w:p>
        </w:tc>
        <w:tc>
          <w:tcPr>
            <w:tcW w:w="880" w:type="dxa"/>
            <w:vAlign w:val="bottom"/>
            <w:tcBorders>
              <w:bottom w:val="single" w:sz="8" w:color="001544"/>
            </w:tcBorders>
            <w:shd w:val="clear" w:color="auto" w:fill="DBDFEA"/>
          </w:tcPr>
          <w:p>
            <w:pPr>
              <w:jc w:val="center"/>
              <w:ind w:left="45"/>
              <w:spacing w:after="0"/>
              <w:rPr>
                <w:sz w:val="20"/>
                <w:szCs w:val="20"/>
                <w:color w:val="auto"/>
              </w:rPr>
            </w:pPr>
            <w:r>
              <w:rPr>
                <w:rFonts w:ascii="Arial" w:cs="Arial" w:eastAsia="Arial" w:hAnsi="Arial"/>
                <w:sz w:val="15"/>
                <w:szCs w:val="15"/>
                <w:color w:val="auto"/>
                <w:w w:val="95"/>
              </w:rPr>
              <w:t>n/a</w:t>
            </w:r>
          </w:p>
        </w:tc>
        <w:tc>
          <w:tcPr>
            <w:tcW w:w="220" w:type="dxa"/>
            <w:vAlign w:val="bottom"/>
            <w:tcBorders>
              <w:bottom w:val="single" w:sz="8" w:color="001544"/>
            </w:tcBorders>
            <w:shd w:val="clear" w:color="auto" w:fill="DBDFEA"/>
          </w:tcPr>
          <w:p>
            <w:pPr>
              <w:spacing w:after="0"/>
              <w:rPr>
                <w:sz w:val="19"/>
                <w:szCs w:val="19"/>
                <w:color w:val="auto"/>
              </w:rPr>
            </w:pPr>
          </w:p>
        </w:tc>
      </w:tr>
      <w:tr>
        <w:trPr>
          <w:trHeight w:val="211"/>
        </w:trPr>
        <w:tc>
          <w:tcPr>
            <w:tcW w:w="318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Geoffrey Goldschein</w:t>
            </w:r>
          </w:p>
        </w:tc>
        <w:tc>
          <w:tcPr>
            <w:tcW w:w="11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575,000</w:t>
            </w:r>
          </w:p>
        </w:tc>
        <w:tc>
          <w:tcPr>
            <w:tcW w:w="1260" w:type="dxa"/>
            <w:vAlign w:val="bottom"/>
            <w:tcBorders>
              <w:bottom w:val="single" w:sz="8" w:color="001544"/>
            </w:tcBorders>
            <w:shd w:val="clear" w:color="auto" w:fill="DBDFEA"/>
          </w:tcPr>
          <w:p>
            <w:pPr>
              <w:jc w:val="right"/>
              <w:ind w:right="45"/>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975,473</w:t>
            </w:r>
          </w:p>
        </w:tc>
        <w:tc>
          <w:tcPr>
            <w:tcW w:w="136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1,550,473</w:t>
            </w:r>
          </w:p>
        </w:tc>
        <w:tc>
          <w:tcPr>
            <w:tcW w:w="880" w:type="dxa"/>
            <w:vAlign w:val="bottom"/>
            <w:tcBorders>
              <w:bottom w:val="single" w:sz="8" w:color="001544"/>
            </w:tcBorders>
            <w:shd w:val="clear" w:color="auto" w:fill="DBDFEA"/>
          </w:tcPr>
          <w:p>
            <w:pPr>
              <w:jc w:val="center"/>
              <w:ind w:left="85"/>
              <w:spacing w:after="0"/>
              <w:rPr>
                <w:sz w:val="20"/>
                <w:szCs w:val="20"/>
                <w:color w:val="auto"/>
              </w:rPr>
            </w:pPr>
            <w:r>
              <w:rPr>
                <w:rFonts w:ascii="Arial" w:cs="Arial" w:eastAsia="Arial" w:hAnsi="Arial"/>
                <w:sz w:val="15"/>
                <w:szCs w:val="15"/>
                <w:color w:val="auto"/>
              </w:rPr>
              <w:t>(39.9)</w:t>
            </w:r>
          </w:p>
        </w:tc>
        <w:tc>
          <w:tcPr>
            <w:tcW w:w="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r>
      <w:tr>
        <w:trPr>
          <w:trHeight w:val="219"/>
        </w:trPr>
        <w:tc>
          <w:tcPr>
            <w:tcW w:w="318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Liam Stewart</w:t>
            </w:r>
          </w:p>
        </w:tc>
        <w:tc>
          <w:tcPr>
            <w:tcW w:w="11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600,000</w:t>
            </w:r>
          </w:p>
        </w:tc>
        <w:tc>
          <w:tcPr>
            <w:tcW w:w="1260" w:type="dxa"/>
            <w:vAlign w:val="bottom"/>
            <w:tcBorders>
              <w:bottom w:val="single" w:sz="8" w:color="001544"/>
            </w:tcBorders>
            <w:shd w:val="clear" w:color="auto" w:fill="DBDFEA"/>
          </w:tcPr>
          <w:p>
            <w:pPr>
              <w:jc w:val="right"/>
              <w:ind w:right="45"/>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001544"/>
            </w:tcBorders>
            <w:shd w:val="clear" w:color="auto" w:fill="DBDFEA"/>
          </w:tcPr>
          <w:p>
            <w:pPr>
              <w:spacing w:after="0"/>
              <w:rPr>
                <w:sz w:val="19"/>
                <w:szCs w:val="19"/>
                <w:color w:val="auto"/>
              </w:rPr>
            </w:pPr>
          </w:p>
        </w:tc>
        <w:tc>
          <w:tcPr>
            <w:tcW w:w="116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1,648,947</w:t>
            </w:r>
          </w:p>
        </w:tc>
        <w:tc>
          <w:tcPr>
            <w:tcW w:w="136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2,248,947</w:t>
            </w:r>
          </w:p>
        </w:tc>
        <w:tc>
          <w:tcPr>
            <w:tcW w:w="880" w:type="dxa"/>
            <w:vAlign w:val="bottom"/>
            <w:tcBorders>
              <w:bottom w:val="single" w:sz="8" w:color="001544"/>
            </w:tcBorders>
            <w:shd w:val="clear" w:color="auto" w:fill="DBDFEA"/>
          </w:tcPr>
          <w:p>
            <w:pPr>
              <w:jc w:val="center"/>
              <w:ind w:left="85"/>
              <w:spacing w:after="0"/>
              <w:rPr>
                <w:sz w:val="20"/>
                <w:szCs w:val="20"/>
                <w:color w:val="auto"/>
              </w:rPr>
            </w:pPr>
            <w:r>
              <w:rPr>
                <w:rFonts w:ascii="Arial" w:cs="Arial" w:eastAsia="Arial" w:hAnsi="Arial"/>
                <w:sz w:val="15"/>
                <w:szCs w:val="15"/>
                <w:color w:val="auto"/>
              </w:rPr>
              <w:t>(32.2)</w:t>
            </w:r>
          </w:p>
        </w:tc>
        <w:tc>
          <w:tcPr>
            <w:tcW w:w="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r>
      <w:tr>
        <w:trPr>
          <w:trHeight w:val="223"/>
        </w:trPr>
        <w:tc>
          <w:tcPr>
            <w:tcW w:w="3180" w:type="dxa"/>
            <w:vAlign w:val="bottom"/>
            <w:tcBorders>
              <w:bottom w:val="single" w:sz="8" w:color="001544"/>
            </w:tcBorders>
            <w:shd w:val="clear" w:color="auto" w:fill="BFCDDC"/>
          </w:tcPr>
          <w:p>
            <w:pPr>
              <w:ind w:left="200"/>
              <w:spacing w:after="0"/>
              <w:rPr>
                <w:sz w:val="20"/>
                <w:szCs w:val="20"/>
                <w:color w:val="auto"/>
              </w:rPr>
            </w:pPr>
            <w:r>
              <w:rPr>
                <w:rFonts w:ascii="Arial" w:cs="Arial" w:eastAsia="Arial" w:hAnsi="Arial"/>
                <w:sz w:val="15"/>
                <w:szCs w:val="15"/>
                <w:b w:val="1"/>
                <w:bCs w:val="1"/>
                <w:color w:val="auto"/>
              </w:rPr>
              <w:t>Total</w:t>
            </w:r>
          </w:p>
        </w:tc>
        <w:tc>
          <w:tcPr>
            <w:tcW w:w="114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b w:val="1"/>
                <w:bCs w:val="1"/>
                <w:color w:val="auto"/>
              </w:rPr>
              <w:t>$  3,761,987</w:t>
            </w:r>
          </w:p>
        </w:tc>
        <w:tc>
          <w:tcPr>
            <w:tcW w:w="1260" w:type="dxa"/>
            <w:vAlign w:val="bottom"/>
            <w:tcBorders>
              <w:bottom w:val="single" w:sz="8" w:color="001544"/>
            </w:tcBorders>
            <w:shd w:val="clear" w:color="auto" w:fill="BFCDDC"/>
          </w:tcPr>
          <w:p>
            <w:pPr>
              <w:jc w:val="right"/>
              <w:ind w:right="45"/>
              <w:spacing w:after="0"/>
              <w:rPr>
                <w:sz w:val="20"/>
                <w:szCs w:val="20"/>
                <w:color w:val="auto"/>
              </w:rPr>
            </w:pPr>
            <w:r>
              <w:rPr>
                <w:rFonts w:ascii="Arial" w:cs="Arial" w:eastAsia="Arial" w:hAnsi="Arial"/>
                <w:sz w:val="15"/>
                <w:szCs w:val="15"/>
                <w:b w:val="1"/>
                <w:bCs w:val="1"/>
                <w:color w:val="auto"/>
              </w:rPr>
              <w:t>$   1,100,000</w:t>
            </w:r>
          </w:p>
        </w:tc>
        <w:tc>
          <w:tcPr>
            <w:tcW w:w="260" w:type="dxa"/>
            <w:vAlign w:val="bottom"/>
            <w:tcBorders>
              <w:bottom w:val="single" w:sz="8" w:color="001544"/>
            </w:tcBorders>
            <w:shd w:val="clear" w:color="auto" w:fill="BFCDDC"/>
          </w:tcPr>
          <w:p>
            <w:pPr>
              <w:jc w:val="right"/>
              <w:ind w:right="5"/>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001544"/>
            </w:tcBorders>
            <w:shd w:val="clear" w:color="auto" w:fill="BFCDDC"/>
          </w:tcPr>
          <w:p>
            <w:pPr>
              <w:jc w:val="right"/>
              <w:ind w:right="25"/>
              <w:spacing w:after="0"/>
              <w:rPr>
                <w:sz w:val="20"/>
                <w:szCs w:val="20"/>
                <w:color w:val="auto"/>
              </w:rPr>
            </w:pPr>
            <w:r>
              <w:rPr>
                <w:rFonts w:ascii="Arial" w:cs="Arial" w:eastAsia="Arial" w:hAnsi="Arial"/>
                <w:sz w:val="15"/>
                <w:szCs w:val="15"/>
                <w:b w:val="1"/>
                <w:bCs w:val="1"/>
                <w:color w:val="auto"/>
              </w:rPr>
              <w:t>9,640,298</w:t>
            </w:r>
          </w:p>
        </w:tc>
        <w:tc>
          <w:tcPr>
            <w:tcW w:w="1360" w:type="dxa"/>
            <w:vAlign w:val="bottom"/>
            <w:tcBorders>
              <w:bottom w:val="single" w:sz="8" w:color="001544"/>
            </w:tcBorders>
            <w:shd w:val="clear" w:color="auto" w:fill="BFCDDC"/>
          </w:tcPr>
          <w:p>
            <w:pPr>
              <w:jc w:val="right"/>
              <w:ind w:right="65"/>
              <w:spacing w:after="0"/>
              <w:rPr>
                <w:sz w:val="20"/>
                <w:szCs w:val="20"/>
                <w:color w:val="auto"/>
              </w:rPr>
            </w:pPr>
            <w:r>
              <w:rPr>
                <w:rFonts w:ascii="Arial" w:cs="Arial" w:eastAsia="Arial" w:hAnsi="Arial"/>
                <w:sz w:val="15"/>
                <w:szCs w:val="15"/>
                <w:b w:val="1"/>
                <w:bCs w:val="1"/>
                <w:color w:val="auto"/>
              </w:rPr>
              <w:t>$   14,502,285</w:t>
            </w:r>
          </w:p>
        </w:tc>
        <w:tc>
          <w:tcPr>
            <w:tcW w:w="880" w:type="dxa"/>
            <w:vAlign w:val="bottom"/>
            <w:tcBorders>
              <w:bottom w:val="single" w:sz="8" w:color="001544"/>
            </w:tcBorders>
            <w:shd w:val="clear" w:color="auto" w:fill="BFCDDC"/>
          </w:tcPr>
          <w:p>
            <w:pPr>
              <w:spacing w:after="0"/>
              <w:rPr>
                <w:sz w:val="19"/>
                <w:szCs w:val="19"/>
                <w:color w:val="auto"/>
              </w:rPr>
            </w:pPr>
          </w:p>
        </w:tc>
        <w:tc>
          <w:tcPr>
            <w:tcW w:w="220" w:type="dxa"/>
            <w:vAlign w:val="bottom"/>
            <w:tcBorders>
              <w:bottom w:val="single" w:sz="8" w:color="001544"/>
            </w:tcBorders>
            <w:shd w:val="clear" w:color="auto" w:fill="BFCDDC"/>
          </w:tcPr>
          <w:p>
            <w:pPr>
              <w:spacing w:after="0"/>
              <w:rPr>
                <w:sz w:val="19"/>
                <w:szCs w:val="19"/>
                <w:color w:val="auto"/>
              </w:rPr>
            </w:pPr>
          </w:p>
        </w:tc>
      </w:tr>
    </w:tbl>
    <w:p>
      <w:pPr>
        <w:spacing w:after="0" w:line="63" w:lineRule="exact"/>
        <w:rPr>
          <w:sz w:val="20"/>
          <w:szCs w:val="20"/>
          <w:color w:val="auto"/>
        </w:rPr>
      </w:pPr>
    </w:p>
    <w:p>
      <w:pPr>
        <w:ind w:left="300" w:hanging="293"/>
        <w:spacing w:after="0"/>
        <w:tabs>
          <w:tab w:leader="none" w:pos="3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Represents the dollar amount of 2024 grants approved by the Compensation Committee in 2025.</w:t>
      </w:r>
    </w:p>
    <w:p>
      <w:pPr>
        <w:spacing w:after="0" w:line="66" w:lineRule="exact"/>
        <w:rPr>
          <w:rFonts w:ascii="Arial" w:cs="Arial" w:eastAsia="Arial" w:hAnsi="Arial"/>
          <w:sz w:val="15"/>
          <w:szCs w:val="15"/>
          <w:color w:val="auto"/>
        </w:rPr>
      </w:pPr>
    </w:p>
    <w:p>
      <w:pPr>
        <w:ind w:left="300" w:right="40" w:hanging="293"/>
        <w:spacing w:after="0" w:line="280" w:lineRule="auto"/>
        <w:tabs>
          <w:tab w:leader="none" w:pos="3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Excludes performance fee allocation payments. See “Performance Fees” for a discussion of performance fee allocations and the variable nature of performance fee payments.</w:t>
      </w:r>
    </w:p>
    <w:p>
      <w:pPr>
        <w:spacing w:after="0" w:line="24" w:lineRule="exact"/>
        <w:rPr>
          <w:rFonts w:ascii="Arial" w:cs="Arial" w:eastAsia="Arial" w:hAnsi="Arial"/>
          <w:sz w:val="15"/>
          <w:szCs w:val="15"/>
          <w:color w:val="auto"/>
        </w:rPr>
      </w:pPr>
    </w:p>
    <w:p>
      <w:pPr>
        <w:ind w:left="300" w:hanging="293"/>
        <w:spacing w:after="0"/>
        <w:tabs>
          <w:tab w:leader="none" w:pos="3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Mr. Mayrhofer became an executive officer of the Company in March 2024.</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Stockholder Engagement &amp; 2024 Say-on-Pay Vote</w:t>
      </w:r>
    </w:p>
    <w:p>
      <w:pPr>
        <w:spacing w:after="0" w:line="218"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Our Board believes in listening to and communicating with stockholders. We believe stockholder insight and recommendations should be an integral part of Board discussions on many matters, including compensation. The input we receive from stockholders as part of our regular engagement efforts impacts our compensation and corporate governance policies in a meaningful way. The Board, senior management and our investor relations team maintain a robust dialogue with investors to gain their perspectives on current issues and address any questions or concerns.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15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5800"/>
        <w:spacing w:after="0"/>
        <w:rPr>
          <w:sz w:val="20"/>
          <w:szCs w:val="20"/>
          <w:color w:val="auto"/>
        </w:rPr>
      </w:pPr>
      <w:r>
        <w:rPr>
          <w:rFonts w:ascii="Arial" w:cs="Arial" w:eastAsia="Arial" w:hAnsi="Arial"/>
          <w:sz w:val="16"/>
          <w:szCs w:val="16"/>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60090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At our 2024 Annual Meeting of Stockholders, our stockholders voted on the say-on-pay advisory proposal to approve the compensation paid to our NEOs. Of the votes cast, more than 81% were in favor of the say-on-pay proposal at our 2024 Annual Meeting of Stockholders. The vote followed a stockholder outreach program in which we contacted holders of more than 85% of our outstanding Class A common stock in December 2023 to solicit feedback on our overall executive compensation program. During the period from December 2023 through April 2024, Greg McCray, the Chair of our Compensation Committee, met with institutional investors that expressed an interest in engaging, representing approximately 27% of our outstanding stock. Neither our CEO nor any other NEO participated in any of these meetings with investors. Our Compensation Committee deeply values the continued interest of and feedback from our stockholders on our executive compensation program and strongly considered the responses we received from stockholders in implementing our executive compensation program.</w:t>
      </w:r>
    </w:p>
    <w:p>
      <w:pPr>
        <w:spacing w:after="0" w:line="17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SEC rules require the vote on the frequency of stockholder votes on executive compensation to be held at least once every six years. In light of the Board’s recommendation and the voting results with respect to the frequency of stockholder votes on executive compensation at the 2023 annual meeting of stockholders, we will continue to provide our stockholders, on an annual basis, with the opportunity to vote to approve the Company’s executive compensation program on an advisory basis until the next required vote on the frequency of stockholder votes on executive compensation. We currently expect the next stockholder vote on frequency to occur at our 2029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Elements of Compensation</w:t>
      </w:r>
    </w:p>
    <w:p>
      <w:pPr>
        <w:spacing w:after="0" w:line="21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key elements of our executive compensation program are (i) annual base salary, (ii) annual cash bonus, (iii) long-term incentive equity awards, (iv) performance fee allocations and (v) other benefits. The amount of the annual cash bonus is determined in accordance with an annual incentive plan established by the Compensation Committee each year. The other elements of compensation are determined by the Compensation Committee as described herein and in accordance with the contractual arrangement with our NEOs described under “Employment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008861"/>
        </w:rPr>
        <w:t>2024 ANNUAL INCENTIVE PLAN OVERVIEW</w:t>
      </w:r>
    </w:p>
    <w:p>
      <w:pPr>
        <w:spacing w:after="0" w:line="199"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In March 2024, the Compensation Committee established the 2024 Annual Incentive Plan and approved target cash bonuses for our then-current NEOs. The 2024 Annual Incentive Plan provided a 100% weighting across three financial metrics:</w:t>
      </w:r>
    </w:p>
    <w:p>
      <w:pPr>
        <w:spacing w:after="0" w:line="165" w:lineRule="exact"/>
        <w:rPr>
          <w:sz w:val="20"/>
          <w:szCs w:val="20"/>
          <w:color w:val="auto"/>
        </w:rPr>
      </w:pPr>
    </w:p>
    <w:p>
      <w:pPr>
        <w:ind w:left="300" w:hanging="293"/>
        <w:spacing w:after="0"/>
        <w:tabs>
          <w:tab w:leader="none" w:pos="300" w:val="left"/>
        </w:tabs>
        <w:numPr>
          <w:ilvl w:val="0"/>
          <w:numId w:val="97"/>
        </w:numPr>
        <w:rPr>
          <w:rFonts w:ascii="Times New Roman" w:cs="Times New Roman" w:eastAsia="Times New Roman" w:hAnsi="Times New Roman"/>
          <w:sz w:val="18"/>
          <w:szCs w:val="18"/>
          <w:color w:val="001544"/>
        </w:rPr>
      </w:pPr>
      <w:r>
        <w:rPr>
          <w:rFonts w:ascii="Arial" w:cs="Arial" w:eastAsia="Arial" w:hAnsi="Arial"/>
          <w:sz w:val="18"/>
          <w:szCs w:val="18"/>
          <w:color w:val="auto"/>
        </w:rPr>
        <w:t>FEEUM Capital Raise (33%)</w:t>
      </w:r>
    </w:p>
    <w:p>
      <w:pPr>
        <w:spacing w:after="0" w:line="56" w:lineRule="exact"/>
        <w:rPr>
          <w:rFonts w:ascii="Times New Roman" w:cs="Times New Roman" w:eastAsia="Times New Roman" w:hAnsi="Times New Roman"/>
          <w:sz w:val="18"/>
          <w:szCs w:val="18"/>
          <w:color w:val="001544"/>
        </w:rPr>
      </w:pPr>
    </w:p>
    <w:p>
      <w:pPr>
        <w:ind w:left="300" w:hanging="293"/>
        <w:spacing w:after="0"/>
        <w:tabs>
          <w:tab w:leader="none" w:pos="300" w:val="left"/>
        </w:tabs>
        <w:numPr>
          <w:ilvl w:val="0"/>
          <w:numId w:val="97"/>
        </w:numPr>
        <w:rPr>
          <w:rFonts w:ascii="Times New Roman" w:cs="Times New Roman" w:eastAsia="Times New Roman" w:hAnsi="Times New Roman"/>
          <w:sz w:val="18"/>
          <w:szCs w:val="18"/>
          <w:color w:val="001544"/>
        </w:rPr>
      </w:pPr>
      <w:r>
        <w:rPr>
          <w:rFonts w:ascii="Arial" w:cs="Arial" w:eastAsia="Arial" w:hAnsi="Arial"/>
          <w:sz w:val="18"/>
          <w:szCs w:val="18"/>
          <w:color w:val="auto"/>
        </w:rPr>
        <w:t>Run-rate FRE post Corporate G&amp;A (33%)</w:t>
      </w:r>
    </w:p>
    <w:p>
      <w:pPr>
        <w:spacing w:after="0" w:line="68" w:lineRule="exact"/>
        <w:rPr>
          <w:rFonts w:ascii="Times New Roman" w:cs="Times New Roman" w:eastAsia="Times New Roman" w:hAnsi="Times New Roman"/>
          <w:sz w:val="18"/>
          <w:szCs w:val="18"/>
          <w:color w:val="001544"/>
        </w:rPr>
      </w:pPr>
    </w:p>
    <w:p>
      <w:pPr>
        <w:ind w:left="300" w:hanging="293"/>
        <w:spacing w:after="0"/>
        <w:tabs>
          <w:tab w:leader="none" w:pos="300" w:val="left"/>
        </w:tabs>
        <w:numPr>
          <w:ilvl w:val="0"/>
          <w:numId w:val="97"/>
        </w:numPr>
        <w:rPr>
          <w:rFonts w:ascii="Times New Roman" w:cs="Times New Roman" w:eastAsia="Times New Roman" w:hAnsi="Times New Roman"/>
          <w:sz w:val="18"/>
          <w:szCs w:val="18"/>
          <w:color w:val="001544"/>
        </w:rPr>
      </w:pPr>
      <w:r>
        <w:rPr>
          <w:rFonts w:ascii="Arial" w:cs="Arial" w:eastAsia="Arial" w:hAnsi="Arial"/>
          <w:sz w:val="18"/>
          <w:szCs w:val="18"/>
          <w:color w:val="auto"/>
        </w:rPr>
        <w:t>Run-rate DE (33%)</w:t>
      </w:r>
    </w:p>
    <w:p>
      <w:pPr>
        <w:spacing w:after="0" w:line="194"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For 2024, the objective financial metric performance hurdles that our NEOs were required to achieve were established in connection with the Company’s budgeted operations for 2024. The 2024 Annual Incentive Plan also provided that the FEEUM Capital Raise would only include new FEEUM with an average management fee rate of 0.84% to ensure a focus on increasing the Company’s fee revenues. The Compensation Committee believes that the corporate financial metric targets established in the 2024 Annual Incentive Plan were robust and rigorous targets at the time they were established.</w:t>
      </w:r>
    </w:p>
    <w:p>
      <w:pPr>
        <w:spacing w:after="0" w:line="200" w:lineRule="exact"/>
        <w:rPr>
          <w:sz w:val="20"/>
          <w:szCs w:val="20"/>
          <w:color w:val="auto"/>
        </w:rPr>
      </w:pPr>
    </w:p>
    <w:p>
      <w:pPr>
        <w:spacing w:after="0" w:line="34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15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92" w:lineRule="exact"/>
        <w:rPr>
          <w:sz w:val="20"/>
          <w:szCs w:val="20"/>
          <w:color w:val="auto"/>
        </w:rPr>
      </w:pPr>
    </w:p>
    <w:p>
      <w:pPr>
        <w:jc w:val="both"/>
        <w:ind w:right="180"/>
        <w:spacing w:after="0" w:line="242" w:lineRule="auto"/>
        <w:rPr>
          <w:sz w:val="20"/>
          <w:szCs w:val="20"/>
          <w:color w:val="auto"/>
        </w:rPr>
      </w:pPr>
      <w:r>
        <w:rPr>
          <w:rFonts w:ascii="Arial" w:cs="Arial" w:eastAsia="Arial" w:hAnsi="Arial"/>
          <w:sz w:val="18"/>
          <w:szCs w:val="18"/>
          <w:color w:val="auto"/>
        </w:rPr>
        <w:t>In February 2025, the Compensation Committee determined the performance and payout levels that were achieved for our annual cash bonuses for 2024 based on available financial results for the corporate financial metrics. The following summarizes the performance and payout decisions made by the Compensation Committee for each of the performance goals established in the 2024 Annual Incentive Plan:</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85"/>
              <w:spacing w:after="0"/>
              <w:rPr>
                <w:sz w:val="20"/>
                <w:szCs w:val="20"/>
                <w:color w:val="auto"/>
              </w:rPr>
            </w:pPr>
            <w:r>
              <w:rPr>
                <w:rFonts w:ascii="Arial" w:cs="Arial" w:eastAsia="Arial" w:hAnsi="Arial"/>
                <w:sz w:val="15"/>
                <w:szCs w:val="15"/>
                <w:b w:val="1"/>
                <w:bCs w:val="1"/>
                <w:color w:val="001544"/>
              </w:rPr>
              <w:t>Minimum</w:t>
            </w:r>
          </w:p>
        </w:tc>
        <w:tc>
          <w:tcPr>
            <w:tcW w:w="1280" w:type="dxa"/>
            <w:vAlign w:val="bottom"/>
          </w:tcPr>
          <w:p>
            <w:pPr>
              <w:jc w:val="right"/>
              <w:ind w:right="225"/>
              <w:spacing w:after="0"/>
              <w:rPr>
                <w:sz w:val="20"/>
                <w:szCs w:val="20"/>
                <w:color w:val="auto"/>
              </w:rPr>
            </w:pPr>
            <w:r>
              <w:rPr>
                <w:rFonts w:ascii="Arial" w:cs="Arial" w:eastAsia="Arial" w:hAnsi="Arial"/>
                <w:sz w:val="15"/>
                <w:szCs w:val="15"/>
                <w:b w:val="1"/>
                <w:bCs w:val="1"/>
                <w:color w:val="001544"/>
              </w:rPr>
              <w:t>Target</w:t>
            </w:r>
          </w:p>
        </w:tc>
        <w:tc>
          <w:tcPr>
            <w:tcW w:w="1500" w:type="dxa"/>
            <w:vAlign w:val="bottom"/>
          </w:tcPr>
          <w:p>
            <w:pPr>
              <w:jc w:val="right"/>
              <w:ind w:right="305"/>
              <w:spacing w:after="0"/>
              <w:rPr>
                <w:sz w:val="20"/>
                <w:szCs w:val="20"/>
                <w:color w:val="auto"/>
              </w:rPr>
            </w:pPr>
            <w:r>
              <w:rPr>
                <w:rFonts w:ascii="Arial" w:cs="Arial" w:eastAsia="Arial" w:hAnsi="Arial"/>
                <w:sz w:val="15"/>
                <w:szCs w:val="15"/>
                <w:b w:val="1"/>
                <w:bCs w:val="1"/>
                <w:color w:val="001544"/>
              </w:rPr>
              <w:t>Maximum</w:t>
            </w: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jc w:val="center"/>
              <w:ind w:right="105"/>
              <w:spacing w:after="0"/>
              <w:rPr>
                <w:sz w:val="20"/>
                <w:szCs w:val="20"/>
                <w:color w:val="auto"/>
              </w:rPr>
            </w:pPr>
            <w:r>
              <w:rPr>
                <w:rFonts w:ascii="Arial" w:cs="Arial" w:eastAsia="Arial" w:hAnsi="Arial"/>
                <w:sz w:val="15"/>
                <w:szCs w:val="15"/>
                <w:b w:val="1"/>
                <w:bCs w:val="1"/>
                <w:color w:val="001544"/>
                <w:w w:val="99"/>
              </w:rPr>
              <w:t>NEO Payout</w:t>
            </w: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line="164" w:lineRule="exact"/>
              <w:rPr>
                <w:sz w:val="20"/>
                <w:szCs w:val="20"/>
                <w:color w:val="auto"/>
              </w:rPr>
            </w:pPr>
            <w:r>
              <w:rPr>
                <w:rFonts w:ascii="Arial" w:cs="Arial" w:eastAsia="Arial" w:hAnsi="Arial"/>
                <w:sz w:val="15"/>
                <w:szCs w:val="15"/>
                <w:b w:val="1"/>
                <w:bCs w:val="1"/>
                <w:color w:val="001544"/>
              </w:rPr>
              <w:t>(50% payout)</w:t>
            </w:r>
          </w:p>
        </w:tc>
        <w:tc>
          <w:tcPr>
            <w:tcW w:w="1280" w:type="dxa"/>
            <w:vAlign w:val="bottom"/>
          </w:tcPr>
          <w:p>
            <w:pPr>
              <w:jc w:val="right"/>
              <w:spacing w:after="0" w:line="164" w:lineRule="exact"/>
              <w:rPr>
                <w:sz w:val="20"/>
                <w:szCs w:val="20"/>
                <w:color w:val="auto"/>
              </w:rPr>
            </w:pPr>
            <w:r>
              <w:rPr>
                <w:rFonts w:ascii="Arial" w:cs="Arial" w:eastAsia="Arial" w:hAnsi="Arial"/>
                <w:sz w:val="15"/>
                <w:szCs w:val="15"/>
                <w:b w:val="1"/>
                <w:bCs w:val="1"/>
                <w:color w:val="001544"/>
              </w:rPr>
              <w:t>(100% payout)</w:t>
            </w:r>
          </w:p>
        </w:tc>
        <w:tc>
          <w:tcPr>
            <w:tcW w:w="1500" w:type="dxa"/>
            <w:vAlign w:val="bottom"/>
          </w:tcPr>
          <w:p>
            <w:pPr>
              <w:jc w:val="right"/>
              <w:ind w:right="145"/>
              <w:spacing w:after="0" w:line="164" w:lineRule="exact"/>
              <w:rPr>
                <w:sz w:val="20"/>
                <w:szCs w:val="20"/>
                <w:color w:val="auto"/>
              </w:rPr>
            </w:pPr>
            <w:r>
              <w:rPr>
                <w:rFonts w:ascii="Arial" w:cs="Arial" w:eastAsia="Arial" w:hAnsi="Arial"/>
                <w:sz w:val="15"/>
                <w:szCs w:val="15"/>
                <w:b w:val="1"/>
                <w:bCs w:val="1"/>
                <w:color w:val="001544"/>
              </w:rPr>
              <w:t>(200% payout)</w:t>
            </w:r>
          </w:p>
        </w:tc>
        <w:tc>
          <w:tcPr>
            <w:tcW w:w="960" w:type="dxa"/>
            <w:vAlign w:val="bottom"/>
          </w:tcPr>
          <w:p>
            <w:pPr>
              <w:jc w:val="right"/>
              <w:ind w:right="225"/>
              <w:spacing w:after="0" w:line="164" w:lineRule="exact"/>
              <w:rPr>
                <w:sz w:val="20"/>
                <w:szCs w:val="20"/>
                <w:color w:val="auto"/>
              </w:rPr>
            </w:pPr>
            <w:r>
              <w:rPr>
                <w:rFonts w:ascii="Arial" w:cs="Arial" w:eastAsia="Arial" w:hAnsi="Arial"/>
                <w:sz w:val="15"/>
                <w:szCs w:val="15"/>
                <w:b w:val="1"/>
                <w:bCs w:val="1"/>
                <w:color w:val="001544"/>
              </w:rPr>
              <w:t>Actual</w:t>
            </w:r>
          </w:p>
        </w:tc>
        <w:tc>
          <w:tcPr>
            <w:tcW w:w="960" w:type="dxa"/>
            <w:vAlign w:val="bottom"/>
          </w:tcPr>
          <w:p>
            <w:pPr>
              <w:jc w:val="right"/>
              <w:ind w:right="225"/>
              <w:spacing w:after="0" w:line="164" w:lineRule="exact"/>
              <w:rPr>
                <w:sz w:val="20"/>
                <w:szCs w:val="20"/>
                <w:color w:val="auto"/>
              </w:rPr>
            </w:pPr>
            <w:r>
              <w:rPr>
                <w:rFonts w:ascii="Arial" w:cs="Arial" w:eastAsia="Arial" w:hAnsi="Arial"/>
                <w:sz w:val="15"/>
                <w:szCs w:val="15"/>
                <w:b w:val="1"/>
                <w:bCs w:val="1"/>
                <w:color w:val="001544"/>
              </w:rPr>
              <w:t>Weight</w:t>
            </w:r>
          </w:p>
        </w:tc>
        <w:tc>
          <w:tcPr>
            <w:tcW w:w="1320" w:type="dxa"/>
            <w:vAlign w:val="bottom"/>
          </w:tcPr>
          <w:p>
            <w:pPr>
              <w:jc w:val="center"/>
              <w:ind w:right="85"/>
              <w:spacing w:after="0" w:line="164" w:lineRule="exact"/>
              <w:rPr>
                <w:sz w:val="20"/>
                <w:szCs w:val="20"/>
                <w:color w:val="auto"/>
              </w:rPr>
            </w:pPr>
            <w:r>
              <w:rPr>
                <w:rFonts w:ascii="Arial" w:cs="Arial" w:eastAsia="Arial" w:hAnsi="Arial"/>
                <w:sz w:val="15"/>
                <w:szCs w:val="15"/>
                <w:b w:val="1"/>
                <w:bCs w:val="1"/>
                <w:color w:val="001544"/>
              </w:rPr>
              <w:t>Percentage of</w:t>
            </w:r>
          </w:p>
        </w:tc>
        <w:tc>
          <w:tcPr>
            <w:tcW w:w="0" w:type="dxa"/>
            <w:vAlign w:val="bottom"/>
          </w:tcPr>
          <w:p>
            <w:pPr>
              <w:spacing w:after="0"/>
              <w:rPr>
                <w:sz w:val="1"/>
                <w:szCs w:val="1"/>
                <w:color w:val="auto"/>
              </w:rPr>
            </w:pPr>
          </w:p>
        </w:tc>
      </w:tr>
      <w:tr>
        <w:trPr>
          <w:trHeight w:val="251"/>
        </w:trPr>
        <w:tc>
          <w:tcPr>
            <w:tcW w:w="2260" w:type="dxa"/>
            <w:vAlign w:val="bottom"/>
            <w:tcBorders>
              <w:bottom w:val="single" w:sz="8" w:color="001544"/>
            </w:tcBorders>
          </w:tcPr>
          <w:p>
            <w:pPr>
              <w:ind w:left="100"/>
              <w:spacing w:after="0"/>
              <w:rPr>
                <w:sz w:val="20"/>
                <w:szCs w:val="20"/>
                <w:color w:val="auto"/>
              </w:rPr>
            </w:pPr>
            <w:r>
              <w:rPr>
                <w:rFonts w:ascii="Arial" w:cs="Arial" w:eastAsia="Arial" w:hAnsi="Arial"/>
                <w:sz w:val="15"/>
                <w:szCs w:val="15"/>
                <w:b w:val="1"/>
                <w:bCs w:val="1"/>
                <w:color w:val="001544"/>
              </w:rPr>
              <w:t>Performance Goal</w:t>
            </w:r>
          </w:p>
        </w:tc>
        <w:tc>
          <w:tcPr>
            <w:tcW w:w="180" w:type="dxa"/>
            <w:vAlign w:val="bottom"/>
            <w:tcBorders>
              <w:bottom w:val="single" w:sz="8" w:color="001544"/>
            </w:tcBorders>
          </w:tcPr>
          <w:p>
            <w:pPr>
              <w:spacing w:after="0"/>
              <w:rPr>
                <w:sz w:val="21"/>
                <w:szCs w:val="21"/>
                <w:color w:val="auto"/>
              </w:rPr>
            </w:pPr>
          </w:p>
        </w:tc>
        <w:tc>
          <w:tcPr>
            <w:tcW w:w="1000" w:type="dxa"/>
            <w:vAlign w:val="bottom"/>
            <w:tcBorders>
              <w:bottom w:val="single" w:sz="8" w:color="001544"/>
            </w:tcBorders>
          </w:tcPr>
          <w:p>
            <w:pPr>
              <w:spacing w:after="0"/>
              <w:rPr>
                <w:sz w:val="21"/>
                <w:szCs w:val="21"/>
                <w:color w:val="auto"/>
              </w:rPr>
            </w:pPr>
          </w:p>
        </w:tc>
        <w:tc>
          <w:tcPr>
            <w:tcW w:w="1280" w:type="dxa"/>
            <w:vAlign w:val="bottom"/>
            <w:tcBorders>
              <w:bottom w:val="single" w:sz="8" w:color="001544"/>
            </w:tcBorders>
          </w:tcPr>
          <w:p>
            <w:pPr>
              <w:spacing w:after="0"/>
              <w:rPr>
                <w:sz w:val="21"/>
                <w:szCs w:val="21"/>
                <w:color w:val="auto"/>
              </w:rPr>
            </w:pPr>
          </w:p>
        </w:tc>
        <w:tc>
          <w:tcPr>
            <w:tcW w:w="1500" w:type="dxa"/>
            <w:vAlign w:val="bottom"/>
            <w:tcBorders>
              <w:bottom w:val="single" w:sz="8" w:color="001544"/>
            </w:tcBorders>
          </w:tcPr>
          <w:p>
            <w:pPr>
              <w:jc w:val="right"/>
              <w:ind w:right="525"/>
              <w:spacing w:after="0"/>
              <w:rPr>
                <w:sz w:val="20"/>
                <w:szCs w:val="20"/>
                <w:color w:val="auto"/>
              </w:rPr>
            </w:pPr>
            <w:r>
              <w:rPr>
                <w:rFonts w:ascii="Arial" w:cs="Arial" w:eastAsia="Arial" w:hAnsi="Arial"/>
                <w:sz w:val="15"/>
                <w:szCs w:val="15"/>
                <w:b w:val="1"/>
                <w:bCs w:val="1"/>
                <w:color w:val="001544"/>
                <w:w w:val="99"/>
              </w:rPr>
              <w:t>($ in million)</w:t>
            </w:r>
          </w:p>
        </w:tc>
        <w:tc>
          <w:tcPr>
            <w:tcW w:w="960" w:type="dxa"/>
            <w:vAlign w:val="bottom"/>
            <w:tcBorders>
              <w:bottom w:val="single" w:sz="8" w:color="001544"/>
            </w:tcBorders>
          </w:tcPr>
          <w:p>
            <w:pPr>
              <w:spacing w:after="0"/>
              <w:rPr>
                <w:sz w:val="21"/>
                <w:szCs w:val="21"/>
                <w:color w:val="auto"/>
              </w:rPr>
            </w:pPr>
          </w:p>
        </w:tc>
        <w:tc>
          <w:tcPr>
            <w:tcW w:w="960" w:type="dxa"/>
            <w:vAlign w:val="bottom"/>
            <w:tcBorders>
              <w:bottom w:val="single" w:sz="8" w:color="001544"/>
            </w:tcBorders>
          </w:tcPr>
          <w:p>
            <w:pPr>
              <w:spacing w:after="0"/>
              <w:rPr>
                <w:sz w:val="21"/>
                <w:szCs w:val="21"/>
                <w:color w:val="auto"/>
              </w:rPr>
            </w:pPr>
          </w:p>
        </w:tc>
        <w:tc>
          <w:tcPr>
            <w:tcW w:w="1320" w:type="dxa"/>
            <w:vAlign w:val="bottom"/>
            <w:tcBorders>
              <w:bottom w:val="single" w:sz="8" w:color="001544"/>
            </w:tcBorders>
          </w:tcPr>
          <w:p>
            <w:pPr>
              <w:jc w:val="center"/>
              <w:ind w:right="105"/>
              <w:spacing w:after="0" w:line="250" w:lineRule="exact"/>
              <w:rPr>
                <w:sz w:val="20"/>
                <w:szCs w:val="20"/>
                <w:color w:val="auto"/>
              </w:rPr>
            </w:pPr>
            <w:r>
              <w:rPr>
                <w:rFonts w:ascii="Arial" w:cs="Arial" w:eastAsia="Arial" w:hAnsi="Arial"/>
                <w:sz w:val="15"/>
                <w:szCs w:val="15"/>
                <w:b w:val="1"/>
                <w:bCs w:val="1"/>
                <w:color w:val="001544"/>
                <w:w w:val="90"/>
              </w:rPr>
              <w:t>Target</w:t>
            </w:r>
            <w:r>
              <w:rPr>
                <w:rFonts w:ascii="Arial" w:cs="Arial" w:eastAsia="Arial" w:hAnsi="Arial"/>
                <w:sz w:val="22"/>
                <w:szCs w:val="22"/>
                <w:b w:val="1"/>
                <w:bCs w:val="1"/>
                <w:color w:val="001544"/>
                <w:w w:val="90"/>
                <w:vertAlign w:val="superscript"/>
              </w:rPr>
              <w:t>(1)</w:t>
            </w:r>
          </w:p>
        </w:tc>
        <w:tc>
          <w:tcPr>
            <w:tcW w:w="0" w:type="dxa"/>
            <w:vAlign w:val="bottom"/>
          </w:tcPr>
          <w:p>
            <w:pPr>
              <w:spacing w:after="0"/>
              <w:rPr>
                <w:sz w:val="1"/>
                <w:szCs w:val="1"/>
                <w:color w:val="auto"/>
              </w:rPr>
            </w:pPr>
          </w:p>
        </w:tc>
      </w:tr>
      <w:tr>
        <w:trPr>
          <w:trHeight w:val="256"/>
        </w:trPr>
        <w:tc>
          <w:tcPr>
            <w:tcW w:w="226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FEEUM Capital Raise</w:t>
            </w:r>
            <w:r>
              <w:rPr>
                <w:rFonts w:ascii="Arial" w:cs="Arial" w:eastAsia="Arial" w:hAnsi="Arial"/>
                <w:sz w:val="22"/>
                <w:szCs w:val="22"/>
                <w:color w:val="auto"/>
                <w:vertAlign w:val="superscript"/>
              </w:rPr>
              <w:t>(2)</w:t>
            </w:r>
          </w:p>
        </w:tc>
        <w:tc>
          <w:tcPr>
            <w:tcW w:w="118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5"/>
                <w:szCs w:val="15"/>
                <w:color w:val="auto"/>
              </w:rPr>
              <w:t>7,000.0</w:t>
            </w:r>
          </w:p>
        </w:tc>
        <w:tc>
          <w:tcPr>
            <w:tcW w:w="12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7,500.0</w:t>
            </w:r>
          </w:p>
        </w:tc>
        <w:tc>
          <w:tcPr>
            <w:tcW w:w="1500" w:type="dxa"/>
            <w:vAlign w:val="bottom"/>
            <w:tcBorders>
              <w:bottom w:val="single" w:sz="8" w:color="001544"/>
            </w:tcBorders>
            <w:shd w:val="clear" w:color="auto" w:fill="DBDFEA"/>
          </w:tcPr>
          <w:p>
            <w:pPr>
              <w:jc w:val="right"/>
              <w:ind w:right="125"/>
              <w:spacing w:after="0"/>
              <w:rPr>
                <w:sz w:val="20"/>
                <w:szCs w:val="20"/>
                <w:color w:val="auto"/>
              </w:rPr>
            </w:pPr>
            <w:r>
              <w:rPr>
                <w:rFonts w:ascii="Arial" w:cs="Arial" w:eastAsia="Arial" w:hAnsi="Arial"/>
                <w:sz w:val="15"/>
                <w:szCs w:val="15"/>
                <w:color w:val="auto"/>
              </w:rPr>
              <w:t>8,300.0</w:t>
            </w:r>
          </w:p>
        </w:tc>
        <w:tc>
          <w:tcPr>
            <w:tcW w:w="960" w:type="dxa"/>
            <w:vAlign w:val="bottom"/>
            <w:tcBorders>
              <w:bottom w:val="single" w:sz="8" w:color="001544"/>
            </w:tcBorders>
            <w:shd w:val="clear" w:color="auto" w:fill="DBDFEA"/>
          </w:tcPr>
          <w:p>
            <w:pPr>
              <w:jc w:val="right"/>
              <w:ind w:right="85"/>
              <w:spacing w:after="0"/>
              <w:rPr>
                <w:sz w:val="20"/>
                <w:szCs w:val="20"/>
                <w:color w:val="auto"/>
              </w:rPr>
            </w:pPr>
            <w:r>
              <w:rPr>
                <w:rFonts w:ascii="Arial" w:cs="Arial" w:eastAsia="Arial" w:hAnsi="Arial"/>
                <w:sz w:val="15"/>
                <w:szCs w:val="15"/>
                <w:color w:val="auto"/>
              </w:rPr>
              <w:t>8,978.0</w:t>
            </w:r>
          </w:p>
        </w:tc>
        <w:tc>
          <w:tcPr>
            <w:tcW w:w="960" w:type="dxa"/>
            <w:vAlign w:val="bottom"/>
            <w:tcBorders>
              <w:bottom w:val="single" w:sz="8" w:color="001544"/>
            </w:tcBorders>
            <w:shd w:val="clear" w:color="auto" w:fill="DBDFEA"/>
          </w:tcPr>
          <w:p>
            <w:pPr>
              <w:jc w:val="right"/>
              <w:ind w:right="5"/>
              <w:spacing w:after="0"/>
              <w:rPr>
                <w:sz w:val="20"/>
                <w:szCs w:val="20"/>
                <w:color w:val="auto"/>
              </w:rPr>
            </w:pPr>
            <w:r>
              <w:rPr>
                <w:rFonts w:ascii="Arial" w:cs="Arial" w:eastAsia="Arial" w:hAnsi="Arial"/>
                <w:sz w:val="15"/>
                <w:szCs w:val="15"/>
                <w:color w:val="auto"/>
              </w:rPr>
              <w:t>33.3 %</w:t>
            </w:r>
          </w:p>
        </w:tc>
        <w:tc>
          <w:tcPr>
            <w:tcW w:w="13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0 %</w:t>
            </w:r>
          </w:p>
        </w:tc>
        <w:tc>
          <w:tcPr>
            <w:tcW w:w="0" w:type="dxa"/>
            <w:vAlign w:val="bottom"/>
          </w:tcPr>
          <w:p>
            <w:pPr>
              <w:spacing w:after="0"/>
              <w:rPr>
                <w:sz w:val="1"/>
                <w:szCs w:val="1"/>
                <w:color w:val="auto"/>
              </w:rPr>
            </w:pPr>
          </w:p>
        </w:tc>
      </w:tr>
      <w:tr>
        <w:trPr>
          <w:trHeight w:val="156"/>
        </w:trPr>
        <w:tc>
          <w:tcPr>
            <w:tcW w:w="2260" w:type="dxa"/>
            <w:vAlign w:val="bottom"/>
            <w:shd w:val="clear" w:color="auto" w:fill="DBDFEA"/>
          </w:tcPr>
          <w:p>
            <w:pPr>
              <w:ind w:left="100"/>
              <w:spacing w:after="0" w:line="156" w:lineRule="exact"/>
              <w:rPr>
                <w:sz w:val="20"/>
                <w:szCs w:val="20"/>
                <w:color w:val="auto"/>
              </w:rPr>
            </w:pPr>
            <w:r>
              <w:rPr>
                <w:rFonts w:ascii="Arial" w:cs="Arial" w:eastAsia="Arial" w:hAnsi="Arial"/>
                <w:sz w:val="15"/>
                <w:szCs w:val="15"/>
                <w:color w:val="auto"/>
              </w:rPr>
              <w:t>Run-rate FRE post Corporate</w:t>
            </w:r>
          </w:p>
        </w:tc>
        <w:tc>
          <w:tcPr>
            <w:tcW w:w="180" w:type="dxa"/>
            <w:vAlign w:val="bottom"/>
            <w:shd w:val="clear" w:color="auto" w:fill="DBDFEA"/>
          </w:tcPr>
          <w:p>
            <w:pPr>
              <w:spacing w:after="0"/>
              <w:rPr>
                <w:sz w:val="13"/>
                <w:szCs w:val="13"/>
                <w:color w:val="auto"/>
              </w:rPr>
            </w:pPr>
          </w:p>
        </w:tc>
        <w:tc>
          <w:tcPr>
            <w:tcW w:w="1000" w:type="dxa"/>
            <w:vAlign w:val="bottom"/>
            <w:vMerge w:val="restart"/>
            <w:shd w:val="clear" w:color="auto" w:fill="DBDFEA"/>
          </w:tcPr>
          <w:p>
            <w:pPr>
              <w:jc w:val="right"/>
              <w:spacing w:after="0"/>
              <w:rPr>
                <w:sz w:val="20"/>
                <w:szCs w:val="20"/>
                <w:color w:val="auto"/>
              </w:rPr>
            </w:pPr>
            <w:r>
              <w:rPr>
                <w:rFonts w:ascii="Arial" w:cs="Arial" w:eastAsia="Arial" w:hAnsi="Arial"/>
                <w:sz w:val="15"/>
                <w:szCs w:val="15"/>
                <w:color w:val="auto"/>
              </w:rPr>
              <w:t>148.0</w:t>
            </w:r>
          </w:p>
        </w:tc>
        <w:tc>
          <w:tcPr>
            <w:tcW w:w="1280" w:type="dxa"/>
            <w:vAlign w:val="bottom"/>
            <w:vMerge w:val="restart"/>
            <w:shd w:val="clear" w:color="auto" w:fill="DBDFEA"/>
          </w:tcPr>
          <w:p>
            <w:pPr>
              <w:jc w:val="right"/>
              <w:spacing w:after="0"/>
              <w:rPr>
                <w:sz w:val="20"/>
                <w:szCs w:val="20"/>
                <w:color w:val="auto"/>
              </w:rPr>
            </w:pPr>
            <w:r>
              <w:rPr>
                <w:rFonts w:ascii="Arial" w:cs="Arial" w:eastAsia="Arial" w:hAnsi="Arial"/>
                <w:sz w:val="15"/>
                <w:szCs w:val="15"/>
                <w:color w:val="auto"/>
              </w:rPr>
              <w:t>164.4</w:t>
            </w:r>
          </w:p>
        </w:tc>
        <w:tc>
          <w:tcPr>
            <w:tcW w:w="1500" w:type="dxa"/>
            <w:vAlign w:val="bottom"/>
            <w:vMerge w:val="restart"/>
            <w:shd w:val="clear" w:color="auto" w:fill="DBDFEA"/>
          </w:tcPr>
          <w:p>
            <w:pPr>
              <w:jc w:val="right"/>
              <w:ind w:right="125"/>
              <w:spacing w:after="0"/>
              <w:rPr>
                <w:sz w:val="20"/>
                <w:szCs w:val="20"/>
                <w:color w:val="auto"/>
              </w:rPr>
            </w:pPr>
            <w:r>
              <w:rPr>
                <w:rFonts w:ascii="Arial" w:cs="Arial" w:eastAsia="Arial" w:hAnsi="Arial"/>
                <w:sz w:val="15"/>
                <w:szCs w:val="15"/>
                <w:color w:val="auto"/>
              </w:rPr>
              <w:t>180.9</w:t>
            </w:r>
          </w:p>
        </w:tc>
        <w:tc>
          <w:tcPr>
            <w:tcW w:w="960" w:type="dxa"/>
            <w:vAlign w:val="bottom"/>
            <w:vMerge w:val="restart"/>
            <w:shd w:val="clear" w:color="auto" w:fill="DBDFEA"/>
          </w:tcPr>
          <w:p>
            <w:pPr>
              <w:jc w:val="right"/>
              <w:ind w:right="85"/>
              <w:spacing w:after="0"/>
              <w:rPr>
                <w:sz w:val="20"/>
                <w:szCs w:val="20"/>
                <w:color w:val="auto"/>
              </w:rPr>
            </w:pPr>
            <w:r>
              <w:rPr>
                <w:rFonts w:ascii="Arial" w:cs="Arial" w:eastAsia="Arial" w:hAnsi="Arial"/>
                <w:sz w:val="15"/>
                <w:szCs w:val="15"/>
                <w:color w:val="auto"/>
              </w:rPr>
              <w:t>134.0</w:t>
            </w:r>
          </w:p>
        </w:tc>
        <w:tc>
          <w:tcPr>
            <w:tcW w:w="960" w:type="dxa"/>
            <w:vAlign w:val="bottom"/>
            <w:vMerge w:val="restart"/>
            <w:shd w:val="clear" w:color="auto" w:fill="DBDFEA"/>
          </w:tcPr>
          <w:p>
            <w:pPr>
              <w:jc w:val="right"/>
              <w:ind w:right="5"/>
              <w:spacing w:after="0"/>
              <w:rPr>
                <w:sz w:val="20"/>
                <w:szCs w:val="20"/>
                <w:color w:val="auto"/>
              </w:rPr>
            </w:pPr>
            <w:r>
              <w:rPr>
                <w:rFonts w:ascii="Arial" w:cs="Arial" w:eastAsia="Arial" w:hAnsi="Arial"/>
                <w:sz w:val="15"/>
                <w:szCs w:val="15"/>
                <w:color w:val="auto"/>
              </w:rPr>
              <w:t>33.3 %</w:t>
            </w:r>
          </w:p>
        </w:tc>
        <w:tc>
          <w:tcPr>
            <w:tcW w:w="1320" w:type="dxa"/>
            <w:vAlign w:val="bottom"/>
            <w:vMerge w:val="restart"/>
            <w:shd w:val="clear" w:color="auto" w:fill="DBDFEA"/>
          </w:tcPr>
          <w:p>
            <w:pPr>
              <w:jc w:val="right"/>
              <w:spacing w:after="0"/>
              <w:rPr>
                <w:sz w:val="20"/>
                <w:szCs w:val="20"/>
                <w:color w:val="auto"/>
              </w:rPr>
            </w:pPr>
            <w:r>
              <w:rPr>
                <w:rFonts w:ascii="Arial" w:cs="Arial" w:eastAsia="Arial" w:hAnsi="Arial"/>
                <w:sz w:val="15"/>
                <w:szCs w:val="15"/>
                <w:color w:val="auto"/>
              </w:rPr>
              <w:t>0 %</w:t>
            </w:r>
          </w:p>
        </w:tc>
        <w:tc>
          <w:tcPr>
            <w:tcW w:w="0" w:type="dxa"/>
            <w:vAlign w:val="bottom"/>
          </w:tcPr>
          <w:p>
            <w:pPr>
              <w:spacing w:after="0"/>
              <w:rPr>
                <w:sz w:val="1"/>
                <w:szCs w:val="1"/>
                <w:color w:val="auto"/>
              </w:rPr>
            </w:pPr>
          </w:p>
        </w:tc>
      </w:tr>
      <w:tr>
        <w:trPr>
          <w:trHeight w:val="111"/>
        </w:trPr>
        <w:tc>
          <w:tcPr>
            <w:tcW w:w="2260" w:type="dxa"/>
            <w:vAlign w:val="bottom"/>
            <w:vMerge w:val="restart"/>
            <w:shd w:val="clear" w:color="auto" w:fill="DBDFEA"/>
          </w:tcPr>
          <w:p>
            <w:pPr>
              <w:ind w:left="100"/>
              <w:spacing w:after="0"/>
              <w:rPr>
                <w:sz w:val="20"/>
                <w:szCs w:val="20"/>
                <w:color w:val="auto"/>
              </w:rPr>
            </w:pPr>
            <w:r>
              <w:rPr>
                <w:rFonts w:ascii="Arial" w:cs="Arial" w:eastAsia="Arial" w:hAnsi="Arial"/>
                <w:sz w:val="15"/>
                <w:szCs w:val="15"/>
                <w:color w:val="auto"/>
              </w:rPr>
              <w:t>G&amp;A</w:t>
            </w:r>
          </w:p>
        </w:tc>
        <w:tc>
          <w:tcPr>
            <w:tcW w:w="180" w:type="dxa"/>
            <w:vAlign w:val="bottom"/>
            <w:shd w:val="clear" w:color="auto" w:fill="DBDFEA"/>
          </w:tcPr>
          <w:p>
            <w:pPr>
              <w:spacing w:after="0"/>
              <w:rPr>
                <w:sz w:val="9"/>
                <w:szCs w:val="9"/>
                <w:color w:val="auto"/>
              </w:rPr>
            </w:pPr>
          </w:p>
        </w:tc>
        <w:tc>
          <w:tcPr>
            <w:tcW w:w="1000" w:type="dxa"/>
            <w:vAlign w:val="bottom"/>
            <w:vMerge w:val="continue"/>
            <w:shd w:val="clear" w:color="auto" w:fill="DBDFEA"/>
          </w:tcPr>
          <w:p>
            <w:pPr>
              <w:spacing w:after="0"/>
              <w:rPr>
                <w:sz w:val="9"/>
                <w:szCs w:val="9"/>
                <w:color w:val="auto"/>
              </w:rPr>
            </w:pPr>
          </w:p>
        </w:tc>
        <w:tc>
          <w:tcPr>
            <w:tcW w:w="1280" w:type="dxa"/>
            <w:vAlign w:val="bottom"/>
            <w:vMerge w:val="continue"/>
            <w:shd w:val="clear" w:color="auto" w:fill="DBDFEA"/>
          </w:tcPr>
          <w:p>
            <w:pPr>
              <w:spacing w:after="0"/>
              <w:rPr>
                <w:sz w:val="9"/>
                <w:szCs w:val="9"/>
                <w:color w:val="auto"/>
              </w:rPr>
            </w:pPr>
          </w:p>
        </w:tc>
        <w:tc>
          <w:tcPr>
            <w:tcW w:w="1500" w:type="dxa"/>
            <w:vAlign w:val="bottom"/>
            <w:vMerge w:val="continue"/>
            <w:shd w:val="clear" w:color="auto" w:fill="DBDFEA"/>
          </w:tcPr>
          <w:p>
            <w:pPr>
              <w:spacing w:after="0"/>
              <w:rPr>
                <w:sz w:val="9"/>
                <w:szCs w:val="9"/>
                <w:color w:val="auto"/>
              </w:rPr>
            </w:pPr>
          </w:p>
        </w:tc>
        <w:tc>
          <w:tcPr>
            <w:tcW w:w="960" w:type="dxa"/>
            <w:vAlign w:val="bottom"/>
            <w:vMerge w:val="continue"/>
            <w:shd w:val="clear" w:color="auto" w:fill="DBDFEA"/>
          </w:tcPr>
          <w:p>
            <w:pPr>
              <w:spacing w:after="0"/>
              <w:rPr>
                <w:sz w:val="9"/>
                <w:szCs w:val="9"/>
                <w:color w:val="auto"/>
              </w:rPr>
            </w:pPr>
          </w:p>
        </w:tc>
        <w:tc>
          <w:tcPr>
            <w:tcW w:w="960" w:type="dxa"/>
            <w:vAlign w:val="bottom"/>
            <w:vMerge w:val="continue"/>
            <w:shd w:val="clear" w:color="auto" w:fill="DBDFEA"/>
          </w:tcPr>
          <w:p>
            <w:pPr>
              <w:spacing w:after="0"/>
              <w:rPr>
                <w:sz w:val="9"/>
                <w:szCs w:val="9"/>
                <w:color w:val="auto"/>
              </w:rPr>
            </w:pPr>
          </w:p>
        </w:tc>
        <w:tc>
          <w:tcPr>
            <w:tcW w:w="1320" w:type="dxa"/>
            <w:vAlign w:val="bottom"/>
            <w:vMerge w:val="continue"/>
            <w:shd w:val="clear" w:color="auto" w:fill="DBDFEA"/>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260" w:type="dxa"/>
            <w:vAlign w:val="bottom"/>
            <w:tcBorders>
              <w:bottom w:val="single" w:sz="8" w:color="001544"/>
            </w:tcBorders>
            <w:vMerge w:val="continue"/>
            <w:shd w:val="clear" w:color="auto" w:fill="DBDFEA"/>
          </w:tcPr>
          <w:p>
            <w:pPr>
              <w:spacing w:after="0"/>
              <w:rPr>
                <w:sz w:val="6"/>
                <w:szCs w:val="6"/>
                <w:color w:val="auto"/>
              </w:rPr>
            </w:pPr>
          </w:p>
        </w:tc>
        <w:tc>
          <w:tcPr>
            <w:tcW w:w="180" w:type="dxa"/>
            <w:vAlign w:val="bottom"/>
            <w:tcBorders>
              <w:bottom w:val="single" w:sz="8" w:color="001544"/>
            </w:tcBorders>
            <w:shd w:val="clear" w:color="auto" w:fill="DBDFEA"/>
          </w:tcPr>
          <w:p>
            <w:pPr>
              <w:spacing w:after="0"/>
              <w:rPr>
                <w:sz w:val="6"/>
                <w:szCs w:val="6"/>
                <w:color w:val="auto"/>
              </w:rPr>
            </w:pPr>
          </w:p>
        </w:tc>
        <w:tc>
          <w:tcPr>
            <w:tcW w:w="1000" w:type="dxa"/>
            <w:vAlign w:val="bottom"/>
            <w:tcBorders>
              <w:bottom w:val="single" w:sz="8" w:color="001544"/>
            </w:tcBorders>
            <w:shd w:val="clear" w:color="auto" w:fill="DBDFEA"/>
          </w:tcPr>
          <w:p>
            <w:pPr>
              <w:spacing w:after="0"/>
              <w:rPr>
                <w:sz w:val="6"/>
                <w:szCs w:val="6"/>
                <w:color w:val="auto"/>
              </w:rPr>
            </w:pPr>
          </w:p>
        </w:tc>
        <w:tc>
          <w:tcPr>
            <w:tcW w:w="1280" w:type="dxa"/>
            <w:vAlign w:val="bottom"/>
            <w:tcBorders>
              <w:bottom w:val="single" w:sz="8" w:color="001544"/>
            </w:tcBorders>
            <w:shd w:val="clear" w:color="auto" w:fill="DBDFEA"/>
          </w:tcPr>
          <w:p>
            <w:pPr>
              <w:spacing w:after="0"/>
              <w:rPr>
                <w:sz w:val="6"/>
                <w:szCs w:val="6"/>
                <w:color w:val="auto"/>
              </w:rPr>
            </w:pPr>
          </w:p>
        </w:tc>
        <w:tc>
          <w:tcPr>
            <w:tcW w:w="1500" w:type="dxa"/>
            <w:vAlign w:val="bottom"/>
            <w:tcBorders>
              <w:bottom w:val="single" w:sz="8" w:color="001544"/>
            </w:tcBorders>
            <w:shd w:val="clear" w:color="auto" w:fill="DBDFEA"/>
          </w:tcPr>
          <w:p>
            <w:pPr>
              <w:spacing w:after="0"/>
              <w:rPr>
                <w:sz w:val="6"/>
                <w:szCs w:val="6"/>
                <w:color w:val="auto"/>
              </w:rPr>
            </w:pPr>
          </w:p>
        </w:tc>
        <w:tc>
          <w:tcPr>
            <w:tcW w:w="960" w:type="dxa"/>
            <w:vAlign w:val="bottom"/>
            <w:tcBorders>
              <w:bottom w:val="single" w:sz="8" w:color="001544"/>
            </w:tcBorders>
            <w:shd w:val="clear" w:color="auto" w:fill="DBDFEA"/>
          </w:tcPr>
          <w:p>
            <w:pPr>
              <w:spacing w:after="0"/>
              <w:rPr>
                <w:sz w:val="6"/>
                <w:szCs w:val="6"/>
                <w:color w:val="auto"/>
              </w:rPr>
            </w:pPr>
          </w:p>
        </w:tc>
        <w:tc>
          <w:tcPr>
            <w:tcW w:w="960" w:type="dxa"/>
            <w:vAlign w:val="bottom"/>
            <w:tcBorders>
              <w:bottom w:val="single" w:sz="8" w:color="001544"/>
            </w:tcBorders>
            <w:shd w:val="clear" w:color="auto" w:fill="DBDFEA"/>
          </w:tcPr>
          <w:p>
            <w:pPr>
              <w:spacing w:after="0"/>
              <w:rPr>
                <w:sz w:val="6"/>
                <w:szCs w:val="6"/>
                <w:color w:val="auto"/>
              </w:rPr>
            </w:pPr>
          </w:p>
        </w:tc>
        <w:tc>
          <w:tcPr>
            <w:tcW w:w="1320" w:type="dxa"/>
            <w:vAlign w:val="bottom"/>
            <w:tcBorders>
              <w:bottom w:val="single" w:sz="8" w:color="001544"/>
            </w:tcBorders>
            <w:shd w:val="clear" w:color="auto" w:fill="DBDFEA"/>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226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5"/>
                <w:szCs w:val="15"/>
                <w:color w:val="auto"/>
              </w:rPr>
              <w:t>Run-rate Distributable Earnings</w:t>
            </w:r>
          </w:p>
        </w:tc>
        <w:tc>
          <w:tcPr>
            <w:tcW w:w="180" w:type="dxa"/>
            <w:vAlign w:val="bottom"/>
            <w:tcBorders>
              <w:bottom w:val="single" w:sz="8" w:color="DBDFEA"/>
            </w:tcBorders>
            <w:shd w:val="clear" w:color="auto" w:fill="DBDFEA"/>
          </w:tcPr>
          <w:p>
            <w:pPr>
              <w:spacing w:after="0"/>
              <w:rPr>
                <w:sz w:val="22"/>
                <w:szCs w:val="22"/>
                <w:color w:val="auto"/>
              </w:rPr>
            </w:pPr>
          </w:p>
        </w:tc>
        <w:tc>
          <w:tcPr>
            <w:tcW w:w="100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5"/>
                <w:szCs w:val="15"/>
                <w:color w:val="auto"/>
              </w:rPr>
              <w:t>89.3</w:t>
            </w:r>
          </w:p>
        </w:tc>
        <w:tc>
          <w:tcPr>
            <w:tcW w:w="128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5"/>
                <w:szCs w:val="15"/>
                <w:color w:val="auto"/>
              </w:rPr>
              <w:t>99.2</w:t>
            </w:r>
          </w:p>
        </w:tc>
        <w:tc>
          <w:tcPr>
            <w:tcW w:w="1500" w:type="dxa"/>
            <w:vAlign w:val="bottom"/>
            <w:tcBorders>
              <w:bottom w:val="single" w:sz="8" w:color="DBDFEA"/>
            </w:tcBorders>
            <w:shd w:val="clear" w:color="auto" w:fill="DBDFEA"/>
          </w:tcPr>
          <w:p>
            <w:pPr>
              <w:jc w:val="right"/>
              <w:ind w:right="125"/>
              <w:spacing w:after="0"/>
              <w:rPr>
                <w:sz w:val="20"/>
                <w:szCs w:val="20"/>
                <w:color w:val="auto"/>
              </w:rPr>
            </w:pPr>
            <w:r>
              <w:rPr>
                <w:rFonts w:ascii="Arial" w:cs="Arial" w:eastAsia="Arial" w:hAnsi="Arial"/>
                <w:sz w:val="15"/>
                <w:szCs w:val="15"/>
                <w:color w:val="auto"/>
              </w:rPr>
              <w:t>109.2</w:t>
            </w:r>
          </w:p>
        </w:tc>
        <w:tc>
          <w:tcPr>
            <w:tcW w:w="960" w:type="dxa"/>
            <w:vAlign w:val="bottom"/>
            <w:tcBorders>
              <w:bottom w:val="single" w:sz="8" w:color="DBDFEA"/>
            </w:tcBorders>
            <w:shd w:val="clear" w:color="auto" w:fill="DBDFEA"/>
          </w:tcPr>
          <w:p>
            <w:pPr>
              <w:jc w:val="right"/>
              <w:ind w:right="85"/>
              <w:spacing w:after="0"/>
              <w:rPr>
                <w:sz w:val="20"/>
                <w:szCs w:val="20"/>
                <w:color w:val="auto"/>
              </w:rPr>
            </w:pPr>
            <w:r>
              <w:rPr>
                <w:rFonts w:ascii="Arial" w:cs="Arial" w:eastAsia="Arial" w:hAnsi="Arial"/>
                <w:sz w:val="15"/>
                <w:szCs w:val="15"/>
                <w:color w:val="auto"/>
              </w:rPr>
              <w:t>78.1</w:t>
            </w:r>
          </w:p>
        </w:tc>
        <w:tc>
          <w:tcPr>
            <w:tcW w:w="960" w:type="dxa"/>
            <w:vAlign w:val="bottom"/>
            <w:tcBorders>
              <w:bottom w:val="single" w:sz="8" w:color="DBDFEA"/>
            </w:tcBorders>
            <w:shd w:val="clear" w:color="auto" w:fill="DBDFEA"/>
          </w:tcPr>
          <w:p>
            <w:pPr>
              <w:jc w:val="right"/>
              <w:ind w:right="5"/>
              <w:spacing w:after="0"/>
              <w:rPr>
                <w:sz w:val="20"/>
                <w:szCs w:val="20"/>
                <w:color w:val="auto"/>
              </w:rPr>
            </w:pPr>
            <w:r>
              <w:rPr>
                <w:rFonts w:ascii="Arial" w:cs="Arial" w:eastAsia="Arial" w:hAnsi="Arial"/>
                <w:sz w:val="15"/>
                <w:szCs w:val="15"/>
                <w:color w:val="auto"/>
              </w:rPr>
              <w:t>33.3 %</w:t>
            </w:r>
          </w:p>
        </w:tc>
        <w:tc>
          <w:tcPr>
            <w:tcW w:w="13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5"/>
                <w:szCs w:val="15"/>
                <w:color w:val="auto"/>
              </w:rPr>
              <w:t>0 %</w:t>
            </w:r>
          </w:p>
        </w:tc>
        <w:tc>
          <w:tcPr>
            <w:tcW w:w="0" w:type="dxa"/>
            <w:vAlign w:val="bottom"/>
          </w:tcPr>
          <w:p>
            <w:pPr>
              <w:spacing w:after="0"/>
              <w:rPr>
                <w:sz w:val="1"/>
                <w:szCs w:val="1"/>
                <w:color w:val="auto"/>
              </w:rPr>
            </w:pPr>
          </w:p>
        </w:tc>
      </w:tr>
      <w:tr>
        <w:trPr>
          <w:trHeight w:val="236"/>
        </w:trPr>
        <w:tc>
          <w:tcPr>
            <w:tcW w:w="2260" w:type="dxa"/>
            <w:vAlign w:val="bottom"/>
            <w:tcBorders>
              <w:top w:val="single" w:sz="8" w:color="001544"/>
              <w:bottom w:val="single" w:sz="8" w:color="DBDFEA"/>
            </w:tcBorders>
            <w:shd w:val="clear" w:color="auto" w:fill="DBDFEA"/>
          </w:tcPr>
          <w:p>
            <w:pPr>
              <w:ind w:left="100"/>
              <w:spacing w:after="0"/>
              <w:rPr>
                <w:sz w:val="20"/>
                <w:szCs w:val="20"/>
                <w:color w:val="auto"/>
              </w:rPr>
            </w:pPr>
            <w:r>
              <w:rPr>
                <w:rFonts w:ascii="Arial" w:cs="Arial" w:eastAsia="Arial" w:hAnsi="Arial"/>
                <w:sz w:val="15"/>
                <w:szCs w:val="15"/>
                <w:color w:val="auto"/>
              </w:rPr>
              <w:t>Total</w:t>
            </w:r>
          </w:p>
        </w:tc>
        <w:tc>
          <w:tcPr>
            <w:tcW w:w="180" w:type="dxa"/>
            <w:vAlign w:val="bottom"/>
            <w:tcBorders>
              <w:top w:val="single" w:sz="8" w:color="001544"/>
              <w:bottom w:val="single" w:sz="8" w:color="DBDFEA"/>
            </w:tcBorders>
            <w:shd w:val="clear" w:color="auto" w:fill="DBDFEA"/>
          </w:tcPr>
          <w:p>
            <w:pPr>
              <w:spacing w:after="0"/>
              <w:rPr>
                <w:sz w:val="20"/>
                <w:szCs w:val="20"/>
                <w:color w:val="auto"/>
              </w:rPr>
            </w:pPr>
          </w:p>
        </w:tc>
        <w:tc>
          <w:tcPr>
            <w:tcW w:w="1000" w:type="dxa"/>
            <w:vAlign w:val="bottom"/>
            <w:tcBorders>
              <w:top w:val="single" w:sz="8" w:color="001544"/>
              <w:bottom w:val="single" w:sz="8" w:color="DBDFEA"/>
            </w:tcBorders>
            <w:shd w:val="clear" w:color="auto" w:fill="DBDFEA"/>
          </w:tcPr>
          <w:p>
            <w:pPr>
              <w:spacing w:after="0"/>
              <w:rPr>
                <w:sz w:val="20"/>
                <w:szCs w:val="20"/>
                <w:color w:val="auto"/>
              </w:rPr>
            </w:pPr>
          </w:p>
        </w:tc>
        <w:tc>
          <w:tcPr>
            <w:tcW w:w="1280" w:type="dxa"/>
            <w:vAlign w:val="bottom"/>
            <w:tcBorders>
              <w:top w:val="single" w:sz="8" w:color="001544"/>
              <w:bottom w:val="single" w:sz="8" w:color="DBDFEA"/>
            </w:tcBorders>
            <w:shd w:val="clear" w:color="auto" w:fill="DBDFEA"/>
          </w:tcPr>
          <w:p>
            <w:pPr>
              <w:spacing w:after="0"/>
              <w:rPr>
                <w:sz w:val="20"/>
                <w:szCs w:val="20"/>
                <w:color w:val="auto"/>
              </w:rPr>
            </w:pPr>
          </w:p>
        </w:tc>
        <w:tc>
          <w:tcPr>
            <w:tcW w:w="1500" w:type="dxa"/>
            <w:vAlign w:val="bottom"/>
            <w:tcBorders>
              <w:top w:val="single" w:sz="8" w:color="001544"/>
              <w:bottom w:val="single" w:sz="8" w:color="DBDFEA"/>
            </w:tcBorders>
            <w:shd w:val="clear" w:color="auto" w:fill="DBDFEA"/>
          </w:tcPr>
          <w:p>
            <w:pPr>
              <w:spacing w:after="0"/>
              <w:rPr>
                <w:sz w:val="20"/>
                <w:szCs w:val="20"/>
                <w:color w:val="auto"/>
              </w:rPr>
            </w:pPr>
          </w:p>
        </w:tc>
        <w:tc>
          <w:tcPr>
            <w:tcW w:w="960" w:type="dxa"/>
            <w:vAlign w:val="bottom"/>
            <w:tcBorders>
              <w:top w:val="single" w:sz="8" w:color="001544"/>
              <w:bottom w:val="single" w:sz="8" w:color="DBDFEA"/>
            </w:tcBorders>
            <w:shd w:val="clear" w:color="auto" w:fill="DBDFEA"/>
          </w:tcPr>
          <w:p>
            <w:pPr>
              <w:spacing w:after="0"/>
              <w:rPr>
                <w:sz w:val="20"/>
                <w:szCs w:val="20"/>
                <w:color w:val="auto"/>
              </w:rPr>
            </w:pPr>
          </w:p>
        </w:tc>
        <w:tc>
          <w:tcPr>
            <w:tcW w:w="960" w:type="dxa"/>
            <w:vAlign w:val="bottom"/>
            <w:tcBorders>
              <w:top w:val="single" w:sz="8" w:color="001544"/>
              <w:bottom w:val="single" w:sz="8" w:color="DBDFEA"/>
            </w:tcBorders>
            <w:shd w:val="clear" w:color="auto" w:fill="DBDFEA"/>
          </w:tcPr>
          <w:p>
            <w:pPr>
              <w:jc w:val="right"/>
              <w:ind w:right="5"/>
              <w:spacing w:after="0"/>
              <w:rPr>
                <w:sz w:val="20"/>
                <w:szCs w:val="20"/>
                <w:color w:val="auto"/>
              </w:rPr>
            </w:pPr>
            <w:r>
              <w:rPr>
                <w:rFonts w:ascii="Arial" w:cs="Arial" w:eastAsia="Arial" w:hAnsi="Arial"/>
                <w:sz w:val="15"/>
                <w:szCs w:val="15"/>
                <w:color w:val="auto"/>
              </w:rPr>
              <w:t>100.0 %</w:t>
            </w:r>
          </w:p>
        </w:tc>
        <w:tc>
          <w:tcPr>
            <w:tcW w:w="1320" w:type="dxa"/>
            <w:vAlign w:val="bottom"/>
            <w:tcBorders>
              <w:top w:val="single" w:sz="8" w:color="001544"/>
              <w:bottom w:val="single" w:sz="8" w:color="DBDFEA"/>
            </w:tcBorders>
            <w:shd w:val="clear" w:color="auto" w:fill="DBDFEA"/>
          </w:tcPr>
          <w:p>
            <w:pPr>
              <w:jc w:val="right"/>
              <w:spacing w:after="0"/>
              <w:rPr>
                <w:sz w:val="20"/>
                <w:szCs w:val="20"/>
                <w:color w:val="auto"/>
              </w:rPr>
            </w:pPr>
            <w:r>
              <w:rPr>
                <w:rFonts w:ascii="Arial" w:cs="Arial" w:eastAsia="Arial" w:hAnsi="Arial"/>
                <w:sz w:val="15"/>
                <w:szCs w:val="15"/>
                <w:color w:val="auto"/>
              </w:rPr>
              <w:t>0 %</w:t>
            </w:r>
          </w:p>
        </w:tc>
        <w:tc>
          <w:tcPr>
            <w:tcW w:w="0" w:type="dxa"/>
            <w:vAlign w:val="bottom"/>
          </w:tcPr>
          <w:p>
            <w:pPr>
              <w:spacing w:after="0"/>
              <w:rPr>
                <w:sz w:val="1"/>
                <w:szCs w:val="1"/>
                <w:color w:val="auto"/>
              </w:rPr>
            </w:pPr>
          </w:p>
        </w:tc>
      </w:tr>
      <w:tr>
        <w:trPr>
          <w:trHeight w:val="20"/>
        </w:trPr>
        <w:tc>
          <w:tcPr>
            <w:tcW w:w="2260" w:type="dxa"/>
            <w:vAlign w:val="bottom"/>
            <w:shd w:val="clear" w:color="auto" w:fill="001544"/>
          </w:tcPr>
          <w:p>
            <w:pPr>
              <w:spacing w:after="0" w:line="20" w:lineRule="exact"/>
              <w:rPr>
                <w:sz w:val="1"/>
                <w:szCs w:val="1"/>
                <w:color w:val="auto"/>
              </w:rPr>
            </w:pPr>
          </w:p>
        </w:tc>
        <w:tc>
          <w:tcPr>
            <w:tcW w:w="180" w:type="dxa"/>
            <w:vAlign w:val="bottom"/>
            <w:shd w:val="clear" w:color="auto" w:fill="001544"/>
          </w:tcPr>
          <w:p>
            <w:pPr>
              <w:spacing w:after="0" w:line="20" w:lineRule="exact"/>
              <w:rPr>
                <w:sz w:val="1"/>
                <w:szCs w:val="1"/>
                <w:color w:val="auto"/>
              </w:rPr>
            </w:pPr>
          </w:p>
        </w:tc>
        <w:tc>
          <w:tcPr>
            <w:tcW w:w="1000" w:type="dxa"/>
            <w:vAlign w:val="bottom"/>
            <w:shd w:val="clear" w:color="auto" w:fill="001544"/>
          </w:tcPr>
          <w:p>
            <w:pPr>
              <w:spacing w:after="0" w:line="20" w:lineRule="exact"/>
              <w:rPr>
                <w:sz w:val="1"/>
                <w:szCs w:val="1"/>
                <w:color w:val="auto"/>
              </w:rPr>
            </w:pPr>
          </w:p>
        </w:tc>
        <w:tc>
          <w:tcPr>
            <w:tcW w:w="1280" w:type="dxa"/>
            <w:vAlign w:val="bottom"/>
            <w:shd w:val="clear" w:color="auto" w:fill="001544"/>
          </w:tcPr>
          <w:p>
            <w:pPr>
              <w:spacing w:after="0" w:line="20" w:lineRule="exact"/>
              <w:rPr>
                <w:sz w:val="1"/>
                <w:szCs w:val="1"/>
                <w:color w:val="auto"/>
              </w:rPr>
            </w:pPr>
          </w:p>
        </w:tc>
        <w:tc>
          <w:tcPr>
            <w:tcW w:w="1500" w:type="dxa"/>
            <w:vAlign w:val="bottom"/>
            <w:shd w:val="clear" w:color="auto" w:fill="001544"/>
          </w:tcPr>
          <w:p>
            <w:pPr>
              <w:spacing w:after="0" w:line="20" w:lineRule="exact"/>
              <w:rPr>
                <w:sz w:val="1"/>
                <w:szCs w:val="1"/>
                <w:color w:val="auto"/>
              </w:rPr>
            </w:pPr>
          </w:p>
        </w:tc>
        <w:tc>
          <w:tcPr>
            <w:tcW w:w="960" w:type="dxa"/>
            <w:vAlign w:val="bottom"/>
            <w:shd w:val="clear" w:color="auto" w:fill="001544"/>
          </w:tcPr>
          <w:p>
            <w:pPr>
              <w:spacing w:after="0" w:line="20" w:lineRule="exact"/>
              <w:rPr>
                <w:sz w:val="1"/>
                <w:szCs w:val="1"/>
                <w:color w:val="auto"/>
              </w:rPr>
            </w:pPr>
          </w:p>
        </w:tc>
        <w:tc>
          <w:tcPr>
            <w:tcW w:w="960" w:type="dxa"/>
            <w:vAlign w:val="bottom"/>
            <w:shd w:val="clear" w:color="auto" w:fill="001544"/>
          </w:tcPr>
          <w:p>
            <w:pPr>
              <w:spacing w:after="0" w:line="20" w:lineRule="exact"/>
              <w:rPr>
                <w:sz w:val="1"/>
                <w:szCs w:val="1"/>
                <w:color w:val="auto"/>
              </w:rPr>
            </w:pPr>
          </w:p>
        </w:tc>
        <w:tc>
          <w:tcPr>
            <w:tcW w:w="1320" w:type="dxa"/>
            <w:vAlign w:val="bottom"/>
            <w:shd w:val="clear" w:color="auto" w:fill="00154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00" w:right="580" w:hanging="293"/>
        <w:spacing w:after="0" w:line="280" w:lineRule="auto"/>
        <w:tabs>
          <w:tab w:leader="none" w:pos="3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Payout range under the 2024 Annual Incentive Plan was established at 0-200% for each of our NEOs, with linear interpolation for performance between the minimum and maximum ranges set forth above. No payout below minimum threshold for each goal.</w:t>
      </w:r>
    </w:p>
    <w:p>
      <w:pPr>
        <w:spacing w:after="0" w:line="12" w:lineRule="exact"/>
        <w:rPr>
          <w:rFonts w:ascii="Arial" w:cs="Arial" w:eastAsia="Arial" w:hAnsi="Arial"/>
          <w:sz w:val="15"/>
          <w:szCs w:val="15"/>
          <w:color w:val="auto"/>
        </w:rPr>
      </w:pPr>
    </w:p>
    <w:p>
      <w:pPr>
        <w:ind w:left="300" w:right="120" w:hanging="293"/>
        <w:spacing w:after="0" w:line="280" w:lineRule="auto"/>
        <w:tabs>
          <w:tab w:leader="none" w:pos="3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FEEUM Capital Raise goal was not achieved because the average management fee rate of the $9.0 billion raised fell short of the 0.84% minimum established by the Compensation Committee.</w:t>
      </w:r>
    </w:p>
    <w:p>
      <w:pPr>
        <w:spacing w:after="0" w:line="151"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Based on achievement levels of the performance goals and related payout percentages set forth above, weighted in accordance with the terms of the 2024 Annual Incentive Plan, the payout percentage of the target opportunity for each of our then-current NEOs was 0%, resulting in no annual cash bonuses being awarded, except in the case of Mr. Mayrhofer as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008861"/>
        </w:rPr>
        <w:t>ANNUAL BASE SALARY</w:t>
      </w:r>
    </w:p>
    <w:p>
      <w:pPr>
        <w:spacing w:after="0" w:line="199"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Base salaries are designed to compensate our executive officers at a fixed level of compensation that is market competitive and commensurate with each executive’s skills, experience and contributions. In determining base salaries, our Compensation Committee considers a number of factors, including each executive officer’s role and responsibilities, qualifications and experience, past performance, unique skills, future potential with our Company, compensation paid for similar positions within our peer group (including other comparable companies, as applicable) and internal pay equity.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base salaries of our NEOs (excluding Mr. Wu) for the 2023 and 2024 years: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Borders>
              <w:bottom w:val="single" w:sz="8" w:color="001544"/>
            </w:tcBorders>
            <w:gridSpan w:val="2"/>
          </w:tcPr>
          <w:p>
            <w:pPr>
              <w:jc w:val="right"/>
              <w:ind w:right="425"/>
              <w:spacing w:after="0"/>
              <w:rPr>
                <w:sz w:val="20"/>
                <w:szCs w:val="20"/>
                <w:color w:val="auto"/>
              </w:rPr>
            </w:pPr>
            <w:r>
              <w:rPr>
                <w:rFonts w:ascii="Arial" w:cs="Arial" w:eastAsia="Arial" w:hAnsi="Arial"/>
                <w:sz w:val="15"/>
                <w:szCs w:val="15"/>
                <w:b w:val="1"/>
                <w:bCs w:val="1"/>
                <w:color w:val="001544"/>
              </w:rPr>
              <w:t>Base Salary</w:t>
            </w:r>
          </w:p>
        </w:tc>
        <w:tc>
          <w:tcPr>
            <w:tcW w:w="1440" w:type="dxa"/>
            <w:vAlign w:val="bottom"/>
          </w:tcPr>
          <w:p>
            <w:pPr>
              <w:jc w:val="right"/>
              <w:ind w:right="245"/>
              <w:spacing w:after="0"/>
              <w:rPr>
                <w:sz w:val="20"/>
                <w:szCs w:val="20"/>
                <w:color w:val="auto"/>
              </w:rPr>
            </w:pPr>
            <w:r>
              <w:rPr>
                <w:rFonts w:ascii="Arial" w:cs="Arial" w:eastAsia="Arial" w:hAnsi="Arial"/>
                <w:sz w:val="15"/>
                <w:szCs w:val="15"/>
                <w:b w:val="1"/>
                <w:bCs w:val="1"/>
                <w:color w:val="001544"/>
              </w:rPr>
              <w:t>Percentage</w:t>
            </w:r>
          </w:p>
        </w:tc>
      </w:tr>
      <w:tr>
        <w:trPr>
          <w:trHeight w:val="156"/>
        </w:trPr>
        <w:tc>
          <w:tcPr>
            <w:tcW w:w="5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65"/>
              <w:spacing w:after="0" w:line="156" w:lineRule="exact"/>
              <w:rPr>
                <w:sz w:val="20"/>
                <w:szCs w:val="20"/>
                <w:color w:val="auto"/>
              </w:rPr>
            </w:pPr>
            <w:r>
              <w:rPr>
                <w:rFonts w:ascii="Arial" w:cs="Arial" w:eastAsia="Arial" w:hAnsi="Arial"/>
                <w:sz w:val="15"/>
                <w:szCs w:val="15"/>
                <w:b w:val="1"/>
                <w:bCs w:val="1"/>
                <w:color w:val="001544"/>
              </w:rPr>
              <w:t>2023</w:t>
            </w:r>
          </w:p>
        </w:tc>
        <w:tc>
          <w:tcPr>
            <w:tcW w:w="1020" w:type="dxa"/>
            <w:vAlign w:val="bottom"/>
          </w:tcPr>
          <w:p>
            <w:pPr>
              <w:jc w:val="right"/>
              <w:ind w:right="185"/>
              <w:spacing w:after="0" w:line="156" w:lineRule="exact"/>
              <w:rPr>
                <w:sz w:val="20"/>
                <w:szCs w:val="20"/>
                <w:color w:val="auto"/>
              </w:rPr>
            </w:pPr>
            <w:r>
              <w:rPr>
                <w:rFonts w:ascii="Arial" w:cs="Arial" w:eastAsia="Arial" w:hAnsi="Arial"/>
                <w:sz w:val="15"/>
                <w:szCs w:val="15"/>
                <w:b w:val="1"/>
                <w:bCs w:val="1"/>
                <w:color w:val="001544"/>
              </w:rPr>
              <w:t>2024</w:t>
            </w:r>
          </w:p>
        </w:tc>
        <w:tc>
          <w:tcPr>
            <w:tcW w:w="1440" w:type="dxa"/>
            <w:vAlign w:val="bottom"/>
          </w:tcPr>
          <w:p>
            <w:pPr>
              <w:jc w:val="right"/>
              <w:ind w:right="165"/>
              <w:spacing w:after="0" w:line="156" w:lineRule="exact"/>
              <w:rPr>
                <w:sz w:val="20"/>
                <w:szCs w:val="20"/>
                <w:color w:val="auto"/>
              </w:rPr>
            </w:pPr>
            <w:r>
              <w:rPr>
                <w:rFonts w:ascii="Arial" w:cs="Arial" w:eastAsia="Arial" w:hAnsi="Arial"/>
                <w:sz w:val="15"/>
                <w:szCs w:val="15"/>
                <w:b w:val="1"/>
                <w:bCs w:val="1"/>
                <w:color w:val="001544"/>
              </w:rPr>
              <w:t>Change (from</w:t>
            </w:r>
          </w:p>
        </w:tc>
      </w:tr>
      <w:tr>
        <w:trPr>
          <w:trHeight w:val="206"/>
        </w:trPr>
        <w:tc>
          <w:tcPr>
            <w:tcW w:w="5940" w:type="dxa"/>
            <w:vAlign w:val="bottom"/>
          </w:tcPr>
          <w:p>
            <w:pPr>
              <w:ind w:left="100"/>
              <w:spacing w:after="0"/>
              <w:rPr>
                <w:sz w:val="20"/>
                <w:szCs w:val="20"/>
                <w:color w:val="auto"/>
              </w:rPr>
            </w:pPr>
            <w:r>
              <w:rPr>
                <w:rFonts w:ascii="Arial" w:cs="Arial" w:eastAsia="Arial" w:hAnsi="Arial"/>
                <w:sz w:val="15"/>
                <w:szCs w:val="15"/>
                <w:b w:val="1"/>
                <w:bCs w:val="1"/>
                <w:color w:val="001544"/>
              </w:rPr>
              <w:t>Named Executive Officer</w:t>
            </w:r>
          </w:p>
        </w:tc>
        <w:tc>
          <w:tcPr>
            <w:tcW w:w="1060" w:type="dxa"/>
            <w:vAlign w:val="bottom"/>
            <w:gridSpan w:val="2"/>
          </w:tcPr>
          <w:p>
            <w:pPr>
              <w:jc w:val="right"/>
              <w:ind w:right="245"/>
              <w:spacing w:after="0"/>
              <w:rPr>
                <w:sz w:val="20"/>
                <w:szCs w:val="20"/>
                <w:color w:val="auto"/>
              </w:rPr>
            </w:pPr>
            <w:r>
              <w:rPr>
                <w:rFonts w:ascii="Arial" w:cs="Arial" w:eastAsia="Arial" w:hAnsi="Arial"/>
                <w:sz w:val="15"/>
                <w:szCs w:val="15"/>
                <w:b w:val="1"/>
                <w:bCs w:val="1"/>
                <w:color w:val="001544"/>
              </w:rPr>
              <w:t>($)</w:t>
            </w:r>
          </w:p>
        </w:tc>
        <w:tc>
          <w:tcPr>
            <w:tcW w:w="1020" w:type="dxa"/>
            <w:vAlign w:val="bottom"/>
          </w:tcPr>
          <w:p>
            <w:pPr>
              <w:jc w:val="right"/>
              <w:ind w:right="265"/>
              <w:spacing w:after="0"/>
              <w:rPr>
                <w:sz w:val="20"/>
                <w:szCs w:val="20"/>
                <w:color w:val="auto"/>
              </w:rPr>
            </w:pPr>
            <w:r>
              <w:rPr>
                <w:rFonts w:ascii="Arial" w:cs="Arial" w:eastAsia="Arial" w:hAnsi="Arial"/>
                <w:sz w:val="15"/>
                <w:szCs w:val="15"/>
                <w:b w:val="1"/>
                <w:bCs w:val="1"/>
                <w:color w:val="001544"/>
              </w:rPr>
              <w:t>($)</w:t>
            </w:r>
          </w:p>
        </w:tc>
        <w:tc>
          <w:tcPr>
            <w:tcW w:w="1440" w:type="dxa"/>
            <w:vAlign w:val="bottom"/>
          </w:tcPr>
          <w:p>
            <w:pPr>
              <w:jc w:val="right"/>
              <w:ind w:right="185"/>
              <w:spacing w:after="0"/>
              <w:rPr>
                <w:sz w:val="20"/>
                <w:szCs w:val="20"/>
                <w:color w:val="auto"/>
              </w:rPr>
            </w:pPr>
            <w:r>
              <w:rPr>
                <w:rFonts w:ascii="Arial" w:cs="Arial" w:eastAsia="Arial" w:hAnsi="Arial"/>
                <w:sz w:val="15"/>
                <w:szCs w:val="15"/>
                <w:b w:val="1"/>
                <w:bCs w:val="1"/>
                <w:color w:val="001544"/>
              </w:rPr>
              <w:t>2023 to 2024)</w:t>
            </w:r>
          </w:p>
        </w:tc>
      </w:tr>
      <w:tr>
        <w:trPr>
          <w:trHeight w:val="32"/>
        </w:trPr>
        <w:tc>
          <w:tcPr>
            <w:tcW w:w="5940" w:type="dxa"/>
            <w:vAlign w:val="bottom"/>
            <w:tcBorders>
              <w:bottom w:val="single" w:sz="8" w:color="001544"/>
            </w:tcBorders>
          </w:tcPr>
          <w:p>
            <w:pPr>
              <w:spacing w:after="0"/>
              <w:rPr>
                <w:sz w:val="2"/>
                <w:szCs w:val="2"/>
                <w:color w:val="auto"/>
              </w:rPr>
            </w:pPr>
          </w:p>
        </w:tc>
        <w:tc>
          <w:tcPr>
            <w:tcW w:w="240" w:type="dxa"/>
            <w:vAlign w:val="bottom"/>
            <w:tcBorders>
              <w:bottom w:val="single" w:sz="8" w:color="001544"/>
            </w:tcBorders>
          </w:tcPr>
          <w:p>
            <w:pPr>
              <w:spacing w:after="0"/>
              <w:rPr>
                <w:sz w:val="2"/>
                <w:szCs w:val="2"/>
                <w:color w:val="auto"/>
              </w:rPr>
            </w:pPr>
          </w:p>
        </w:tc>
        <w:tc>
          <w:tcPr>
            <w:tcW w:w="820" w:type="dxa"/>
            <w:vAlign w:val="bottom"/>
            <w:tcBorders>
              <w:bottom w:val="single" w:sz="8" w:color="001544"/>
            </w:tcBorders>
          </w:tcPr>
          <w:p>
            <w:pPr>
              <w:spacing w:after="0"/>
              <w:rPr>
                <w:sz w:val="2"/>
                <w:szCs w:val="2"/>
                <w:color w:val="auto"/>
              </w:rPr>
            </w:pPr>
          </w:p>
        </w:tc>
        <w:tc>
          <w:tcPr>
            <w:tcW w:w="1020" w:type="dxa"/>
            <w:vAlign w:val="bottom"/>
            <w:tcBorders>
              <w:bottom w:val="single" w:sz="8" w:color="001544"/>
            </w:tcBorders>
          </w:tcPr>
          <w:p>
            <w:pPr>
              <w:spacing w:after="0"/>
              <w:rPr>
                <w:sz w:val="2"/>
                <w:szCs w:val="2"/>
                <w:color w:val="auto"/>
              </w:rPr>
            </w:pPr>
          </w:p>
        </w:tc>
        <w:tc>
          <w:tcPr>
            <w:tcW w:w="1440" w:type="dxa"/>
            <w:vAlign w:val="bottom"/>
            <w:tcBorders>
              <w:bottom w:val="single" w:sz="8" w:color="001544"/>
            </w:tcBorders>
          </w:tcPr>
          <w:p>
            <w:pPr>
              <w:spacing w:after="0"/>
              <w:rPr>
                <w:sz w:val="2"/>
                <w:szCs w:val="2"/>
                <w:color w:val="auto"/>
              </w:rPr>
            </w:pPr>
          </w:p>
        </w:tc>
      </w:tr>
      <w:tr>
        <w:trPr>
          <w:trHeight w:val="211"/>
        </w:trPr>
        <w:tc>
          <w:tcPr>
            <w:tcW w:w="59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Marc C. Ganzi</w:t>
            </w:r>
          </w:p>
        </w:tc>
        <w:tc>
          <w:tcPr>
            <w:tcW w:w="106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5"/>
                <w:szCs w:val="15"/>
                <w:color w:val="auto"/>
              </w:rPr>
              <w:t>1,200,000</w:t>
            </w: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1,200,000</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0 %</w:t>
            </w:r>
          </w:p>
        </w:tc>
      </w:tr>
      <w:tr>
        <w:trPr>
          <w:trHeight w:val="219"/>
        </w:trPr>
        <w:tc>
          <w:tcPr>
            <w:tcW w:w="59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Benjamin J. Jenkins</w:t>
            </w:r>
          </w:p>
        </w:tc>
        <w:tc>
          <w:tcPr>
            <w:tcW w:w="240" w:type="dxa"/>
            <w:vAlign w:val="bottom"/>
            <w:tcBorders>
              <w:bottom w:val="single" w:sz="8" w:color="001544"/>
            </w:tcBorders>
            <w:shd w:val="clear" w:color="auto" w:fill="DBDFEA"/>
          </w:tcPr>
          <w:p>
            <w:pPr>
              <w:spacing w:after="0"/>
              <w:rPr>
                <w:sz w:val="19"/>
                <w:szCs w:val="19"/>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700,000</w:t>
            </w: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700,000</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0 %</w:t>
            </w:r>
          </w:p>
        </w:tc>
      </w:tr>
      <w:tr>
        <w:trPr>
          <w:trHeight w:val="226"/>
        </w:trPr>
        <w:tc>
          <w:tcPr>
            <w:tcW w:w="5940" w:type="dxa"/>
            <w:vAlign w:val="bottom"/>
            <w:tcBorders>
              <w:bottom w:val="single" w:sz="8" w:color="001544"/>
            </w:tcBorders>
            <w:shd w:val="clear" w:color="auto" w:fill="DBDFEA"/>
          </w:tcPr>
          <w:p>
            <w:pPr>
              <w:ind w:left="100"/>
              <w:spacing w:after="0" w:line="226" w:lineRule="exact"/>
              <w:rPr>
                <w:sz w:val="20"/>
                <w:szCs w:val="20"/>
                <w:color w:val="auto"/>
              </w:rPr>
            </w:pPr>
            <w:r>
              <w:rPr>
                <w:rFonts w:ascii="Arial" w:cs="Arial" w:eastAsia="Arial" w:hAnsi="Arial"/>
                <w:sz w:val="15"/>
                <w:szCs w:val="15"/>
                <w:color w:val="auto"/>
              </w:rPr>
              <w:t>Thomas Mayrhofer</w:t>
            </w:r>
            <w:r>
              <w:rPr>
                <w:rFonts w:ascii="Arial" w:cs="Arial" w:eastAsia="Arial" w:hAnsi="Arial"/>
                <w:sz w:val="22"/>
                <w:szCs w:val="22"/>
                <w:color w:val="auto"/>
                <w:vertAlign w:val="superscript"/>
              </w:rPr>
              <w:t>(1)</w:t>
            </w:r>
          </w:p>
        </w:tc>
        <w:tc>
          <w:tcPr>
            <w:tcW w:w="240" w:type="dxa"/>
            <w:vAlign w:val="bottom"/>
            <w:tcBorders>
              <w:bottom w:val="single" w:sz="8" w:color="001544"/>
            </w:tcBorders>
            <w:shd w:val="clear" w:color="auto" w:fill="DBDFEA"/>
          </w:tcPr>
          <w:p>
            <w:pPr>
              <w:spacing w:after="0"/>
              <w:rPr>
                <w:sz w:val="19"/>
                <w:szCs w:val="19"/>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n/a</w:t>
            </w: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700,000</w:t>
            </w:r>
          </w:p>
        </w:tc>
        <w:tc>
          <w:tcPr>
            <w:tcW w:w="1440" w:type="dxa"/>
            <w:vAlign w:val="bottom"/>
            <w:tcBorders>
              <w:bottom w:val="single" w:sz="8" w:color="001544"/>
            </w:tcBorders>
            <w:shd w:val="clear" w:color="auto" w:fill="DBDFEA"/>
          </w:tcPr>
          <w:p>
            <w:pPr>
              <w:jc w:val="right"/>
              <w:ind w:right="165"/>
              <w:spacing w:after="0"/>
              <w:rPr>
                <w:sz w:val="20"/>
                <w:szCs w:val="20"/>
                <w:color w:val="auto"/>
              </w:rPr>
            </w:pPr>
            <w:r>
              <w:rPr>
                <w:rFonts w:ascii="Arial" w:cs="Arial" w:eastAsia="Arial" w:hAnsi="Arial"/>
                <w:sz w:val="15"/>
                <w:szCs w:val="15"/>
                <w:color w:val="auto"/>
              </w:rPr>
              <w:t>n/a</w:t>
            </w:r>
          </w:p>
        </w:tc>
      </w:tr>
      <w:tr>
        <w:trPr>
          <w:trHeight w:val="211"/>
        </w:trPr>
        <w:tc>
          <w:tcPr>
            <w:tcW w:w="59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Geoffrey Goldschein</w:t>
            </w:r>
          </w:p>
        </w:tc>
        <w:tc>
          <w:tcPr>
            <w:tcW w:w="240" w:type="dxa"/>
            <w:vAlign w:val="bottom"/>
            <w:tcBorders>
              <w:bottom w:val="single" w:sz="8" w:color="001544"/>
            </w:tcBorders>
            <w:shd w:val="clear" w:color="auto" w:fill="DBDFEA"/>
          </w:tcPr>
          <w:p>
            <w:pPr>
              <w:spacing w:after="0"/>
              <w:rPr>
                <w:sz w:val="18"/>
                <w:szCs w:val="18"/>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575,000</w:t>
            </w: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575,000</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0 %</w:t>
            </w:r>
          </w:p>
        </w:tc>
      </w:tr>
      <w:tr>
        <w:trPr>
          <w:trHeight w:val="219"/>
        </w:trPr>
        <w:tc>
          <w:tcPr>
            <w:tcW w:w="59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Liam Stewart</w:t>
            </w:r>
          </w:p>
        </w:tc>
        <w:tc>
          <w:tcPr>
            <w:tcW w:w="240" w:type="dxa"/>
            <w:vAlign w:val="bottom"/>
            <w:tcBorders>
              <w:bottom w:val="single" w:sz="8" w:color="001544"/>
            </w:tcBorders>
            <w:shd w:val="clear" w:color="auto" w:fill="DBDFEA"/>
          </w:tcPr>
          <w:p>
            <w:pPr>
              <w:spacing w:after="0"/>
              <w:rPr>
                <w:sz w:val="19"/>
                <w:szCs w:val="19"/>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600,000</w:t>
            </w: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600,000</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0 %</w:t>
            </w:r>
          </w:p>
        </w:tc>
      </w:tr>
    </w:tbl>
    <w:p>
      <w:pPr>
        <w:spacing w:after="0"/>
        <w:rPr>
          <w:sz w:val="20"/>
          <w:szCs w:val="20"/>
          <w:color w:val="auto"/>
        </w:rPr>
      </w:pPr>
      <w:r>
        <w:rPr>
          <w:rFonts w:ascii="Arial" w:cs="Arial" w:eastAsia="Arial" w:hAnsi="Arial"/>
          <w:sz w:val="15"/>
          <w:szCs w:val="15"/>
          <w:color w:val="auto"/>
        </w:rPr>
        <w:t>(1)  Mr. Mayrhofer became an executive officer in March 2024.</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008861"/>
        </w:rPr>
        <w:t>ANNUAL CASH BONUS</w:t>
      </w:r>
    </w:p>
    <w:p>
      <w:pPr>
        <w:spacing w:after="0" w:line="19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annual bonus payment is designed to incentivize our executive officers at a variable level of compensation based on performance. The Compensation Committee determines the annual cash bonus in accordance with the pre-established terms set forth in the Annual Incentive Plan, as described above. For Mr. Mayrhofer, who</w:t>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5800"/>
        <w:spacing w:after="0"/>
        <w:rPr>
          <w:sz w:val="20"/>
          <w:szCs w:val="20"/>
          <w:color w:val="auto"/>
        </w:rPr>
      </w:pPr>
      <w:r>
        <w:rPr>
          <w:rFonts w:ascii="Arial" w:cs="Arial" w:eastAsia="Arial" w:hAnsi="Arial"/>
          <w:sz w:val="16"/>
          <w:szCs w:val="16"/>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60090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became an executive officer in March 2024 after the 2024 Annual Incentive Plan was established, the annual bonus for his first year of employment was equal to his target annual bonus as provided by the terms of his employment agreement.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annual cash bonuses of our NEOs (excluding Mr. Wu) for the 2023 and 2024 years: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5"/>
                <w:szCs w:val="15"/>
                <w:b w:val="1"/>
                <w:bCs w:val="1"/>
                <w:color w:val="001544"/>
              </w:rPr>
              <w:t>Annual Cash Bonus</w:t>
            </w:r>
          </w:p>
        </w:tc>
        <w:tc>
          <w:tcPr>
            <w:tcW w:w="1440" w:type="dxa"/>
            <w:vAlign w:val="bottom"/>
            <w:vMerge w:val="restart"/>
          </w:tcPr>
          <w:p>
            <w:pPr>
              <w:ind w:left="220"/>
              <w:spacing w:after="0"/>
              <w:rPr>
                <w:sz w:val="20"/>
                <w:szCs w:val="20"/>
                <w:color w:val="auto"/>
              </w:rPr>
            </w:pPr>
            <w:r>
              <w:rPr>
                <w:rFonts w:ascii="Arial" w:cs="Arial" w:eastAsia="Arial" w:hAnsi="Arial"/>
                <w:sz w:val="15"/>
                <w:szCs w:val="15"/>
                <w:b w:val="1"/>
                <w:bCs w:val="1"/>
                <w:color w:val="001544"/>
              </w:rPr>
              <w:t>Change (from</w:t>
            </w:r>
          </w:p>
        </w:tc>
        <w:tc>
          <w:tcPr>
            <w:tcW w:w="0" w:type="dxa"/>
            <w:vAlign w:val="bottom"/>
          </w:tcPr>
          <w:p>
            <w:pPr>
              <w:spacing w:after="0"/>
              <w:rPr>
                <w:sz w:val="1"/>
                <w:szCs w:val="1"/>
                <w:color w:val="auto"/>
              </w:rPr>
            </w:pPr>
          </w:p>
        </w:tc>
      </w:tr>
      <w:tr>
        <w:trPr>
          <w:trHeight w:val="156"/>
        </w:trPr>
        <w:tc>
          <w:tcPr>
            <w:tcW w:w="5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65"/>
              <w:spacing w:after="0" w:line="156" w:lineRule="exact"/>
              <w:rPr>
                <w:sz w:val="20"/>
                <w:szCs w:val="20"/>
                <w:color w:val="auto"/>
              </w:rPr>
            </w:pPr>
            <w:r>
              <w:rPr>
                <w:rFonts w:ascii="Arial" w:cs="Arial" w:eastAsia="Arial" w:hAnsi="Arial"/>
                <w:sz w:val="15"/>
                <w:szCs w:val="15"/>
                <w:b w:val="1"/>
                <w:bCs w:val="1"/>
                <w:color w:val="001544"/>
              </w:rPr>
              <w:t>2023</w:t>
            </w:r>
          </w:p>
        </w:tc>
        <w:tc>
          <w:tcPr>
            <w:tcW w:w="1020" w:type="dxa"/>
            <w:vAlign w:val="bottom"/>
          </w:tcPr>
          <w:p>
            <w:pPr>
              <w:jc w:val="right"/>
              <w:ind w:right="185"/>
              <w:spacing w:after="0" w:line="156" w:lineRule="exact"/>
              <w:rPr>
                <w:sz w:val="20"/>
                <w:szCs w:val="20"/>
                <w:color w:val="auto"/>
              </w:rPr>
            </w:pPr>
            <w:r>
              <w:rPr>
                <w:rFonts w:ascii="Arial" w:cs="Arial" w:eastAsia="Arial" w:hAnsi="Arial"/>
                <w:sz w:val="15"/>
                <w:szCs w:val="15"/>
                <w:b w:val="1"/>
                <w:bCs w:val="1"/>
                <w:color w:val="001544"/>
              </w:rPr>
              <w:t>2024</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940" w:type="dxa"/>
            <w:vAlign w:val="bottom"/>
          </w:tcPr>
          <w:p>
            <w:pPr>
              <w:ind w:left="100"/>
              <w:spacing w:after="0"/>
              <w:rPr>
                <w:sz w:val="20"/>
                <w:szCs w:val="20"/>
                <w:color w:val="auto"/>
              </w:rPr>
            </w:pPr>
            <w:r>
              <w:rPr>
                <w:rFonts w:ascii="Arial" w:cs="Arial" w:eastAsia="Arial" w:hAnsi="Arial"/>
                <w:sz w:val="15"/>
                <w:szCs w:val="15"/>
                <w:b w:val="1"/>
                <w:bCs w:val="1"/>
                <w:color w:val="001544"/>
              </w:rPr>
              <w:t>Named Executive Officer</w:t>
            </w:r>
          </w:p>
        </w:tc>
        <w:tc>
          <w:tcPr>
            <w:tcW w:w="1060" w:type="dxa"/>
            <w:vAlign w:val="bottom"/>
            <w:gridSpan w:val="2"/>
          </w:tcPr>
          <w:p>
            <w:pPr>
              <w:jc w:val="right"/>
              <w:ind w:right="245"/>
              <w:spacing w:after="0"/>
              <w:rPr>
                <w:sz w:val="20"/>
                <w:szCs w:val="20"/>
                <w:color w:val="auto"/>
              </w:rPr>
            </w:pPr>
            <w:r>
              <w:rPr>
                <w:rFonts w:ascii="Arial" w:cs="Arial" w:eastAsia="Arial" w:hAnsi="Arial"/>
                <w:sz w:val="15"/>
                <w:szCs w:val="15"/>
                <w:b w:val="1"/>
                <w:bCs w:val="1"/>
                <w:color w:val="001544"/>
              </w:rPr>
              <w:t>($)</w:t>
            </w:r>
          </w:p>
        </w:tc>
        <w:tc>
          <w:tcPr>
            <w:tcW w:w="1020" w:type="dxa"/>
            <w:vAlign w:val="bottom"/>
          </w:tcPr>
          <w:p>
            <w:pPr>
              <w:jc w:val="right"/>
              <w:ind w:right="265"/>
              <w:spacing w:after="0"/>
              <w:rPr>
                <w:sz w:val="20"/>
                <w:szCs w:val="20"/>
                <w:color w:val="auto"/>
              </w:rPr>
            </w:pPr>
            <w:r>
              <w:rPr>
                <w:rFonts w:ascii="Arial" w:cs="Arial" w:eastAsia="Arial" w:hAnsi="Arial"/>
                <w:sz w:val="15"/>
                <w:szCs w:val="15"/>
                <w:b w:val="1"/>
                <w:bCs w:val="1"/>
                <w:color w:val="001544"/>
              </w:rPr>
              <w:t>($)</w:t>
            </w:r>
          </w:p>
        </w:tc>
        <w:tc>
          <w:tcPr>
            <w:tcW w:w="1440" w:type="dxa"/>
            <w:vAlign w:val="bottom"/>
          </w:tcPr>
          <w:p>
            <w:pPr>
              <w:ind w:left="240"/>
              <w:spacing w:after="0"/>
              <w:rPr>
                <w:sz w:val="20"/>
                <w:szCs w:val="20"/>
                <w:color w:val="auto"/>
              </w:rPr>
            </w:pPr>
            <w:r>
              <w:rPr>
                <w:rFonts w:ascii="Arial" w:cs="Arial" w:eastAsia="Arial" w:hAnsi="Arial"/>
                <w:sz w:val="15"/>
                <w:szCs w:val="15"/>
                <w:b w:val="1"/>
                <w:bCs w:val="1"/>
                <w:color w:val="001544"/>
              </w:rPr>
              <w:t>2023 to 2024)</w:t>
            </w:r>
          </w:p>
        </w:tc>
        <w:tc>
          <w:tcPr>
            <w:tcW w:w="0" w:type="dxa"/>
            <w:vAlign w:val="bottom"/>
          </w:tcPr>
          <w:p>
            <w:pPr>
              <w:spacing w:after="0"/>
              <w:rPr>
                <w:sz w:val="1"/>
                <w:szCs w:val="1"/>
                <w:color w:val="auto"/>
              </w:rPr>
            </w:pPr>
          </w:p>
        </w:tc>
      </w:tr>
      <w:tr>
        <w:trPr>
          <w:trHeight w:val="32"/>
        </w:trPr>
        <w:tc>
          <w:tcPr>
            <w:tcW w:w="5940" w:type="dxa"/>
            <w:vAlign w:val="bottom"/>
            <w:tcBorders>
              <w:bottom w:val="single" w:sz="8" w:color="001544"/>
            </w:tcBorders>
          </w:tcPr>
          <w:p>
            <w:pPr>
              <w:spacing w:after="0"/>
              <w:rPr>
                <w:sz w:val="2"/>
                <w:szCs w:val="2"/>
                <w:color w:val="auto"/>
              </w:rPr>
            </w:pPr>
          </w:p>
        </w:tc>
        <w:tc>
          <w:tcPr>
            <w:tcW w:w="240" w:type="dxa"/>
            <w:vAlign w:val="bottom"/>
            <w:tcBorders>
              <w:bottom w:val="single" w:sz="8" w:color="001544"/>
            </w:tcBorders>
          </w:tcPr>
          <w:p>
            <w:pPr>
              <w:spacing w:after="0"/>
              <w:rPr>
                <w:sz w:val="2"/>
                <w:szCs w:val="2"/>
                <w:color w:val="auto"/>
              </w:rPr>
            </w:pPr>
          </w:p>
        </w:tc>
        <w:tc>
          <w:tcPr>
            <w:tcW w:w="820" w:type="dxa"/>
            <w:vAlign w:val="bottom"/>
            <w:tcBorders>
              <w:bottom w:val="single" w:sz="8" w:color="001544"/>
            </w:tcBorders>
          </w:tcPr>
          <w:p>
            <w:pPr>
              <w:spacing w:after="0"/>
              <w:rPr>
                <w:sz w:val="2"/>
                <w:szCs w:val="2"/>
                <w:color w:val="auto"/>
              </w:rPr>
            </w:pPr>
          </w:p>
        </w:tc>
        <w:tc>
          <w:tcPr>
            <w:tcW w:w="1020" w:type="dxa"/>
            <w:vAlign w:val="bottom"/>
            <w:tcBorders>
              <w:bottom w:val="single" w:sz="8" w:color="001544"/>
            </w:tcBorders>
          </w:tcPr>
          <w:p>
            <w:pPr>
              <w:spacing w:after="0"/>
              <w:rPr>
                <w:sz w:val="2"/>
                <w:szCs w:val="2"/>
                <w:color w:val="auto"/>
              </w:rPr>
            </w:pPr>
          </w:p>
        </w:tc>
        <w:tc>
          <w:tcPr>
            <w:tcW w:w="1440" w:type="dxa"/>
            <w:vAlign w:val="bottom"/>
            <w:tcBorders>
              <w:bottom w:val="single" w:sz="8" w:color="001544"/>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9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Marc C. Ganzi</w:t>
            </w:r>
          </w:p>
        </w:tc>
        <w:tc>
          <w:tcPr>
            <w:tcW w:w="106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5"/>
                <w:szCs w:val="15"/>
                <w:color w:val="auto"/>
              </w:rPr>
              <w:t>1,918,188</w:t>
            </w: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001544"/>
            </w:tcBorders>
            <w:shd w:val="clear" w:color="auto" w:fill="DBDFEA"/>
          </w:tcPr>
          <w:p>
            <w:pPr>
              <w:jc w:val="center"/>
              <w:ind w:left="625"/>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Benjamin J. Jenkins</w:t>
            </w:r>
          </w:p>
        </w:tc>
        <w:tc>
          <w:tcPr>
            <w:tcW w:w="240" w:type="dxa"/>
            <w:vAlign w:val="bottom"/>
            <w:tcBorders>
              <w:bottom w:val="single" w:sz="8" w:color="001544"/>
            </w:tcBorders>
            <w:shd w:val="clear" w:color="auto" w:fill="DBDFEA"/>
          </w:tcPr>
          <w:p>
            <w:pPr>
              <w:spacing w:after="0"/>
              <w:rPr>
                <w:sz w:val="19"/>
                <w:szCs w:val="19"/>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932,453</w:t>
            </w: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001544"/>
            </w:tcBorders>
            <w:shd w:val="clear" w:color="auto" w:fill="DBDFEA"/>
          </w:tcPr>
          <w:p>
            <w:pPr>
              <w:jc w:val="center"/>
              <w:ind w:left="625"/>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Thomas Mayrhofer</w:t>
            </w:r>
          </w:p>
        </w:tc>
        <w:tc>
          <w:tcPr>
            <w:tcW w:w="240" w:type="dxa"/>
            <w:vAlign w:val="bottom"/>
            <w:tcBorders>
              <w:bottom w:val="single" w:sz="8" w:color="001544"/>
            </w:tcBorders>
            <w:shd w:val="clear" w:color="auto" w:fill="DBDFEA"/>
          </w:tcPr>
          <w:p>
            <w:pPr>
              <w:spacing w:after="0"/>
              <w:rPr>
                <w:sz w:val="19"/>
                <w:szCs w:val="19"/>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n/a</w:t>
            </w: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1,100,000</w:t>
            </w:r>
          </w:p>
        </w:tc>
        <w:tc>
          <w:tcPr>
            <w:tcW w:w="1440" w:type="dxa"/>
            <w:vAlign w:val="bottom"/>
            <w:tcBorders>
              <w:bottom w:val="single" w:sz="8" w:color="001544"/>
            </w:tcBorders>
            <w:shd w:val="clear" w:color="auto" w:fill="DBDFEA"/>
          </w:tcPr>
          <w:p>
            <w:pPr>
              <w:jc w:val="center"/>
              <w:ind w:left="665"/>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Geoffrey Goldschein</w:t>
            </w:r>
          </w:p>
        </w:tc>
        <w:tc>
          <w:tcPr>
            <w:tcW w:w="240" w:type="dxa"/>
            <w:vAlign w:val="bottom"/>
            <w:tcBorders>
              <w:bottom w:val="single" w:sz="8" w:color="001544"/>
            </w:tcBorders>
            <w:shd w:val="clear" w:color="auto" w:fill="DBDFEA"/>
          </w:tcPr>
          <w:p>
            <w:pPr>
              <w:spacing w:after="0"/>
              <w:rPr>
                <w:sz w:val="19"/>
                <w:szCs w:val="19"/>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965,754</w:t>
            </w: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001544"/>
            </w:tcBorders>
            <w:shd w:val="clear" w:color="auto" w:fill="DBDFEA"/>
          </w:tcPr>
          <w:p>
            <w:pPr>
              <w:jc w:val="center"/>
              <w:ind w:left="625"/>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Liam Stewart</w:t>
            </w:r>
          </w:p>
        </w:tc>
        <w:tc>
          <w:tcPr>
            <w:tcW w:w="240" w:type="dxa"/>
            <w:vAlign w:val="bottom"/>
            <w:tcBorders>
              <w:bottom w:val="single" w:sz="8" w:color="001544"/>
            </w:tcBorders>
            <w:shd w:val="clear" w:color="auto" w:fill="DBDFEA"/>
          </w:tcPr>
          <w:p>
            <w:pPr>
              <w:spacing w:after="0"/>
              <w:rPr>
                <w:sz w:val="19"/>
                <w:szCs w:val="19"/>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1,019,037</w:t>
            </w: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001544"/>
            </w:tcBorders>
            <w:shd w:val="clear" w:color="auto" w:fill="DBDFEA"/>
          </w:tcPr>
          <w:p>
            <w:pPr>
              <w:jc w:val="center"/>
              <w:ind w:left="625"/>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 addition, Mr. Mayrhofer, received a one-time sign-on cash bonus in 2024 equal to $300,000 pursuant to the terms and conditions of his employment agreement.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008861"/>
        </w:rPr>
        <w:t>LONG-TERM INCENTIVE EQUITY AWARDS</w:t>
      </w:r>
    </w:p>
    <w:p>
      <w:pPr>
        <w:spacing w:after="0" w:line="199"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auto"/>
        </w:rPr>
        <w:t>The Compensation Committee approved the following long-term incentive equity award grants to our NEOs (excluding Mr. Wu) for 2024. For our NEOs other than Mr. Mayrhofer, the actual number of shares or restricted stock units, as applicable, granted pursuant to each type of award was based on the dollar amount of the award divided by the closing price of our Class A common stock on the third trading day following the release of the Company’s earnings for the year ended December 31, 2023. Pursuant to his employment agreement, Mr. Mayrhofer received a one-time, sign-on equity grant, with the actual number of shares granted determined based on the dollar amount of the award divided by the closing share price of our Class A common stock on the effective date of the employment agreement.</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25"/>
              <w:spacing w:after="0"/>
              <w:rPr>
                <w:sz w:val="20"/>
                <w:szCs w:val="20"/>
                <w:color w:val="auto"/>
              </w:rPr>
            </w:pPr>
            <w:r>
              <w:rPr>
                <w:rFonts w:ascii="Arial" w:cs="Arial" w:eastAsia="Arial" w:hAnsi="Arial"/>
                <w:sz w:val="15"/>
                <w:szCs w:val="15"/>
                <w:b w:val="1"/>
                <w:bCs w:val="1"/>
                <w:color w:val="001544"/>
              </w:rPr>
              <w:t>DBRG</w:t>
            </w:r>
          </w:p>
        </w:tc>
        <w:tc>
          <w:tcPr>
            <w:tcW w:w="1680" w:type="dxa"/>
            <w:vAlign w:val="bottom"/>
          </w:tcPr>
          <w:p>
            <w:pPr>
              <w:jc w:val="center"/>
              <w:ind w:right="25"/>
              <w:spacing w:after="0"/>
              <w:rPr>
                <w:sz w:val="20"/>
                <w:szCs w:val="20"/>
                <w:color w:val="auto"/>
              </w:rPr>
            </w:pPr>
            <w:r>
              <w:rPr>
                <w:rFonts w:ascii="Arial" w:cs="Arial" w:eastAsia="Arial" w:hAnsi="Arial"/>
                <w:sz w:val="15"/>
                <w:szCs w:val="15"/>
                <w:b w:val="1"/>
                <w:bCs w:val="1"/>
                <w:color w:val="001544"/>
                <w:w w:val="99"/>
              </w:rPr>
              <w:t>DBRG Total Long-</w:t>
            </w:r>
          </w:p>
        </w:tc>
        <w:tc>
          <w:tcPr>
            <w:tcW w:w="2540" w:type="dxa"/>
            <w:vAlign w:val="bottom"/>
            <w:gridSpan w:val="3"/>
          </w:tcPr>
          <w:p>
            <w:pPr>
              <w:jc w:val="right"/>
              <w:ind w:right="360"/>
              <w:spacing w:after="0"/>
              <w:rPr>
                <w:sz w:val="20"/>
                <w:szCs w:val="20"/>
                <w:color w:val="auto"/>
              </w:rPr>
            </w:pPr>
            <w:r>
              <w:rPr>
                <w:rFonts w:ascii="Arial" w:cs="Arial" w:eastAsia="Arial" w:hAnsi="Arial"/>
                <w:sz w:val="15"/>
                <w:szCs w:val="15"/>
                <w:b w:val="1"/>
                <w:bCs w:val="1"/>
                <w:color w:val="001544"/>
              </w:rPr>
              <w:t>% of DBRG Total Long-Term</w:t>
            </w:r>
          </w:p>
        </w:tc>
      </w:tr>
      <w:tr>
        <w:trPr>
          <w:trHeight w:val="188"/>
        </w:trPr>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001544"/>
                <w:w w:val="99"/>
              </w:rPr>
              <w:t>DBRG Time-</w:t>
            </w:r>
          </w:p>
        </w:tc>
        <w:tc>
          <w:tcPr>
            <w:tcW w:w="180" w:type="dxa"/>
            <w:vAlign w:val="bottom"/>
          </w:tcPr>
          <w:p>
            <w:pPr>
              <w:spacing w:after="0"/>
              <w:rPr>
                <w:sz w:val="16"/>
                <w:szCs w:val="16"/>
                <w:color w:val="auto"/>
              </w:rPr>
            </w:pPr>
          </w:p>
        </w:tc>
        <w:tc>
          <w:tcPr>
            <w:tcW w:w="1160" w:type="dxa"/>
            <w:vAlign w:val="bottom"/>
          </w:tcPr>
          <w:p>
            <w:pPr>
              <w:jc w:val="center"/>
              <w:ind w:right="25"/>
              <w:spacing w:after="0"/>
              <w:rPr>
                <w:sz w:val="20"/>
                <w:szCs w:val="20"/>
                <w:color w:val="auto"/>
              </w:rPr>
            </w:pPr>
            <w:r>
              <w:rPr>
                <w:rFonts w:ascii="Arial" w:cs="Arial" w:eastAsia="Arial" w:hAnsi="Arial"/>
                <w:sz w:val="15"/>
                <w:szCs w:val="15"/>
                <w:b w:val="1"/>
                <w:bCs w:val="1"/>
                <w:color w:val="001544"/>
              </w:rPr>
              <w:t>Performance-</w:t>
            </w:r>
          </w:p>
        </w:tc>
        <w:tc>
          <w:tcPr>
            <w:tcW w:w="1680" w:type="dxa"/>
            <w:vAlign w:val="bottom"/>
          </w:tcPr>
          <w:p>
            <w:pPr>
              <w:jc w:val="center"/>
              <w:ind w:right="5"/>
              <w:spacing w:after="0"/>
              <w:rPr>
                <w:sz w:val="20"/>
                <w:szCs w:val="20"/>
                <w:color w:val="auto"/>
              </w:rPr>
            </w:pPr>
            <w:r>
              <w:rPr>
                <w:rFonts w:ascii="Arial" w:cs="Arial" w:eastAsia="Arial" w:hAnsi="Arial"/>
                <w:sz w:val="15"/>
                <w:szCs w:val="15"/>
                <w:b w:val="1"/>
                <w:bCs w:val="1"/>
                <w:color w:val="001544"/>
                <w:w w:val="98"/>
              </w:rPr>
              <w:t>Term Incentive</w:t>
            </w:r>
          </w:p>
        </w:tc>
        <w:tc>
          <w:tcPr>
            <w:tcW w:w="2540" w:type="dxa"/>
            <w:vAlign w:val="bottom"/>
            <w:gridSpan w:val="3"/>
          </w:tcPr>
          <w:p>
            <w:pPr>
              <w:jc w:val="right"/>
              <w:ind w:right="540"/>
              <w:spacing w:after="0"/>
              <w:rPr>
                <w:sz w:val="20"/>
                <w:szCs w:val="20"/>
                <w:color w:val="auto"/>
              </w:rPr>
            </w:pPr>
            <w:r>
              <w:rPr>
                <w:rFonts w:ascii="Arial" w:cs="Arial" w:eastAsia="Arial" w:hAnsi="Arial"/>
                <w:sz w:val="15"/>
                <w:szCs w:val="15"/>
                <w:b w:val="1"/>
                <w:bCs w:val="1"/>
                <w:color w:val="001544"/>
              </w:rPr>
              <w:t>Incentive Equity Award</w:t>
            </w:r>
          </w:p>
        </w:tc>
      </w:tr>
      <w:tr>
        <w:trPr>
          <w:trHeight w:val="156"/>
        </w:trPr>
        <w:tc>
          <w:tcPr>
            <w:tcW w:w="2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Arial" w:cs="Arial" w:eastAsia="Arial" w:hAnsi="Arial"/>
                <w:sz w:val="15"/>
                <w:szCs w:val="15"/>
                <w:b w:val="1"/>
                <w:bCs w:val="1"/>
                <w:color w:val="001544"/>
              </w:rPr>
              <w:t>Based Award</w:t>
            </w:r>
          </w:p>
        </w:tc>
        <w:tc>
          <w:tcPr>
            <w:tcW w:w="180" w:type="dxa"/>
            <w:vAlign w:val="bottom"/>
          </w:tcPr>
          <w:p>
            <w:pPr>
              <w:spacing w:after="0"/>
              <w:rPr>
                <w:sz w:val="13"/>
                <w:szCs w:val="13"/>
                <w:color w:val="auto"/>
              </w:rPr>
            </w:pPr>
          </w:p>
        </w:tc>
        <w:tc>
          <w:tcPr>
            <w:tcW w:w="1160" w:type="dxa"/>
            <w:vAlign w:val="bottom"/>
          </w:tcPr>
          <w:p>
            <w:pPr>
              <w:jc w:val="center"/>
              <w:ind w:right="25"/>
              <w:spacing w:after="0" w:line="156" w:lineRule="exact"/>
              <w:rPr>
                <w:sz w:val="20"/>
                <w:szCs w:val="20"/>
                <w:color w:val="auto"/>
              </w:rPr>
            </w:pPr>
            <w:r>
              <w:rPr>
                <w:rFonts w:ascii="Arial" w:cs="Arial" w:eastAsia="Arial" w:hAnsi="Arial"/>
                <w:sz w:val="15"/>
                <w:szCs w:val="15"/>
                <w:b w:val="1"/>
                <w:bCs w:val="1"/>
                <w:color w:val="001544"/>
                <w:w w:val="98"/>
              </w:rPr>
              <w:t>Based Award</w:t>
            </w:r>
          </w:p>
        </w:tc>
        <w:tc>
          <w:tcPr>
            <w:tcW w:w="1680" w:type="dxa"/>
            <w:vAlign w:val="bottom"/>
          </w:tcPr>
          <w:p>
            <w:pPr>
              <w:jc w:val="center"/>
              <w:ind w:right="5"/>
              <w:spacing w:after="0" w:line="156" w:lineRule="exact"/>
              <w:rPr>
                <w:sz w:val="20"/>
                <w:szCs w:val="20"/>
                <w:color w:val="auto"/>
              </w:rPr>
            </w:pPr>
            <w:r>
              <w:rPr>
                <w:rFonts w:ascii="Arial" w:cs="Arial" w:eastAsia="Arial" w:hAnsi="Arial"/>
                <w:sz w:val="15"/>
                <w:szCs w:val="15"/>
                <w:b w:val="1"/>
                <w:bCs w:val="1"/>
                <w:color w:val="001544"/>
              </w:rPr>
              <w:t>Equity Award</w:t>
            </w:r>
          </w:p>
        </w:tc>
        <w:tc>
          <w:tcPr>
            <w:tcW w:w="1240" w:type="dxa"/>
            <w:vAlign w:val="bottom"/>
            <w:tcBorders>
              <w:top w:val="single" w:sz="8" w:color="001544"/>
            </w:tcBorders>
          </w:tcPr>
          <w:p>
            <w:pPr>
              <w:jc w:val="right"/>
              <w:ind w:right="445"/>
              <w:spacing w:after="0" w:line="156" w:lineRule="exact"/>
              <w:rPr>
                <w:sz w:val="20"/>
                <w:szCs w:val="20"/>
                <w:color w:val="auto"/>
              </w:rPr>
            </w:pPr>
            <w:r>
              <w:rPr>
                <w:rFonts w:ascii="Arial" w:cs="Arial" w:eastAsia="Arial" w:hAnsi="Arial"/>
                <w:sz w:val="15"/>
                <w:szCs w:val="15"/>
                <w:b w:val="1"/>
                <w:bCs w:val="1"/>
                <w:color w:val="001544"/>
              </w:rPr>
              <w:t>Time-</w:t>
            </w:r>
          </w:p>
        </w:tc>
        <w:tc>
          <w:tcPr>
            <w:tcW w:w="1100" w:type="dxa"/>
            <w:vAlign w:val="bottom"/>
            <w:tcBorders>
              <w:top w:val="single" w:sz="8" w:color="001544"/>
            </w:tcBorders>
          </w:tcPr>
          <w:p>
            <w:pPr>
              <w:jc w:val="right"/>
              <w:spacing w:after="0" w:line="156" w:lineRule="exact"/>
              <w:rPr>
                <w:sz w:val="20"/>
                <w:szCs w:val="20"/>
                <w:color w:val="auto"/>
              </w:rPr>
            </w:pPr>
            <w:r>
              <w:rPr>
                <w:rFonts w:ascii="Arial" w:cs="Arial" w:eastAsia="Arial" w:hAnsi="Arial"/>
                <w:sz w:val="15"/>
                <w:szCs w:val="15"/>
                <w:b w:val="1"/>
                <w:bCs w:val="1"/>
                <w:color w:val="001544"/>
              </w:rPr>
              <w:t>Performance-</w:t>
            </w:r>
          </w:p>
        </w:tc>
        <w:tc>
          <w:tcPr>
            <w:tcW w:w="200" w:type="dxa"/>
            <w:vAlign w:val="bottom"/>
          </w:tcPr>
          <w:p>
            <w:pPr>
              <w:spacing w:after="0"/>
              <w:rPr>
                <w:sz w:val="13"/>
                <w:szCs w:val="13"/>
                <w:color w:val="auto"/>
              </w:rPr>
            </w:pPr>
          </w:p>
        </w:tc>
      </w:tr>
      <w:tr>
        <w:trPr>
          <w:trHeight w:val="206"/>
        </w:trPr>
        <w:tc>
          <w:tcPr>
            <w:tcW w:w="2620" w:type="dxa"/>
            <w:vAlign w:val="bottom"/>
          </w:tcPr>
          <w:p>
            <w:pPr>
              <w:ind w:left="100"/>
              <w:spacing w:after="0"/>
              <w:rPr>
                <w:sz w:val="20"/>
                <w:szCs w:val="20"/>
                <w:color w:val="auto"/>
              </w:rPr>
            </w:pPr>
            <w:r>
              <w:rPr>
                <w:rFonts w:ascii="Arial" w:cs="Arial" w:eastAsia="Arial" w:hAnsi="Arial"/>
                <w:sz w:val="15"/>
                <w:szCs w:val="15"/>
                <w:b w:val="1"/>
                <w:bCs w:val="1"/>
                <w:color w:val="001544"/>
              </w:rPr>
              <w:t>Name</w:t>
            </w:r>
          </w:p>
        </w:tc>
        <w:tc>
          <w:tcPr>
            <w:tcW w:w="1280" w:type="dxa"/>
            <w:vAlign w:val="bottom"/>
            <w:gridSpan w:val="2"/>
          </w:tcPr>
          <w:p>
            <w:pPr>
              <w:jc w:val="center"/>
              <w:ind w:left="165"/>
              <w:spacing w:after="0"/>
              <w:rPr>
                <w:sz w:val="20"/>
                <w:szCs w:val="20"/>
                <w:color w:val="auto"/>
              </w:rPr>
            </w:pPr>
            <w:r>
              <w:rPr>
                <w:rFonts w:ascii="Arial" w:cs="Arial" w:eastAsia="Arial" w:hAnsi="Arial"/>
                <w:sz w:val="15"/>
                <w:szCs w:val="15"/>
                <w:b w:val="1"/>
                <w:bCs w:val="1"/>
                <w:color w:val="001544"/>
              </w:rPr>
              <w:t>($)</w:t>
            </w:r>
          </w:p>
        </w:tc>
        <w:tc>
          <w:tcPr>
            <w:tcW w:w="1340" w:type="dxa"/>
            <w:vAlign w:val="bottom"/>
            <w:gridSpan w:val="2"/>
          </w:tcPr>
          <w:p>
            <w:pPr>
              <w:jc w:val="center"/>
              <w:ind w:left="5"/>
              <w:spacing w:after="0"/>
              <w:rPr>
                <w:sz w:val="20"/>
                <w:szCs w:val="20"/>
                <w:color w:val="auto"/>
              </w:rPr>
            </w:pPr>
            <w:r>
              <w:rPr>
                <w:rFonts w:ascii="Arial" w:cs="Arial" w:eastAsia="Arial" w:hAnsi="Arial"/>
                <w:sz w:val="15"/>
                <w:szCs w:val="15"/>
                <w:b w:val="1"/>
                <w:bCs w:val="1"/>
                <w:color w:val="001544"/>
                <w:w w:val="97"/>
              </w:rPr>
              <w:t>($)</w:t>
            </w:r>
          </w:p>
        </w:tc>
        <w:tc>
          <w:tcPr>
            <w:tcW w:w="1680" w:type="dxa"/>
            <w:vAlign w:val="bottom"/>
          </w:tcPr>
          <w:p>
            <w:pPr>
              <w:jc w:val="center"/>
              <w:ind w:right="25"/>
              <w:spacing w:after="0"/>
              <w:rPr>
                <w:sz w:val="20"/>
                <w:szCs w:val="20"/>
                <w:color w:val="auto"/>
              </w:rPr>
            </w:pPr>
            <w:r>
              <w:rPr>
                <w:rFonts w:ascii="Arial" w:cs="Arial" w:eastAsia="Arial" w:hAnsi="Arial"/>
                <w:sz w:val="15"/>
                <w:szCs w:val="15"/>
                <w:b w:val="1"/>
                <w:bCs w:val="1"/>
                <w:color w:val="001544"/>
                <w:w w:val="97"/>
              </w:rPr>
              <w:t>($)</w:t>
            </w:r>
          </w:p>
        </w:tc>
        <w:tc>
          <w:tcPr>
            <w:tcW w:w="1240" w:type="dxa"/>
            <w:vAlign w:val="bottom"/>
          </w:tcPr>
          <w:p>
            <w:pPr>
              <w:jc w:val="right"/>
              <w:ind w:right="425"/>
              <w:spacing w:after="0"/>
              <w:rPr>
                <w:sz w:val="20"/>
                <w:szCs w:val="20"/>
                <w:color w:val="auto"/>
              </w:rPr>
            </w:pPr>
            <w:r>
              <w:rPr>
                <w:rFonts w:ascii="Arial" w:cs="Arial" w:eastAsia="Arial" w:hAnsi="Arial"/>
                <w:sz w:val="15"/>
                <w:szCs w:val="15"/>
                <w:b w:val="1"/>
                <w:bCs w:val="1"/>
                <w:color w:val="001544"/>
              </w:rPr>
              <w:t>Based</w:t>
            </w:r>
          </w:p>
        </w:tc>
        <w:tc>
          <w:tcPr>
            <w:tcW w:w="130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001544"/>
              </w:rPr>
              <w:t>Based</w:t>
            </w:r>
          </w:p>
        </w:tc>
      </w:tr>
      <w:tr>
        <w:trPr>
          <w:trHeight w:val="32"/>
        </w:trPr>
        <w:tc>
          <w:tcPr>
            <w:tcW w:w="2620" w:type="dxa"/>
            <w:vAlign w:val="bottom"/>
            <w:tcBorders>
              <w:bottom w:val="single" w:sz="8" w:color="001544"/>
            </w:tcBorders>
          </w:tcPr>
          <w:p>
            <w:pPr>
              <w:spacing w:after="0"/>
              <w:rPr>
                <w:sz w:val="2"/>
                <w:szCs w:val="2"/>
                <w:color w:val="auto"/>
              </w:rPr>
            </w:pPr>
          </w:p>
        </w:tc>
        <w:tc>
          <w:tcPr>
            <w:tcW w:w="240" w:type="dxa"/>
            <w:vAlign w:val="bottom"/>
            <w:tcBorders>
              <w:bottom w:val="single" w:sz="8" w:color="001544"/>
            </w:tcBorders>
          </w:tcPr>
          <w:p>
            <w:pPr>
              <w:spacing w:after="0"/>
              <w:rPr>
                <w:sz w:val="2"/>
                <w:szCs w:val="2"/>
                <w:color w:val="auto"/>
              </w:rPr>
            </w:pPr>
          </w:p>
        </w:tc>
        <w:tc>
          <w:tcPr>
            <w:tcW w:w="1040" w:type="dxa"/>
            <w:vAlign w:val="bottom"/>
            <w:tcBorders>
              <w:bottom w:val="single" w:sz="8" w:color="001544"/>
            </w:tcBorders>
          </w:tcPr>
          <w:p>
            <w:pPr>
              <w:spacing w:after="0"/>
              <w:rPr>
                <w:sz w:val="2"/>
                <w:szCs w:val="2"/>
                <w:color w:val="auto"/>
              </w:rPr>
            </w:pPr>
          </w:p>
        </w:tc>
        <w:tc>
          <w:tcPr>
            <w:tcW w:w="180" w:type="dxa"/>
            <w:vAlign w:val="bottom"/>
            <w:tcBorders>
              <w:bottom w:val="single" w:sz="8" w:color="001544"/>
            </w:tcBorders>
          </w:tcPr>
          <w:p>
            <w:pPr>
              <w:spacing w:after="0"/>
              <w:rPr>
                <w:sz w:val="2"/>
                <w:szCs w:val="2"/>
                <w:color w:val="auto"/>
              </w:rPr>
            </w:pPr>
          </w:p>
        </w:tc>
        <w:tc>
          <w:tcPr>
            <w:tcW w:w="1160" w:type="dxa"/>
            <w:vAlign w:val="bottom"/>
            <w:tcBorders>
              <w:bottom w:val="single" w:sz="8" w:color="001544"/>
            </w:tcBorders>
          </w:tcPr>
          <w:p>
            <w:pPr>
              <w:spacing w:after="0"/>
              <w:rPr>
                <w:sz w:val="2"/>
                <w:szCs w:val="2"/>
                <w:color w:val="auto"/>
              </w:rPr>
            </w:pPr>
          </w:p>
        </w:tc>
        <w:tc>
          <w:tcPr>
            <w:tcW w:w="1680" w:type="dxa"/>
            <w:vAlign w:val="bottom"/>
            <w:tcBorders>
              <w:bottom w:val="single" w:sz="8" w:color="001544"/>
            </w:tcBorders>
          </w:tcPr>
          <w:p>
            <w:pPr>
              <w:spacing w:after="0"/>
              <w:rPr>
                <w:sz w:val="2"/>
                <w:szCs w:val="2"/>
                <w:color w:val="auto"/>
              </w:rPr>
            </w:pPr>
          </w:p>
        </w:tc>
        <w:tc>
          <w:tcPr>
            <w:tcW w:w="1240" w:type="dxa"/>
            <w:vAlign w:val="bottom"/>
            <w:tcBorders>
              <w:bottom w:val="single" w:sz="8" w:color="001544"/>
            </w:tcBorders>
          </w:tcPr>
          <w:p>
            <w:pPr>
              <w:spacing w:after="0"/>
              <w:rPr>
                <w:sz w:val="2"/>
                <w:szCs w:val="2"/>
                <w:color w:val="auto"/>
              </w:rPr>
            </w:pPr>
          </w:p>
        </w:tc>
        <w:tc>
          <w:tcPr>
            <w:tcW w:w="1100" w:type="dxa"/>
            <w:vAlign w:val="bottom"/>
            <w:tcBorders>
              <w:bottom w:val="single" w:sz="8" w:color="001544"/>
            </w:tcBorders>
          </w:tcPr>
          <w:p>
            <w:pPr>
              <w:spacing w:after="0"/>
              <w:rPr>
                <w:sz w:val="2"/>
                <w:szCs w:val="2"/>
                <w:color w:val="auto"/>
              </w:rPr>
            </w:pPr>
          </w:p>
        </w:tc>
        <w:tc>
          <w:tcPr>
            <w:tcW w:w="200" w:type="dxa"/>
            <w:vAlign w:val="bottom"/>
            <w:tcBorders>
              <w:bottom w:val="single" w:sz="8" w:color="001544"/>
            </w:tcBorders>
          </w:tcPr>
          <w:p>
            <w:pPr>
              <w:spacing w:after="0"/>
              <w:rPr>
                <w:sz w:val="2"/>
                <w:szCs w:val="2"/>
                <w:color w:val="auto"/>
              </w:rPr>
            </w:pPr>
          </w:p>
        </w:tc>
      </w:tr>
      <w:tr>
        <w:trPr>
          <w:trHeight w:val="211"/>
        </w:trPr>
        <w:tc>
          <w:tcPr>
            <w:tcW w:w="262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Marc C. Ganzi</w:t>
            </w:r>
          </w:p>
        </w:tc>
        <w:tc>
          <w:tcPr>
            <w:tcW w:w="128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5"/>
                <w:szCs w:val="15"/>
                <w:color w:val="auto"/>
              </w:rPr>
              <w:t>1,528,641</w:t>
            </w:r>
          </w:p>
        </w:tc>
        <w:tc>
          <w:tcPr>
            <w:tcW w:w="1340" w:type="dxa"/>
            <w:vAlign w:val="bottom"/>
            <w:tcBorders>
              <w:bottom w:val="single" w:sz="8" w:color="001544"/>
            </w:tcBorders>
            <w:gridSpan w:val="2"/>
            <w:shd w:val="clear" w:color="auto" w:fill="DBDFEA"/>
          </w:tcPr>
          <w:p>
            <w:pPr>
              <w:jc w:val="right"/>
              <w:ind w:right="65"/>
              <w:spacing w:after="0"/>
              <w:rPr>
                <w:sz w:val="20"/>
                <w:szCs w:val="20"/>
                <w:color w:val="auto"/>
              </w:rPr>
            </w:pPr>
            <w:r>
              <w:rPr>
                <w:rFonts w:ascii="Arial" w:cs="Arial" w:eastAsia="Arial" w:hAnsi="Arial"/>
                <w:sz w:val="15"/>
                <w:szCs w:val="15"/>
                <w:color w:val="auto"/>
              </w:rPr>
              <w:t>1,528,641</w:t>
            </w:r>
          </w:p>
        </w:tc>
        <w:tc>
          <w:tcPr>
            <w:tcW w:w="1680" w:type="dxa"/>
            <w:vAlign w:val="bottom"/>
            <w:tcBorders>
              <w:bottom w:val="single" w:sz="8" w:color="001544"/>
            </w:tcBorders>
            <w:shd w:val="clear" w:color="auto" w:fill="DBDFEA"/>
          </w:tcPr>
          <w:p>
            <w:pPr>
              <w:jc w:val="right"/>
              <w:ind w:right="145"/>
              <w:spacing w:after="0"/>
              <w:rPr>
                <w:sz w:val="20"/>
                <w:szCs w:val="20"/>
                <w:color w:val="auto"/>
              </w:rPr>
            </w:pPr>
            <w:r>
              <w:rPr>
                <w:rFonts w:ascii="Arial" w:cs="Arial" w:eastAsia="Arial" w:hAnsi="Arial"/>
                <w:sz w:val="15"/>
                <w:szCs w:val="15"/>
                <w:color w:val="auto"/>
              </w:rPr>
              <w:t>3,057,282</w:t>
            </w:r>
          </w:p>
        </w:tc>
        <w:tc>
          <w:tcPr>
            <w:tcW w:w="1240" w:type="dxa"/>
            <w:vAlign w:val="bottom"/>
            <w:tcBorders>
              <w:bottom w:val="single" w:sz="8" w:color="001544"/>
            </w:tcBorders>
            <w:shd w:val="clear" w:color="auto" w:fill="DBDFEA"/>
          </w:tcPr>
          <w:p>
            <w:pPr>
              <w:jc w:val="right"/>
              <w:ind w:right="5"/>
              <w:spacing w:after="0"/>
              <w:rPr>
                <w:sz w:val="20"/>
                <w:szCs w:val="20"/>
                <w:color w:val="auto"/>
              </w:rPr>
            </w:pPr>
            <w:r>
              <w:rPr>
                <w:rFonts w:ascii="Arial" w:cs="Arial" w:eastAsia="Arial" w:hAnsi="Arial"/>
                <w:sz w:val="15"/>
                <w:szCs w:val="15"/>
                <w:color w:val="auto"/>
              </w:rPr>
              <w:t>50 %</w:t>
            </w:r>
          </w:p>
        </w:tc>
        <w:tc>
          <w:tcPr>
            <w:tcW w:w="1300" w:type="dxa"/>
            <w:vAlign w:val="bottom"/>
            <w:tcBorders>
              <w:bottom w:val="single" w:sz="8" w:color="001544"/>
            </w:tcBorders>
            <w:gridSpan w:val="2"/>
            <w:shd w:val="clear" w:color="auto" w:fill="DBDFEA"/>
          </w:tcPr>
          <w:p>
            <w:pPr>
              <w:jc w:val="right"/>
              <w:ind w:right="60"/>
              <w:spacing w:after="0"/>
              <w:rPr>
                <w:sz w:val="20"/>
                <w:szCs w:val="20"/>
                <w:color w:val="auto"/>
              </w:rPr>
            </w:pPr>
            <w:r>
              <w:rPr>
                <w:rFonts w:ascii="Arial" w:cs="Arial" w:eastAsia="Arial" w:hAnsi="Arial"/>
                <w:sz w:val="15"/>
                <w:szCs w:val="15"/>
                <w:color w:val="auto"/>
              </w:rPr>
              <w:t>50 %</w:t>
            </w:r>
          </w:p>
        </w:tc>
      </w:tr>
      <w:tr>
        <w:trPr>
          <w:trHeight w:val="219"/>
        </w:trPr>
        <w:tc>
          <w:tcPr>
            <w:tcW w:w="262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Benjamin J. Jenkins</w:t>
            </w:r>
          </w:p>
        </w:tc>
        <w:tc>
          <w:tcPr>
            <w:tcW w:w="240" w:type="dxa"/>
            <w:vAlign w:val="bottom"/>
            <w:tcBorders>
              <w:bottom w:val="single" w:sz="8" w:color="001544"/>
            </w:tcBorders>
            <w:shd w:val="clear" w:color="auto" w:fill="DBDFEA"/>
          </w:tcPr>
          <w:p>
            <w:pPr>
              <w:spacing w:after="0"/>
              <w:rPr>
                <w:sz w:val="19"/>
                <w:szCs w:val="19"/>
                <w:color w:val="auto"/>
              </w:rPr>
            </w:pPr>
          </w:p>
        </w:tc>
        <w:tc>
          <w:tcPr>
            <w:tcW w:w="10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843,750</w:t>
            </w:r>
          </w:p>
        </w:tc>
        <w:tc>
          <w:tcPr>
            <w:tcW w:w="1340" w:type="dxa"/>
            <w:vAlign w:val="bottom"/>
            <w:tcBorders>
              <w:bottom w:val="single" w:sz="8" w:color="001544"/>
            </w:tcBorders>
            <w:gridSpan w:val="2"/>
            <w:shd w:val="clear" w:color="auto" w:fill="DBDFEA"/>
          </w:tcPr>
          <w:p>
            <w:pPr>
              <w:jc w:val="right"/>
              <w:ind w:right="65"/>
              <w:spacing w:after="0"/>
              <w:rPr>
                <w:sz w:val="20"/>
                <w:szCs w:val="20"/>
                <w:color w:val="auto"/>
              </w:rPr>
            </w:pPr>
            <w:r>
              <w:rPr>
                <w:rFonts w:ascii="Arial" w:cs="Arial" w:eastAsia="Arial" w:hAnsi="Arial"/>
                <w:sz w:val="15"/>
                <w:szCs w:val="15"/>
                <w:color w:val="auto"/>
              </w:rPr>
              <w:t>843,750</w:t>
            </w:r>
          </w:p>
        </w:tc>
        <w:tc>
          <w:tcPr>
            <w:tcW w:w="1680" w:type="dxa"/>
            <w:vAlign w:val="bottom"/>
            <w:tcBorders>
              <w:bottom w:val="single" w:sz="8" w:color="001544"/>
            </w:tcBorders>
            <w:shd w:val="clear" w:color="auto" w:fill="DBDFEA"/>
          </w:tcPr>
          <w:p>
            <w:pPr>
              <w:jc w:val="right"/>
              <w:ind w:right="145"/>
              <w:spacing w:after="0"/>
              <w:rPr>
                <w:sz w:val="20"/>
                <w:szCs w:val="20"/>
                <w:color w:val="auto"/>
              </w:rPr>
            </w:pPr>
            <w:r>
              <w:rPr>
                <w:rFonts w:ascii="Arial" w:cs="Arial" w:eastAsia="Arial" w:hAnsi="Arial"/>
                <w:sz w:val="15"/>
                <w:szCs w:val="15"/>
                <w:color w:val="auto"/>
              </w:rPr>
              <w:t>1,687,500</w:t>
            </w:r>
          </w:p>
        </w:tc>
        <w:tc>
          <w:tcPr>
            <w:tcW w:w="1240" w:type="dxa"/>
            <w:vAlign w:val="bottom"/>
            <w:tcBorders>
              <w:bottom w:val="single" w:sz="8" w:color="001544"/>
            </w:tcBorders>
            <w:shd w:val="clear" w:color="auto" w:fill="DBDFEA"/>
          </w:tcPr>
          <w:p>
            <w:pPr>
              <w:jc w:val="right"/>
              <w:ind w:right="5"/>
              <w:spacing w:after="0"/>
              <w:rPr>
                <w:sz w:val="20"/>
                <w:szCs w:val="20"/>
                <w:color w:val="auto"/>
              </w:rPr>
            </w:pPr>
            <w:r>
              <w:rPr>
                <w:rFonts w:ascii="Arial" w:cs="Arial" w:eastAsia="Arial" w:hAnsi="Arial"/>
                <w:sz w:val="15"/>
                <w:szCs w:val="15"/>
                <w:color w:val="auto"/>
              </w:rPr>
              <w:t>50 %</w:t>
            </w:r>
          </w:p>
        </w:tc>
        <w:tc>
          <w:tcPr>
            <w:tcW w:w="1300" w:type="dxa"/>
            <w:vAlign w:val="bottom"/>
            <w:tcBorders>
              <w:bottom w:val="single" w:sz="8" w:color="001544"/>
            </w:tcBorders>
            <w:gridSpan w:val="2"/>
            <w:shd w:val="clear" w:color="auto" w:fill="DBDFEA"/>
          </w:tcPr>
          <w:p>
            <w:pPr>
              <w:jc w:val="right"/>
              <w:ind w:right="60"/>
              <w:spacing w:after="0"/>
              <w:rPr>
                <w:sz w:val="20"/>
                <w:szCs w:val="20"/>
                <w:color w:val="auto"/>
              </w:rPr>
            </w:pPr>
            <w:r>
              <w:rPr>
                <w:rFonts w:ascii="Arial" w:cs="Arial" w:eastAsia="Arial" w:hAnsi="Arial"/>
                <w:sz w:val="15"/>
                <w:szCs w:val="15"/>
                <w:color w:val="auto"/>
              </w:rPr>
              <w:t>50 %</w:t>
            </w:r>
          </w:p>
        </w:tc>
      </w:tr>
      <w:tr>
        <w:trPr>
          <w:trHeight w:val="219"/>
        </w:trPr>
        <w:tc>
          <w:tcPr>
            <w:tcW w:w="262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Geoffrey Goldschein</w:t>
            </w:r>
          </w:p>
        </w:tc>
        <w:tc>
          <w:tcPr>
            <w:tcW w:w="240" w:type="dxa"/>
            <w:vAlign w:val="bottom"/>
            <w:tcBorders>
              <w:bottom w:val="single" w:sz="8" w:color="001544"/>
            </w:tcBorders>
            <w:shd w:val="clear" w:color="auto" w:fill="DBDFEA"/>
          </w:tcPr>
          <w:p>
            <w:pPr>
              <w:spacing w:after="0"/>
              <w:rPr>
                <w:sz w:val="19"/>
                <w:szCs w:val="19"/>
                <w:color w:val="auto"/>
              </w:rPr>
            </w:pPr>
          </w:p>
        </w:tc>
        <w:tc>
          <w:tcPr>
            <w:tcW w:w="10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520,313</w:t>
            </w:r>
          </w:p>
        </w:tc>
        <w:tc>
          <w:tcPr>
            <w:tcW w:w="1340" w:type="dxa"/>
            <w:vAlign w:val="bottom"/>
            <w:tcBorders>
              <w:bottom w:val="single" w:sz="8" w:color="001544"/>
            </w:tcBorders>
            <w:gridSpan w:val="2"/>
            <w:shd w:val="clear" w:color="auto" w:fill="DBDFEA"/>
          </w:tcPr>
          <w:p>
            <w:pPr>
              <w:jc w:val="right"/>
              <w:ind w:right="65"/>
              <w:spacing w:after="0"/>
              <w:rPr>
                <w:sz w:val="20"/>
                <w:szCs w:val="20"/>
                <w:color w:val="auto"/>
              </w:rPr>
            </w:pPr>
            <w:r>
              <w:rPr>
                <w:rFonts w:ascii="Arial" w:cs="Arial" w:eastAsia="Arial" w:hAnsi="Arial"/>
                <w:sz w:val="15"/>
                <w:szCs w:val="15"/>
                <w:color w:val="auto"/>
              </w:rPr>
              <w:t>520,313</w:t>
            </w:r>
          </w:p>
        </w:tc>
        <w:tc>
          <w:tcPr>
            <w:tcW w:w="1680" w:type="dxa"/>
            <w:vAlign w:val="bottom"/>
            <w:tcBorders>
              <w:bottom w:val="single" w:sz="8" w:color="001544"/>
            </w:tcBorders>
            <w:shd w:val="clear" w:color="auto" w:fill="DBDFEA"/>
          </w:tcPr>
          <w:p>
            <w:pPr>
              <w:jc w:val="right"/>
              <w:ind w:right="145"/>
              <w:spacing w:after="0"/>
              <w:rPr>
                <w:sz w:val="20"/>
                <w:szCs w:val="20"/>
                <w:color w:val="auto"/>
              </w:rPr>
            </w:pPr>
            <w:r>
              <w:rPr>
                <w:rFonts w:ascii="Arial" w:cs="Arial" w:eastAsia="Arial" w:hAnsi="Arial"/>
                <w:sz w:val="15"/>
                <w:szCs w:val="15"/>
                <w:color w:val="auto"/>
              </w:rPr>
              <w:t>1,040,625</w:t>
            </w:r>
          </w:p>
        </w:tc>
        <w:tc>
          <w:tcPr>
            <w:tcW w:w="1240" w:type="dxa"/>
            <w:vAlign w:val="bottom"/>
            <w:tcBorders>
              <w:bottom w:val="single" w:sz="8" w:color="001544"/>
            </w:tcBorders>
            <w:shd w:val="clear" w:color="auto" w:fill="DBDFEA"/>
          </w:tcPr>
          <w:p>
            <w:pPr>
              <w:jc w:val="right"/>
              <w:ind w:right="5"/>
              <w:spacing w:after="0"/>
              <w:rPr>
                <w:sz w:val="20"/>
                <w:szCs w:val="20"/>
                <w:color w:val="auto"/>
              </w:rPr>
            </w:pPr>
            <w:r>
              <w:rPr>
                <w:rFonts w:ascii="Arial" w:cs="Arial" w:eastAsia="Arial" w:hAnsi="Arial"/>
                <w:sz w:val="15"/>
                <w:szCs w:val="15"/>
                <w:color w:val="auto"/>
              </w:rPr>
              <w:t>50 %</w:t>
            </w:r>
          </w:p>
        </w:tc>
        <w:tc>
          <w:tcPr>
            <w:tcW w:w="1300" w:type="dxa"/>
            <w:vAlign w:val="bottom"/>
            <w:tcBorders>
              <w:bottom w:val="single" w:sz="8" w:color="001544"/>
            </w:tcBorders>
            <w:gridSpan w:val="2"/>
            <w:shd w:val="clear" w:color="auto" w:fill="DBDFEA"/>
          </w:tcPr>
          <w:p>
            <w:pPr>
              <w:jc w:val="right"/>
              <w:ind w:right="60"/>
              <w:spacing w:after="0"/>
              <w:rPr>
                <w:sz w:val="20"/>
                <w:szCs w:val="20"/>
                <w:color w:val="auto"/>
              </w:rPr>
            </w:pPr>
            <w:r>
              <w:rPr>
                <w:rFonts w:ascii="Arial" w:cs="Arial" w:eastAsia="Arial" w:hAnsi="Arial"/>
                <w:sz w:val="15"/>
                <w:szCs w:val="15"/>
                <w:color w:val="auto"/>
              </w:rPr>
              <w:t>50 %</w:t>
            </w:r>
          </w:p>
        </w:tc>
      </w:tr>
      <w:tr>
        <w:trPr>
          <w:trHeight w:val="188"/>
        </w:trPr>
        <w:tc>
          <w:tcPr>
            <w:tcW w:w="262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Thomas Mayrhofer</w:t>
            </w:r>
          </w:p>
        </w:tc>
        <w:tc>
          <w:tcPr>
            <w:tcW w:w="240" w:type="dxa"/>
            <w:vAlign w:val="bottom"/>
            <w:tcBorders>
              <w:bottom w:val="single" w:sz="8" w:color="001544"/>
            </w:tcBorders>
            <w:shd w:val="clear" w:color="auto" w:fill="DBDFEA"/>
          </w:tcPr>
          <w:p>
            <w:pPr>
              <w:spacing w:after="0"/>
              <w:rPr>
                <w:sz w:val="16"/>
                <w:szCs w:val="16"/>
                <w:color w:val="auto"/>
              </w:rPr>
            </w:pPr>
          </w:p>
        </w:tc>
        <w:tc>
          <w:tcPr>
            <w:tcW w:w="10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1,700,000</w:t>
            </w:r>
          </w:p>
        </w:tc>
        <w:tc>
          <w:tcPr>
            <w:tcW w:w="180" w:type="dxa"/>
            <w:vAlign w:val="bottom"/>
            <w:tcBorders>
              <w:bottom w:val="single" w:sz="8" w:color="001544"/>
            </w:tcBorders>
            <w:shd w:val="clear" w:color="auto" w:fill="DBDFEA"/>
          </w:tcPr>
          <w:p>
            <w:pPr>
              <w:spacing w:after="0"/>
              <w:rPr>
                <w:sz w:val="16"/>
                <w:szCs w:val="16"/>
                <w:color w:val="auto"/>
              </w:rPr>
            </w:pPr>
          </w:p>
        </w:tc>
        <w:tc>
          <w:tcPr>
            <w:tcW w:w="116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001544"/>
            </w:tcBorders>
            <w:shd w:val="clear" w:color="auto" w:fill="DBDFEA"/>
          </w:tcPr>
          <w:p>
            <w:pPr>
              <w:jc w:val="right"/>
              <w:ind w:right="145"/>
              <w:spacing w:after="0"/>
              <w:rPr>
                <w:sz w:val="20"/>
                <w:szCs w:val="20"/>
                <w:color w:val="auto"/>
              </w:rPr>
            </w:pPr>
            <w:r>
              <w:rPr>
                <w:rFonts w:ascii="Arial" w:cs="Arial" w:eastAsia="Arial" w:hAnsi="Arial"/>
                <w:sz w:val="15"/>
                <w:szCs w:val="15"/>
                <w:color w:val="auto"/>
              </w:rPr>
              <w:t>1,700,000</w:t>
            </w:r>
          </w:p>
        </w:tc>
        <w:tc>
          <w:tcPr>
            <w:tcW w:w="1240" w:type="dxa"/>
            <w:vAlign w:val="bottom"/>
            <w:tcBorders>
              <w:bottom w:val="single" w:sz="8" w:color="001544"/>
            </w:tcBorders>
            <w:shd w:val="clear" w:color="auto" w:fill="DBDFEA"/>
          </w:tcPr>
          <w:p>
            <w:pPr>
              <w:jc w:val="right"/>
              <w:ind w:right="5"/>
              <w:spacing w:after="0"/>
              <w:rPr>
                <w:sz w:val="20"/>
                <w:szCs w:val="20"/>
                <w:color w:val="auto"/>
              </w:rPr>
            </w:pPr>
            <w:r>
              <w:rPr>
                <w:rFonts w:ascii="Arial" w:cs="Arial" w:eastAsia="Arial" w:hAnsi="Arial"/>
                <w:sz w:val="15"/>
                <w:szCs w:val="15"/>
                <w:color w:val="auto"/>
              </w:rPr>
              <w:t>100 %</w:t>
            </w:r>
          </w:p>
        </w:tc>
        <w:tc>
          <w:tcPr>
            <w:tcW w:w="1300" w:type="dxa"/>
            <w:vAlign w:val="bottom"/>
            <w:tcBorders>
              <w:bottom w:val="single" w:sz="8" w:color="001544"/>
            </w:tcBorders>
            <w:gridSpan w:val="2"/>
            <w:shd w:val="clear" w:color="auto" w:fill="DBDFEA"/>
          </w:tcPr>
          <w:p>
            <w:pPr>
              <w:jc w:val="right"/>
              <w:ind w:right="60"/>
              <w:spacing w:after="0"/>
              <w:rPr>
                <w:sz w:val="20"/>
                <w:szCs w:val="20"/>
                <w:color w:val="auto"/>
              </w:rPr>
            </w:pPr>
            <w:r>
              <w:rPr>
                <w:rFonts w:ascii="Arial" w:cs="Arial" w:eastAsia="Arial" w:hAnsi="Arial"/>
                <w:sz w:val="15"/>
                <w:szCs w:val="15"/>
                <w:color w:val="auto"/>
              </w:rPr>
              <w:t>0 %</w:t>
            </w:r>
          </w:p>
        </w:tc>
      </w:tr>
      <w:tr>
        <w:trPr>
          <w:trHeight w:val="211"/>
        </w:trPr>
        <w:tc>
          <w:tcPr>
            <w:tcW w:w="262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Liam Stewart</w:t>
            </w:r>
          </w:p>
        </w:tc>
        <w:tc>
          <w:tcPr>
            <w:tcW w:w="240" w:type="dxa"/>
            <w:vAlign w:val="bottom"/>
            <w:tcBorders>
              <w:bottom w:val="single" w:sz="8" w:color="001544"/>
            </w:tcBorders>
            <w:shd w:val="clear" w:color="auto" w:fill="DBDFEA"/>
          </w:tcPr>
          <w:p>
            <w:pPr>
              <w:spacing w:after="0"/>
              <w:rPr>
                <w:sz w:val="18"/>
                <w:szCs w:val="18"/>
                <w:color w:val="auto"/>
              </w:rPr>
            </w:pPr>
          </w:p>
        </w:tc>
        <w:tc>
          <w:tcPr>
            <w:tcW w:w="10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847,813</w:t>
            </w:r>
          </w:p>
        </w:tc>
        <w:tc>
          <w:tcPr>
            <w:tcW w:w="18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847,813</w:t>
            </w:r>
          </w:p>
        </w:tc>
        <w:tc>
          <w:tcPr>
            <w:tcW w:w="1680" w:type="dxa"/>
            <w:vAlign w:val="bottom"/>
            <w:tcBorders>
              <w:bottom w:val="single" w:sz="8" w:color="001544"/>
            </w:tcBorders>
            <w:shd w:val="clear" w:color="auto" w:fill="DBDFEA"/>
          </w:tcPr>
          <w:p>
            <w:pPr>
              <w:jc w:val="right"/>
              <w:ind w:right="145"/>
              <w:spacing w:after="0"/>
              <w:rPr>
                <w:sz w:val="20"/>
                <w:szCs w:val="20"/>
                <w:color w:val="auto"/>
              </w:rPr>
            </w:pPr>
            <w:r>
              <w:rPr>
                <w:rFonts w:ascii="Arial" w:cs="Arial" w:eastAsia="Arial" w:hAnsi="Arial"/>
                <w:sz w:val="15"/>
                <w:szCs w:val="15"/>
                <w:color w:val="auto"/>
              </w:rPr>
              <w:t>1,695,625</w:t>
            </w:r>
          </w:p>
        </w:tc>
        <w:tc>
          <w:tcPr>
            <w:tcW w:w="1240" w:type="dxa"/>
            <w:vAlign w:val="bottom"/>
            <w:tcBorders>
              <w:bottom w:val="single" w:sz="8" w:color="001544"/>
            </w:tcBorders>
            <w:shd w:val="clear" w:color="auto" w:fill="DBDFEA"/>
          </w:tcPr>
          <w:p>
            <w:pPr>
              <w:jc w:val="right"/>
              <w:ind w:right="5"/>
              <w:spacing w:after="0"/>
              <w:rPr>
                <w:sz w:val="20"/>
                <w:szCs w:val="20"/>
                <w:color w:val="auto"/>
              </w:rPr>
            </w:pPr>
            <w:r>
              <w:rPr>
                <w:rFonts w:ascii="Arial" w:cs="Arial" w:eastAsia="Arial" w:hAnsi="Arial"/>
                <w:sz w:val="15"/>
                <w:szCs w:val="15"/>
                <w:color w:val="auto"/>
              </w:rPr>
              <w:t>50 %</w:t>
            </w:r>
          </w:p>
        </w:tc>
        <w:tc>
          <w:tcPr>
            <w:tcW w:w="1300" w:type="dxa"/>
            <w:vAlign w:val="bottom"/>
            <w:tcBorders>
              <w:bottom w:val="single" w:sz="8" w:color="001544"/>
            </w:tcBorders>
            <w:gridSpan w:val="2"/>
            <w:shd w:val="clear" w:color="auto" w:fill="DBDFEA"/>
          </w:tcPr>
          <w:p>
            <w:pPr>
              <w:jc w:val="right"/>
              <w:ind w:right="60"/>
              <w:spacing w:after="0"/>
              <w:rPr>
                <w:sz w:val="20"/>
                <w:szCs w:val="20"/>
                <w:color w:val="auto"/>
              </w:rPr>
            </w:pPr>
            <w:r>
              <w:rPr>
                <w:rFonts w:ascii="Arial" w:cs="Arial" w:eastAsia="Arial" w:hAnsi="Arial"/>
                <w:sz w:val="15"/>
                <w:szCs w:val="15"/>
                <w:color w:val="auto"/>
              </w:rPr>
              <w:t>50 %</w:t>
            </w:r>
          </w:p>
        </w:tc>
      </w:tr>
    </w:tbl>
    <w:p>
      <w:pPr>
        <w:spacing w:after="0" w:line="6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Each 2024 time-based award was issued in shares of our restricted Class A common stock and vests annually over a three-year period, subject to continued employment. Each 2024 performance-based award was issued in restricted stock units and has a three-year performance period (January 1, 2024 to December 31, 2026) with payout opportunity ranging from zero to 200% of the target value, as determined based upon the achievement of specified cumulative DE per share of the Company over such three year period (the “CDE Percentage”) as established by the compensation committee of the board of directors of the Company. In addition, payouts on the 2024 performance-based awards are subject to a relative TSR modifier, as described below, which relative TSR modifier is capped at 1.0x when absolute TSR is negative over the three-year performance period and which award is capped at 200% of target in all events. Recipients of the 2024 performance-based award will not be entitled to receive dividends or dividend equivalents before performance-based vesting has occurred.</w:t>
      </w:r>
    </w:p>
    <w:p>
      <w:pPr>
        <w:spacing w:after="0" w:line="200" w:lineRule="exact"/>
        <w:rPr>
          <w:sz w:val="20"/>
          <w:szCs w:val="20"/>
          <w:color w:val="auto"/>
        </w:rPr>
      </w:pPr>
    </w:p>
    <w:p>
      <w:pPr>
        <w:spacing w:after="0" w:line="374"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9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following table provides the scale which will be used to determine relative CDE Percentage upon completion of the three-year performance cycle for such awards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540" w:type="dxa"/>
            <w:vAlign w:val="bottom"/>
          </w:tcPr>
          <w:p>
            <w:pPr>
              <w:spacing w:after="0"/>
              <w:rPr>
                <w:sz w:val="21"/>
                <w:szCs w:val="21"/>
                <w:color w:val="auto"/>
              </w:rPr>
            </w:pPr>
          </w:p>
        </w:tc>
        <w:tc>
          <w:tcPr>
            <w:tcW w:w="3620" w:type="dxa"/>
            <w:vAlign w:val="bottom"/>
          </w:tcPr>
          <w:p>
            <w:pPr>
              <w:ind w:left="100"/>
              <w:spacing w:after="0"/>
              <w:rPr>
                <w:sz w:val="20"/>
                <w:szCs w:val="20"/>
                <w:color w:val="auto"/>
              </w:rPr>
            </w:pPr>
            <w:r>
              <w:rPr>
                <w:rFonts w:ascii="Arial" w:cs="Arial" w:eastAsia="Arial" w:hAnsi="Arial"/>
                <w:sz w:val="15"/>
                <w:szCs w:val="15"/>
                <w:b w:val="1"/>
                <w:bCs w:val="1"/>
                <w:color w:val="001544"/>
              </w:rPr>
              <w:t>Cumulative Distributable Earnings Per Share</w:t>
            </w:r>
          </w:p>
        </w:tc>
        <w:tc>
          <w:tcPr>
            <w:tcW w:w="3300" w:type="dxa"/>
            <w:vAlign w:val="bottom"/>
          </w:tcPr>
          <w:p>
            <w:pPr>
              <w:ind w:left="1000"/>
              <w:spacing w:after="0"/>
              <w:rPr>
                <w:sz w:val="20"/>
                <w:szCs w:val="20"/>
                <w:color w:val="auto"/>
              </w:rPr>
            </w:pPr>
            <w:r>
              <w:rPr>
                <w:rFonts w:ascii="Arial" w:cs="Arial" w:eastAsia="Arial" w:hAnsi="Arial"/>
                <w:sz w:val="15"/>
                <w:szCs w:val="15"/>
                <w:b w:val="1"/>
                <w:bCs w:val="1"/>
                <w:color w:val="001544"/>
              </w:rPr>
              <w:t>CDE Percentage</w:t>
            </w:r>
            <w:r>
              <w:rPr>
                <w:rFonts w:ascii="Arial" w:cs="Arial" w:eastAsia="Arial" w:hAnsi="Arial"/>
                <w:sz w:val="22"/>
                <w:szCs w:val="22"/>
                <w:b w:val="1"/>
                <w:bCs w:val="1"/>
                <w:color w:val="001544"/>
                <w:vertAlign w:val="superscript"/>
              </w:rPr>
              <w:t>(1)</w:t>
            </w:r>
          </w:p>
        </w:tc>
      </w:tr>
      <w:tr>
        <w:trPr>
          <w:trHeight w:val="188"/>
        </w:trPr>
        <w:tc>
          <w:tcPr>
            <w:tcW w:w="2540" w:type="dxa"/>
            <w:vAlign w:val="bottom"/>
            <w:tcBorders>
              <w:bottom w:val="single" w:sz="8" w:color="001544"/>
            </w:tcBorders>
          </w:tcPr>
          <w:p>
            <w:pPr>
              <w:spacing w:after="0"/>
              <w:rPr>
                <w:sz w:val="16"/>
                <w:szCs w:val="16"/>
                <w:color w:val="auto"/>
              </w:rPr>
            </w:pPr>
          </w:p>
        </w:tc>
        <w:tc>
          <w:tcPr>
            <w:tcW w:w="3620" w:type="dxa"/>
            <w:vAlign w:val="bottom"/>
            <w:tcBorders>
              <w:bottom w:val="single" w:sz="8" w:color="001544"/>
            </w:tcBorders>
          </w:tcPr>
          <w:p>
            <w:pPr>
              <w:ind w:left="100"/>
              <w:spacing w:after="0"/>
              <w:rPr>
                <w:sz w:val="20"/>
                <w:szCs w:val="20"/>
                <w:color w:val="auto"/>
              </w:rPr>
            </w:pPr>
            <w:r>
              <w:rPr>
                <w:rFonts w:ascii="Arial" w:cs="Arial" w:eastAsia="Arial" w:hAnsi="Arial"/>
                <w:sz w:val="15"/>
                <w:szCs w:val="15"/>
                <w:b w:val="1"/>
                <w:bCs w:val="1"/>
                <w:color w:val="001544"/>
              </w:rPr>
              <w:t>for the Performance Cycle</w:t>
            </w:r>
          </w:p>
        </w:tc>
        <w:tc>
          <w:tcPr>
            <w:tcW w:w="3300" w:type="dxa"/>
            <w:vAlign w:val="bottom"/>
            <w:tcBorders>
              <w:bottom w:val="single" w:sz="8" w:color="001544"/>
            </w:tcBorders>
          </w:tcPr>
          <w:p>
            <w:pPr>
              <w:spacing w:after="0"/>
              <w:rPr>
                <w:sz w:val="16"/>
                <w:szCs w:val="16"/>
                <w:color w:val="auto"/>
              </w:rPr>
            </w:pPr>
          </w:p>
        </w:tc>
      </w:tr>
      <w:tr>
        <w:trPr>
          <w:trHeight w:val="168"/>
        </w:trPr>
        <w:tc>
          <w:tcPr>
            <w:tcW w:w="2540" w:type="dxa"/>
            <w:vAlign w:val="bottom"/>
            <w:tcBorders>
              <w:bottom w:val="single" w:sz="8" w:color="001544"/>
            </w:tcBorders>
            <w:shd w:val="clear" w:color="auto" w:fill="DBDFEA"/>
          </w:tcPr>
          <w:p>
            <w:pPr>
              <w:ind w:left="100"/>
              <w:spacing w:after="0" w:line="169" w:lineRule="exact"/>
              <w:rPr>
                <w:sz w:val="20"/>
                <w:szCs w:val="20"/>
                <w:color w:val="auto"/>
              </w:rPr>
            </w:pPr>
            <w:r>
              <w:rPr>
                <w:rFonts w:ascii="Arial" w:cs="Arial" w:eastAsia="Arial" w:hAnsi="Arial"/>
                <w:sz w:val="15"/>
                <w:szCs w:val="15"/>
                <w:color w:val="auto"/>
              </w:rPr>
              <w:t>Below Threshold</w:t>
            </w:r>
          </w:p>
        </w:tc>
        <w:tc>
          <w:tcPr>
            <w:tcW w:w="3620" w:type="dxa"/>
            <w:vAlign w:val="bottom"/>
            <w:tcBorders>
              <w:bottom w:val="single" w:sz="8" w:color="001544"/>
            </w:tcBorders>
            <w:shd w:val="clear" w:color="auto" w:fill="DBDFEA"/>
          </w:tcPr>
          <w:p>
            <w:pPr>
              <w:ind w:left="100"/>
              <w:spacing w:after="0" w:line="169" w:lineRule="exact"/>
              <w:rPr>
                <w:sz w:val="20"/>
                <w:szCs w:val="20"/>
                <w:color w:val="auto"/>
              </w:rPr>
            </w:pPr>
            <w:r>
              <w:rPr>
                <w:rFonts w:ascii="Arial" w:cs="Arial" w:eastAsia="Arial" w:hAnsi="Arial"/>
                <w:sz w:val="15"/>
                <w:szCs w:val="15"/>
                <w:color w:val="auto"/>
              </w:rPr>
              <w:t>Below $2.14</w:t>
            </w:r>
          </w:p>
        </w:tc>
        <w:tc>
          <w:tcPr>
            <w:tcW w:w="3300" w:type="dxa"/>
            <w:vAlign w:val="bottom"/>
            <w:tcBorders>
              <w:bottom w:val="single" w:sz="8" w:color="001544"/>
            </w:tcBorders>
            <w:shd w:val="clear" w:color="auto" w:fill="DBDFEA"/>
          </w:tcPr>
          <w:p>
            <w:pPr>
              <w:jc w:val="center"/>
              <w:spacing w:after="0" w:line="169" w:lineRule="exact"/>
              <w:rPr>
                <w:sz w:val="20"/>
                <w:szCs w:val="20"/>
                <w:color w:val="auto"/>
              </w:rPr>
            </w:pPr>
            <w:r>
              <w:rPr>
                <w:rFonts w:ascii="Arial" w:cs="Arial" w:eastAsia="Arial" w:hAnsi="Arial"/>
                <w:sz w:val="15"/>
                <w:szCs w:val="15"/>
                <w:color w:val="auto"/>
              </w:rPr>
              <w:t>0%</w:t>
            </w:r>
          </w:p>
        </w:tc>
      </w:tr>
      <w:tr>
        <w:trPr>
          <w:trHeight w:val="168"/>
        </w:trPr>
        <w:tc>
          <w:tcPr>
            <w:tcW w:w="2540" w:type="dxa"/>
            <w:vAlign w:val="bottom"/>
            <w:tcBorders>
              <w:bottom w:val="single" w:sz="8" w:color="001544"/>
            </w:tcBorders>
            <w:shd w:val="clear" w:color="auto" w:fill="DBDFEA"/>
          </w:tcPr>
          <w:p>
            <w:pPr>
              <w:ind w:left="100"/>
              <w:spacing w:after="0" w:line="169" w:lineRule="exact"/>
              <w:rPr>
                <w:sz w:val="20"/>
                <w:szCs w:val="20"/>
                <w:color w:val="auto"/>
              </w:rPr>
            </w:pPr>
            <w:r>
              <w:rPr>
                <w:rFonts w:ascii="Arial" w:cs="Arial" w:eastAsia="Arial" w:hAnsi="Arial"/>
                <w:sz w:val="15"/>
                <w:szCs w:val="15"/>
                <w:color w:val="auto"/>
              </w:rPr>
              <w:t>Threshold</w:t>
            </w:r>
          </w:p>
        </w:tc>
        <w:tc>
          <w:tcPr>
            <w:tcW w:w="3620" w:type="dxa"/>
            <w:vAlign w:val="bottom"/>
            <w:tcBorders>
              <w:bottom w:val="single" w:sz="8" w:color="001544"/>
            </w:tcBorders>
            <w:shd w:val="clear" w:color="auto" w:fill="DBDFEA"/>
          </w:tcPr>
          <w:p>
            <w:pPr>
              <w:ind w:left="100"/>
              <w:spacing w:after="0" w:line="169" w:lineRule="exact"/>
              <w:rPr>
                <w:sz w:val="20"/>
                <w:szCs w:val="20"/>
                <w:color w:val="auto"/>
              </w:rPr>
            </w:pPr>
            <w:r>
              <w:rPr>
                <w:rFonts w:ascii="Arial" w:cs="Arial" w:eastAsia="Arial" w:hAnsi="Arial"/>
                <w:sz w:val="15"/>
                <w:szCs w:val="15"/>
                <w:color w:val="auto"/>
              </w:rPr>
              <w:t>$2.14</w:t>
            </w:r>
          </w:p>
        </w:tc>
        <w:tc>
          <w:tcPr>
            <w:tcW w:w="3300" w:type="dxa"/>
            <w:vAlign w:val="bottom"/>
            <w:tcBorders>
              <w:bottom w:val="single" w:sz="8" w:color="001544"/>
            </w:tcBorders>
            <w:shd w:val="clear" w:color="auto" w:fill="DBDFEA"/>
          </w:tcPr>
          <w:p>
            <w:pPr>
              <w:jc w:val="center"/>
              <w:spacing w:after="0" w:line="169" w:lineRule="exact"/>
              <w:rPr>
                <w:sz w:val="20"/>
                <w:szCs w:val="20"/>
                <w:color w:val="auto"/>
              </w:rPr>
            </w:pPr>
            <w:r>
              <w:rPr>
                <w:rFonts w:ascii="Arial" w:cs="Arial" w:eastAsia="Arial" w:hAnsi="Arial"/>
                <w:sz w:val="15"/>
                <w:szCs w:val="15"/>
                <w:color w:val="auto"/>
                <w:w w:val="99"/>
              </w:rPr>
              <w:t>50%</w:t>
            </w:r>
          </w:p>
        </w:tc>
      </w:tr>
      <w:tr>
        <w:trPr>
          <w:trHeight w:val="168"/>
        </w:trPr>
        <w:tc>
          <w:tcPr>
            <w:tcW w:w="2540" w:type="dxa"/>
            <w:vAlign w:val="bottom"/>
            <w:tcBorders>
              <w:bottom w:val="single" w:sz="8" w:color="001544"/>
            </w:tcBorders>
            <w:shd w:val="clear" w:color="auto" w:fill="DBDFEA"/>
          </w:tcPr>
          <w:p>
            <w:pPr>
              <w:ind w:left="100"/>
              <w:spacing w:after="0" w:line="169" w:lineRule="exact"/>
              <w:rPr>
                <w:sz w:val="20"/>
                <w:szCs w:val="20"/>
                <w:color w:val="auto"/>
              </w:rPr>
            </w:pPr>
            <w:r>
              <w:rPr>
                <w:rFonts w:ascii="Arial" w:cs="Arial" w:eastAsia="Arial" w:hAnsi="Arial"/>
                <w:sz w:val="15"/>
                <w:szCs w:val="15"/>
                <w:color w:val="auto"/>
              </w:rPr>
              <w:t>Target</w:t>
            </w:r>
          </w:p>
        </w:tc>
        <w:tc>
          <w:tcPr>
            <w:tcW w:w="3620" w:type="dxa"/>
            <w:vAlign w:val="bottom"/>
            <w:tcBorders>
              <w:bottom w:val="single" w:sz="8" w:color="001544"/>
            </w:tcBorders>
            <w:shd w:val="clear" w:color="auto" w:fill="DBDFEA"/>
          </w:tcPr>
          <w:p>
            <w:pPr>
              <w:ind w:left="100"/>
              <w:spacing w:after="0" w:line="169" w:lineRule="exact"/>
              <w:rPr>
                <w:sz w:val="20"/>
                <w:szCs w:val="20"/>
                <w:color w:val="auto"/>
              </w:rPr>
            </w:pPr>
            <w:r>
              <w:rPr>
                <w:rFonts w:ascii="Arial" w:cs="Arial" w:eastAsia="Arial" w:hAnsi="Arial"/>
                <w:sz w:val="15"/>
                <w:szCs w:val="15"/>
                <w:color w:val="auto"/>
              </w:rPr>
              <w:t>$2.85</w:t>
            </w:r>
          </w:p>
        </w:tc>
        <w:tc>
          <w:tcPr>
            <w:tcW w:w="3300" w:type="dxa"/>
            <w:vAlign w:val="bottom"/>
            <w:tcBorders>
              <w:bottom w:val="single" w:sz="8" w:color="001544"/>
            </w:tcBorders>
            <w:shd w:val="clear" w:color="auto" w:fill="DBDFEA"/>
          </w:tcPr>
          <w:p>
            <w:pPr>
              <w:jc w:val="center"/>
              <w:spacing w:after="0" w:line="169" w:lineRule="exact"/>
              <w:rPr>
                <w:sz w:val="20"/>
                <w:szCs w:val="20"/>
                <w:color w:val="auto"/>
              </w:rPr>
            </w:pPr>
            <w:r>
              <w:rPr>
                <w:rFonts w:ascii="Arial" w:cs="Arial" w:eastAsia="Arial" w:hAnsi="Arial"/>
                <w:sz w:val="15"/>
                <w:szCs w:val="15"/>
                <w:color w:val="auto"/>
                <w:w w:val="98"/>
              </w:rPr>
              <w:t>100%</w:t>
            </w:r>
          </w:p>
        </w:tc>
      </w:tr>
      <w:tr>
        <w:trPr>
          <w:trHeight w:val="168"/>
        </w:trPr>
        <w:tc>
          <w:tcPr>
            <w:tcW w:w="2540" w:type="dxa"/>
            <w:vAlign w:val="bottom"/>
            <w:tcBorders>
              <w:bottom w:val="single" w:sz="8" w:color="001544"/>
            </w:tcBorders>
            <w:shd w:val="clear" w:color="auto" w:fill="DBDFEA"/>
          </w:tcPr>
          <w:p>
            <w:pPr>
              <w:ind w:left="100"/>
              <w:spacing w:after="0" w:line="169" w:lineRule="exact"/>
              <w:rPr>
                <w:sz w:val="20"/>
                <w:szCs w:val="20"/>
                <w:color w:val="auto"/>
              </w:rPr>
            </w:pPr>
            <w:r>
              <w:rPr>
                <w:rFonts w:ascii="Arial" w:cs="Arial" w:eastAsia="Arial" w:hAnsi="Arial"/>
                <w:sz w:val="15"/>
                <w:szCs w:val="15"/>
                <w:color w:val="auto"/>
              </w:rPr>
              <w:t>Maximum</w:t>
            </w:r>
          </w:p>
        </w:tc>
        <w:tc>
          <w:tcPr>
            <w:tcW w:w="3620" w:type="dxa"/>
            <w:vAlign w:val="bottom"/>
            <w:tcBorders>
              <w:bottom w:val="single" w:sz="8" w:color="001544"/>
            </w:tcBorders>
            <w:shd w:val="clear" w:color="auto" w:fill="DBDFEA"/>
          </w:tcPr>
          <w:p>
            <w:pPr>
              <w:ind w:left="100"/>
              <w:spacing w:after="0" w:line="169" w:lineRule="exact"/>
              <w:rPr>
                <w:sz w:val="20"/>
                <w:szCs w:val="20"/>
                <w:color w:val="auto"/>
              </w:rPr>
            </w:pPr>
            <w:r>
              <w:rPr>
                <w:rFonts w:ascii="Arial" w:cs="Arial" w:eastAsia="Arial" w:hAnsi="Arial"/>
                <w:sz w:val="15"/>
                <w:szCs w:val="15"/>
                <w:color w:val="auto"/>
              </w:rPr>
              <w:t>At or greater than $3.56</w:t>
            </w:r>
          </w:p>
        </w:tc>
        <w:tc>
          <w:tcPr>
            <w:tcW w:w="3300" w:type="dxa"/>
            <w:vAlign w:val="bottom"/>
            <w:tcBorders>
              <w:bottom w:val="single" w:sz="8" w:color="001544"/>
            </w:tcBorders>
            <w:shd w:val="clear" w:color="auto" w:fill="DBDFEA"/>
          </w:tcPr>
          <w:p>
            <w:pPr>
              <w:jc w:val="center"/>
              <w:spacing w:after="0" w:line="169" w:lineRule="exact"/>
              <w:rPr>
                <w:sz w:val="20"/>
                <w:szCs w:val="20"/>
                <w:color w:val="auto"/>
              </w:rPr>
            </w:pPr>
            <w:r>
              <w:rPr>
                <w:rFonts w:ascii="Arial" w:cs="Arial" w:eastAsia="Arial" w:hAnsi="Arial"/>
                <w:sz w:val="15"/>
                <w:szCs w:val="15"/>
                <w:color w:val="auto"/>
                <w:w w:val="98"/>
              </w:rPr>
              <w:t>200%</w:t>
            </w:r>
          </w:p>
        </w:tc>
      </w:tr>
    </w:tbl>
    <w:p>
      <w:pPr>
        <w:ind w:left="300" w:right="260" w:hanging="293"/>
        <w:spacing w:after="0" w:line="263" w:lineRule="auto"/>
        <w:tabs>
          <w:tab w:leader="none" w:pos="3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If the Cumulative Distributable Earnings Per Share for the Performance Cycle is greater than the “Threshold” level and is between two points set forth above, then the CDE Percentage shall be determined by linear interpolation between such points.</w:t>
      </w:r>
    </w:p>
    <w:p>
      <w:pPr>
        <w:spacing w:after="0" w:line="16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following table provides the scale which will be used to determine relative TSR modifier (if any) upon completion of the three-year performance cycle for such awards: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340" w:type="dxa"/>
            <w:vAlign w:val="bottom"/>
            <w:tcBorders>
              <w:bottom w:val="single" w:sz="8" w:color="001544"/>
            </w:tcBorders>
          </w:tcPr>
          <w:p>
            <w:pPr>
              <w:spacing w:after="0"/>
              <w:rPr>
                <w:sz w:val="21"/>
                <w:szCs w:val="21"/>
                <w:color w:val="auto"/>
              </w:rPr>
            </w:pPr>
          </w:p>
        </w:tc>
        <w:tc>
          <w:tcPr>
            <w:tcW w:w="4040" w:type="dxa"/>
            <w:vAlign w:val="bottom"/>
            <w:tcBorders>
              <w:bottom w:val="single" w:sz="8" w:color="001544"/>
            </w:tcBorders>
          </w:tcPr>
          <w:p>
            <w:pPr>
              <w:ind w:left="100"/>
              <w:spacing w:after="0"/>
              <w:rPr>
                <w:sz w:val="20"/>
                <w:szCs w:val="20"/>
                <w:color w:val="auto"/>
              </w:rPr>
            </w:pPr>
            <w:r>
              <w:rPr>
                <w:rFonts w:ascii="Arial" w:cs="Arial" w:eastAsia="Arial" w:hAnsi="Arial"/>
                <w:sz w:val="15"/>
                <w:szCs w:val="15"/>
                <w:b w:val="1"/>
                <w:bCs w:val="1"/>
                <w:color w:val="001544"/>
              </w:rPr>
              <w:t>Relative TSR Percentile for the Performance Cycle</w:t>
            </w:r>
          </w:p>
        </w:tc>
        <w:tc>
          <w:tcPr>
            <w:tcW w:w="3080" w:type="dxa"/>
            <w:vAlign w:val="bottom"/>
            <w:tcBorders>
              <w:bottom w:val="single" w:sz="8" w:color="001544"/>
            </w:tcBorders>
          </w:tcPr>
          <w:p>
            <w:pPr>
              <w:ind w:left="700"/>
              <w:spacing w:after="0"/>
              <w:rPr>
                <w:sz w:val="20"/>
                <w:szCs w:val="20"/>
                <w:color w:val="auto"/>
              </w:rPr>
            </w:pPr>
            <w:r>
              <w:rPr>
                <w:rFonts w:ascii="Arial" w:cs="Arial" w:eastAsia="Arial" w:hAnsi="Arial"/>
                <w:sz w:val="15"/>
                <w:szCs w:val="15"/>
                <w:b w:val="1"/>
                <w:bCs w:val="1"/>
                <w:color w:val="001544"/>
              </w:rPr>
              <w:t>Relative TSR Modifier</w:t>
            </w:r>
            <w:r>
              <w:rPr>
                <w:rFonts w:ascii="Arial" w:cs="Arial" w:eastAsia="Arial" w:hAnsi="Arial"/>
                <w:sz w:val="22"/>
                <w:szCs w:val="22"/>
                <w:b w:val="1"/>
                <w:bCs w:val="1"/>
                <w:color w:val="001544"/>
                <w:vertAlign w:val="superscript"/>
              </w:rPr>
              <w:t>(1)</w:t>
            </w:r>
          </w:p>
        </w:tc>
      </w:tr>
      <w:tr>
        <w:trPr>
          <w:trHeight w:val="168"/>
        </w:trPr>
        <w:tc>
          <w:tcPr>
            <w:tcW w:w="2340" w:type="dxa"/>
            <w:vAlign w:val="bottom"/>
            <w:tcBorders>
              <w:bottom w:val="single" w:sz="8" w:color="001544"/>
            </w:tcBorders>
            <w:shd w:val="clear" w:color="auto" w:fill="DBDFEA"/>
          </w:tcPr>
          <w:p>
            <w:pPr>
              <w:ind w:left="100"/>
              <w:spacing w:after="0" w:line="169" w:lineRule="exact"/>
              <w:rPr>
                <w:sz w:val="20"/>
                <w:szCs w:val="20"/>
                <w:color w:val="auto"/>
              </w:rPr>
            </w:pPr>
            <w:r>
              <w:rPr>
                <w:rFonts w:ascii="Arial" w:cs="Arial" w:eastAsia="Arial" w:hAnsi="Arial"/>
                <w:sz w:val="15"/>
                <w:szCs w:val="15"/>
                <w:color w:val="auto"/>
              </w:rPr>
              <w:t>Threshold</w:t>
            </w:r>
          </w:p>
        </w:tc>
        <w:tc>
          <w:tcPr>
            <w:tcW w:w="4040" w:type="dxa"/>
            <w:vAlign w:val="bottom"/>
            <w:tcBorders>
              <w:bottom w:val="single" w:sz="8" w:color="001544"/>
            </w:tcBorders>
            <w:shd w:val="clear" w:color="auto" w:fill="DBDFEA"/>
          </w:tcPr>
          <w:p>
            <w:pPr>
              <w:ind w:left="100"/>
              <w:spacing w:after="0" w:line="169" w:lineRule="exact"/>
              <w:rPr>
                <w:sz w:val="20"/>
                <w:szCs w:val="20"/>
                <w:color w:val="auto"/>
              </w:rPr>
            </w:pPr>
            <w:r>
              <w:rPr>
                <w:rFonts w:ascii="Arial" w:cs="Arial" w:eastAsia="Arial" w:hAnsi="Arial"/>
                <w:sz w:val="15"/>
                <w:szCs w:val="15"/>
                <w:color w:val="auto"/>
              </w:rPr>
              <w:t>At or less than 30th percentile</w:t>
            </w:r>
          </w:p>
        </w:tc>
        <w:tc>
          <w:tcPr>
            <w:tcW w:w="3080" w:type="dxa"/>
            <w:vAlign w:val="bottom"/>
            <w:tcBorders>
              <w:bottom w:val="single" w:sz="8" w:color="001544"/>
            </w:tcBorders>
            <w:shd w:val="clear" w:color="auto" w:fill="DBDFEA"/>
          </w:tcPr>
          <w:p>
            <w:pPr>
              <w:jc w:val="center"/>
              <w:spacing w:after="0" w:line="169" w:lineRule="exact"/>
              <w:rPr>
                <w:sz w:val="20"/>
                <w:szCs w:val="20"/>
                <w:color w:val="auto"/>
              </w:rPr>
            </w:pPr>
            <w:r>
              <w:rPr>
                <w:rFonts w:ascii="Arial" w:cs="Arial" w:eastAsia="Arial" w:hAnsi="Arial"/>
                <w:sz w:val="15"/>
                <w:szCs w:val="15"/>
                <w:color w:val="auto"/>
                <w:w w:val="95"/>
              </w:rPr>
              <w:t>0.8</w:t>
            </w:r>
          </w:p>
        </w:tc>
      </w:tr>
      <w:tr>
        <w:trPr>
          <w:trHeight w:val="168"/>
        </w:trPr>
        <w:tc>
          <w:tcPr>
            <w:tcW w:w="2340" w:type="dxa"/>
            <w:vAlign w:val="bottom"/>
            <w:tcBorders>
              <w:bottom w:val="single" w:sz="8" w:color="001544"/>
            </w:tcBorders>
            <w:shd w:val="clear" w:color="auto" w:fill="DBDFEA"/>
          </w:tcPr>
          <w:p>
            <w:pPr>
              <w:ind w:left="100"/>
              <w:spacing w:after="0" w:line="169" w:lineRule="exact"/>
              <w:rPr>
                <w:sz w:val="20"/>
                <w:szCs w:val="20"/>
                <w:color w:val="auto"/>
              </w:rPr>
            </w:pPr>
            <w:r>
              <w:rPr>
                <w:rFonts w:ascii="Arial" w:cs="Arial" w:eastAsia="Arial" w:hAnsi="Arial"/>
                <w:sz w:val="15"/>
                <w:szCs w:val="15"/>
                <w:color w:val="auto"/>
              </w:rPr>
              <w:t>Target</w:t>
            </w:r>
          </w:p>
        </w:tc>
        <w:tc>
          <w:tcPr>
            <w:tcW w:w="4040" w:type="dxa"/>
            <w:vAlign w:val="bottom"/>
            <w:tcBorders>
              <w:bottom w:val="single" w:sz="8" w:color="001544"/>
            </w:tcBorders>
            <w:shd w:val="clear" w:color="auto" w:fill="DBDFEA"/>
          </w:tcPr>
          <w:p>
            <w:pPr>
              <w:ind w:left="100"/>
              <w:spacing w:after="0" w:line="169" w:lineRule="exact"/>
              <w:rPr>
                <w:sz w:val="20"/>
                <w:szCs w:val="20"/>
                <w:color w:val="auto"/>
              </w:rPr>
            </w:pPr>
            <w:r>
              <w:rPr>
                <w:rFonts w:ascii="Arial" w:cs="Arial" w:eastAsia="Arial" w:hAnsi="Arial"/>
                <w:sz w:val="15"/>
                <w:szCs w:val="15"/>
                <w:color w:val="auto"/>
              </w:rPr>
              <w:t>55th percentile</w:t>
            </w:r>
          </w:p>
        </w:tc>
        <w:tc>
          <w:tcPr>
            <w:tcW w:w="3080" w:type="dxa"/>
            <w:vAlign w:val="bottom"/>
            <w:tcBorders>
              <w:bottom w:val="single" w:sz="8" w:color="001544"/>
            </w:tcBorders>
            <w:shd w:val="clear" w:color="auto" w:fill="DBDFEA"/>
          </w:tcPr>
          <w:p>
            <w:pPr>
              <w:jc w:val="center"/>
              <w:spacing w:after="0" w:line="169" w:lineRule="exact"/>
              <w:rPr>
                <w:sz w:val="20"/>
                <w:szCs w:val="20"/>
                <w:color w:val="auto"/>
              </w:rPr>
            </w:pPr>
            <w:r>
              <w:rPr>
                <w:rFonts w:ascii="Arial" w:cs="Arial" w:eastAsia="Arial" w:hAnsi="Arial"/>
                <w:sz w:val="19"/>
                <w:szCs w:val="19"/>
                <w:color w:val="auto"/>
                <w:vertAlign w:val="subscript"/>
              </w:rPr>
              <w:t>1.0</w:t>
            </w:r>
            <w:r>
              <w:rPr>
                <w:rFonts w:ascii="Arial" w:cs="Arial" w:eastAsia="Arial" w:hAnsi="Arial"/>
                <w:sz w:val="9"/>
                <w:szCs w:val="9"/>
                <w:color w:val="auto"/>
              </w:rPr>
              <w:t>(2)</w:t>
            </w:r>
          </w:p>
        </w:tc>
      </w:tr>
      <w:tr>
        <w:trPr>
          <w:trHeight w:val="168"/>
        </w:trPr>
        <w:tc>
          <w:tcPr>
            <w:tcW w:w="2340" w:type="dxa"/>
            <w:vAlign w:val="bottom"/>
            <w:tcBorders>
              <w:bottom w:val="single" w:sz="8" w:color="001544"/>
            </w:tcBorders>
            <w:shd w:val="clear" w:color="auto" w:fill="DBDFEA"/>
          </w:tcPr>
          <w:p>
            <w:pPr>
              <w:ind w:left="100"/>
              <w:spacing w:after="0" w:line="169" w:lineRule="exact"/>
              <w:rPr>
                <w:sz w:val="20"/>
                <w:szCs w:val="20"/>
                <w:color w:val="auto"/>
              </w:rPr>
            </w:pPr>
            <w:r>
              <w:rPr>
                <w:rFonts w:ascii="Arial" w:cs="Arial" w:eastAsia="Arial" w:hAnsi="Arial"/>
                <w:sz w:val="15"/>
                <w:szCs w:val="15"/>
                <w:color w:val="auto"/>
              </w:rPr>
              <w:t>Maximum</w:t>
            </w:r>
          </w:p>
        </w:tc>
        <w:tc>
          <w:tcPr>
            <w:tcW w:w="4040" w:type="dxa"/>
            <w:vAlign w:val="bottom"/>
            <w:tcBorders>
              <w:bottom w:val="single" w:sz="8" w:color="001544"/>
            </w:tcBorders>
            <w:shd w:val="clear" w:color="auto" w:fill="DBDFEA"/>
          </w:tcPr>
          <w:p>
            <w:pPr>
              <w:ind w:left="100"/>
              <w:spacing w:after="0" w:line="169" w:lineRule="exact"/>
              <w:rPr>
                <w:sz w:val="20"/>
                <w:szCs w:val="20"/>
                <w:color w:val="auto"/>
              </w:rPr>
            </w:pPr>
            <w:r>
              <w:rPr>
                <w:rFonts w:ascii="Arial" w:cs="Arial" w:eastAsia="Arial" w:hAnsi="Arial"/>
                <w:sz w:val="15"/>
                <w:szCs w:val="15"/>
                <w:color w:val="auto"/>
              </w:rPr>
              <w:t>At or greater than 80th percentile</w:t>
            </w:r>
          </w:p>
        </w:tc>
        <w:tc>
          <w:tcPr>
            <w:tcW w:w="3080" w:type="dxa"/>
            <w:vAlign w:val="bottom"/>
            <w:tcBorders>
              <w:bottom w:val="single" w:sz="8" w:color="001544"/>
            </w:tcBorders>
            <w:shd w:val="clear" w:color="auto" w:fill="DBDFEA"/>
          </w:tcPr>
          <w:p>
            <w:pPr>
              <w:jc w:val="center"/>
              <w:spacing w:after="0" w:line="169" w:lineRule="exact"/>
              <w:rPr>
                <w:sz w:val="20"/>
                <w:szCs w:val="20"/>
                <w:color w:val="auto"/>
              </w:rPr>
            </w:pPr>
            <w:r>
              <w:rPr>
                <w:rFonts w:ascii="Arial" w:cs="Arial" w:eastAsia="Arial" w:hAnsi="Arial"/>
                <w:sz w:val="15"/>
                <w:szCs w:val="15"/>
                <w:color w:val="auto"/>
                <w:w w:val="95"/>
              </w:rPr>
              <w:t>1.2</w:t>
            </w:r>
          </w:p>
        </w:tc>
      </w:tr>
    </w:tbl>
    <w:p>
      <w:pPr>
        <w:spacing w:after="0" w:line="63" w:lineRule="exact"/>
        <w:rPr>
          <w:sz w:val="20"/>
          <w:szCs w:val="20"/>
          <w:color w:val="auto"/>
        </w:rPr>
      </w:pPr>
    </w:p>
    <w:p>
      <w:pPr>
        <w:ind w:left="300" w:right="320" w:hanging="293"/>
        <w:spacing w:after="0" w:line="254" w:lineRule="auto"/>
        <w:tabs>
          <w:tab w:leader="none" w:pos="3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If the TSR Percentile is greater than the “Threshold” level and is between two points set forth above, then the relative TSR modifier is determined by linear interpolation between such points.</w:t>
      </w:r>
    </w:p>
    <w:p>
      <w:pPr>
        <w:ind w:left="300" w:hanging="293"/>
        <w:spacing w:after="0"/>
        <w:tabs>
          <w:tab w:leader="none" w:pos="3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Represents the maximum if absolute TSR is negative.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008861"/>
        </w:rPr>
        <w:t>2021 PSU awards</w:t>
      </w:r>
    </w:p>
    <w:p>
      <w:pPr>
        <w:spacing w:after="0" w:line="19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performance-based awards for 2021 were issued in restricted stock units and had a three-year performance period (March 15, 2021 to March 14, 2024) with payout opportunity ranging from zero to 200% of the target value, depending on the relative TSR of the Company as compared to the Company’s peer group for 2021. Based on our TSR during the performance period relative to the peer group, the performance-based awards for 2021 were forfeited.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008861"/>
        </w:rPr>
        <w:t>2022 PSU awards</w:t>
      </w:r>
    </w:p>
    <w:p>
      <w:pPr>
        <w:spacing w:after="0" w:line="19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performance-based awards for 2022 were issued in restricted stock units and had a three-year performance period (March 15, 2022 to March 14, 2025) with payout opportunity ranging from zero to 200% of the target value, depending on the relative TSR of the Company as compared to the Company’s peer group for 2022. Based on our TSR during the performance period relative to the peer group, the performance-based awards for 2022 were forfeited.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008861"/>
        </w:rPr>
        <w:t>PERFORMANCE FEES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Performance fees consist of carried interest and incentive fees:</w:t>
      </w:r>
    </w:p>
    <w:p>
      <w:pPr>
        <w:spacing w:after="0" w:line="195" w:lineRule="exact"/>
        <w:rPr>
          <w:sz w:val="20"/>
          <w:szCs w:val="20"/>
          <w:color w:val="auto"/>
        </w:rPr>
      </w:pPr>
    </w:p>
    <w:p>
      <w:pPr>
        <w:ind w:left="300" w:right="80" w:hanging="293"/>
        <w:spacing w:after="0" w:line="238" w:lineRule="auto"/>
        <w:tabs>
          <w:tab w:leader="none" w:pos="300" w:val="left"/>
        </w:tabs>
        <w:numPr>
          <w:ilvl w:val="0"/>
          <w:numId w:val="101"/>
        </w:numPr>
        <w:rPr>
          <w:rFonts w:ascii="Times New Roman" w:cs="Times New Roman" w:eastAsia="Times New Roman" w:hAnsi="Times New Roman"/>
          <w:sz w:val="18"/>
          <w:szCs w:val="18"/>
          <w:color w:val="001544"/>
        </w:rPr>
      </w:pPr>
      <w:r>
        <w:rPr>
          <w:rFonts w:ascii="Arial" w:cs="Arial" w:eastAsia="Arial" w:hAnsi="Arial"/>
          <w:sz w:val="18"/>
          <w:szCs w:val="18"/>
          <w:color w:val="auto"/>
        </w:rPr>
        <w:t>Carried interest represents a disproportionate allocation of returns to us as general partner based upon the extent to which cumulative performance of a sponsored fund exceeds minimum return hurdles. Carried interest generally arises when appreciation in value of the underlying investments of the fund exceeds the minimum return hurdles, after factoring in a return of invested capital and a return of certain costs of the fund pursuant to terms of the governing documents of the fund. Realization of carried interest occurs upon disposition of all underlying investments of the fund, or in part with each disposition (typically subject to clawback mechanisms).</w:t>
      </w:r>
    </w:p>
    <w:p>
      <w:pPr>
        <w:spacing w:after="0" w:line="36" w:lineRule="exact"/>
        <w:rPr>
          <w:rFonts w:ascii="Times New Roman" w:cs="Times New Roman" w:eastAsia="Times New Roman" w:hAnsi="Times New Roman"/>
          <w:sz w:val="18"/>
          <w:szCs w:val="18"/>
          <w:color w:val="001544"/>
        </w:rPr>
      </w:pPr>
    </w:p>
    <w:p>
      <w:pPr>
        <w:ind w:left="300" w:hanging="293"/>
        <w:spacing w:after="0"/>
        <w:tabs>
          <w:tab w:leader="none" w:pos="300" w:val="left"/>
        </w:tabs>
        <w:numPr>
          <w:ilvl w:val="0"/>
          <w:numId w:val="101"/>
        </w:numPr>
        <w:rPr>
          <w:rFonts w:ascii="Times New Roman" w:cs="Times New Roman" w:eastAsia="Times New Roman" w:hAnsi="Times New Roman"/>
          <w:sz w:val="18"/>
          <w:szCs w:val="18"/>
          <w:color w:val="001544"/>
        </w:rPr>
      </w:pPr>
      <w:r>
        <w:rPr>
          <w:rFonts w:ascii="Arial" w:cs="Arial" w:eastAsia="Arial" w:hAnsi="Arial"/>
          <w:sz w:val="18"/>
          <w:szCs w:val="18"/>
          <w:color w:val="auto"/>
        </w:rPr>
        <w:t>Incentive fees are fees we receive from sub-advisory accounts in our Liquid Strategies.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40 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5800"/>
        <w:spacing w:after="0"/>
        <w:rPr>
          <w:sz w:val="20"/>
          <w:szCs w:val="20"/>
          <w:color w:val="auto"/>
        </w:rPr>
      </w:pPr>
      <w:r>
        <w:rPr>
          <w:rFonts w:ascii="Arial" w:cs="Arial" w:eastAsia="Arial" w:hAnsi="Arial"/>
          <w:sz w:val="16"/>
          <w:szCs w:val="16"/>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60090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Consistent with the practice of our peers in the alternative asset management industry, a portion of the performance fees earned by the Company is allocated to senior management, investment professionals and certain other employees of the Company. As we cannot predict the timing and amount of future payments in respect of performance fee allocations, we do not solely use performance fee allocations to compensate our executive officers and instead have maintained a traditional corporate compensation structure (i.e., base salary, annual cash bonus and long-term incentive equity awards).</w:t>
      </w:r>
    </w:p>
    <w:p>
      <w:pPr>
        <w:spacing w:after="0" w:line="145"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Performance fee payments are paid by our third-party investors and, as a result, such performance fee payments to our management team do not impact our general and administrative expense on a net basis. Amounts paid to our NEOs in respect of performance fee allocations are disclosed in the “All Other Compensation” column in the Summary Compensation Table.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Performance Fee Allocations</w:t>
      </w:r>
    </w:p>
    <w:p>
      <w:pPr>
        <w:spacing w:after="0" w:line="2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Compensation Committee determines the portion of incentives fees that are to be allocated to employees by the Company on a fund-by-fund basis and considers the advice of the Compensation Committee’s independent compensation consultant and the practices of the Company’s peers in making such determinations. The portion of carried interest from the Company’s most recently launched funds and investment vehicles that has been allocated to employees has been 60-65%. In addition, the Compensation Committee reviews and approves each performance fee allocation to an executive officer, and any contractual agreements for the Company to provide performance fee allocations to an executive officer (see “Employment Agreements”).</w:t>
      </w:r>
    </w:p>
    <w:p>
      <w:pPr>
        <w:spacing w:after="0" w:line="172"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Awarding performance fees to our executive officers and other key employees as a component of their overall compensation is a significant means of compensating and motivating them and we believe that it is necessary to attract and retain top talent in our industry. In addition, we use performance fee allocations as a component of compensation to create alignment between our executive officers and investors in our managed funds, and we believe that this alignment has been part of the reason for our success in growing our investment management business.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Performance Fee Payments and Clawbacks</w:t>
      </w:r>
    </w:p>
    <w:p>
      <w:pPr>
        <w:spacing w:after="0" w:line="21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Payments in respect of performance fee allocations are not made unless a specified performance return hurdle for an investment is achieved in accordance with the terms set out in the agreement governing the fund or investment vehicle, which incentivizes us to obtain the best possible results for investors in our managed funds. As these hurdles are negotiated with third-party investors who have an interest to set the hurdles as high as possible, we believe the hurdles established are rigorous. In general, hurdle rates for performance fee allocations are met when our third-party investors receive 6-9% annualized returns, and it is only after such hurdles are achieved that we are entitled to receive 10-20% of profits. When the hurdle rates are achieved and performance fees are realized, both the Company and the employees who have received performance fee allocations benefit from the payments of such performance fees in proportion to the allocations previously approved by the Board (or committee thereof). For our investment funds that pay performance fees, those performance fees are only paid to the firm and employees of the firm to the extent an applicable fund’s portfolio of investments has profitably appreciated in value (in most cases above a specified level) during the applicable period. Moreover, if a carry fund fails to achieve specified investment returns due to diminished performance of later investments, we are entitled to “clawback” carried interest payments previously made to an employee for the benefit of the limited partner investors in that fund, and we escrow a portion of all carried interest payments made to employees to help fund their potential future “clawback” obligations, all of which further discourages excessive risk-taking by our employees. The amount held back in escrow is included in the compensation reported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9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Payments to our NEOs from performance fee allocations are not predictable, and we anticipate that such payments will continue to be a highly variable element of executive compensation that will be significant over the long term as our managed funds mature and we exit investments that generate profits for the Company and our investors. The timing of performance fee payments may be impacted by a variety of factors including the maturity of our managed funds and vehicles, the demand for infrastructure and digital infrastructure assets, general economic conditions and other risks and factors that are described in our public filings.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Employee Commitments</w:t>
      </w:r>
    </w:p>
    <w:p>
      <w:pPr>
        <w:spacing w:after="0" w:line="2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executive officers and other employees who receive performance fee allocations are generally required to invest their own capital into the related managed fund or investment vehicle in amounts that are proportionate to the size of their participation in performance fees. The personal commitments from our Chief Executive Officer and President typically form a significant portion of the Company’s commitment to our sponsored funds in which they receive performance fee allocations. We believe that these investments help to ensure that our employees have capital at risk in our business and reinforce the link between their economic interests and the success of the funds we manage and the related success of the Company. For more information regarding the amounts invested by our executive officers in our managed funds, see “Certain Relationships and Related Transactions—Investment in Managed Investment Vehicles.” In addition, the performance fee allocations awarded to our employees, including our executive officers, are generally subject to vesting over a three-to-four-year period.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008861"/>
        </w:rPr>
        <w:t>OTHER BENEFITS</w:t>
      </w:r>
    </w:p>
    <w:p>
      <w:pPr>
        <w:spacing w:after="0" w:line="1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provides a comprehensive benefits program to executives, including our NEOs, which mirrors the program offered to our other employees. These benefits include, among other things, a 401(k) plan with matching contributions from the Company equal to 100% of the first 5% of employee contributions and health and welfare benefits. Our NEOs participate on the same terms as other employees under these plans. The Company may also provide, from time to time, certain perquisites to our NEOs, including pursuant to the terms of their employment agreements (see “Employment Agreements” below), including the reimbursement to our Chief Executive Officer for the personal use of private aircraft for up to 100 hours each year. The Compensation Committee encourages our Chief Executive Officer to use private aircraft for travel to increase his safety, security, and productivity. Refer to “Compensation Tables and Related Narrative— Summary Compensation Table” below for additional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Compensation Risk Management</w:t>
      </w:r>
    </w:p>
    <w:p>
      <w:pPr>
        <w:spacing w:after="0" w:line="218"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The Compensation Committee oversees all of our executive compensation policies and practices. In structuring our executive compensation program, the Compensation Committee is focused on enhancing the alignment of interest between our executive management and our stockholders. We believe that any risks arising from our policies and practices are not reasonably likely to have a material adverse effect on us, including as a result of the oversight of the Compensation Committee, our clawback policy and stock ownership guidelines discussed below.</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008861"/>
        </w:rPr>
        <w:t>CLAWBACK POLICY</w:t>
      </w:r>
    </w:p>
    <w:p>
      <w:pPr>
        <w:spacing w:after="0" w:line="199"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We maintain a clawback policy that is fully compliant with SEC requirements and NYSE rules. The clawback policy provides for the mandatory recovery from current and former officers of incentive-based compensation that was erroneously awarded during the three years preceding the date for which the Company is required to prepare an accounting restatement. Our clawback policy has been filed as an exhibit to our Annual Report on Form 10-K for the fiscal year ended December 31, 2024.</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40"/>
          </w:cols>
          <w:pgMar w:left="1200" w:top="487" w:right="125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008861"/>
        </w:rPr>
        <w:t>STOCK OWNERSHIP GUIDELINES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Committee adopted minimum equity ownership guidelines for our executive officers. Pursuant to these guidelines, such executive officers are expected to own an aggregate number of shares of common stock, restricted stock units of DigitalBridge or common membership units in our Operating Company (“OP Units”) or long-term incentive units in our Operating Company (“LTIP Units”), whether vested or not, with an aggregate market value as follows: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490" w:type="dxa"/>
            <w:vAlign w:val="bottom"/>
            <w:tcBorders>
              <w:bottom w:val="single" w:sz="8" w:color="001544"/>
            </w:tcBorders>
          </w:tcPr>
          <w:p>
            <w:pPr>
              <w:ind w:left="80"/>
              <w:spacing w:after="0"/>
              <w:rPr>
                <w:sz w:val="20"/>
                <w:szCs w:val="20"/>
                <w:color w:val="auto"/>
              </w:rPr>
            </w:pPr>
            <w:r>
              <w:rPr>
                <w:rFonts w:ascii="Arial" w:cs="Arial" w:eastAsia="Arial" w:hAnsi="Arial"/>
                <w:sz w:val="16"/>
                <w:szCs w:val="16"/>
                <w:b w:val="1"/>
                <w:bCs w:val="1"/>
                <w:color w:val="001544"/>
              </w:rPr>
              <w:t>Title</w:t>
            </w:r>
          </w:p>
        </w:tc>
        <w:tc>
          <w:tcPr>
            <w:tcW w:w="1050" w:type="dxa"/>
            <w:vAlign w:val="bottom"/>
            <w:tcBorders>
              <w:bottom w:val="single" w:sz="8" w:color="001544"/>
            </w:tcBorders>
          </w:tcPr>
          <w:p>
            <w:pPr>
              <w:ind w:left="90"/>
              <w:spacing w:after="0"/>
              <w:rPr>
                <w:sz w:val="20"/>
                <w:szCs w:val="20"/>
                <w:color w:val="auto"/>
              </w:rPr>
            </w:pPr>
            <w:r>
              <w:rPr>
                <w:rFonts w:ascii="Arial" w:cs="Arial" w:eastAsia="Arial" w:hAnsi="Arial"/>
                <w:sz w:val="16"/>
                <w:szCs w:val="16"/>
                <w:b w:val="1"/>
                <w:bCs w:val="1"/>
                <w:color w:val="001544"/>
              </w:rPr>
              <w:t>Guideline</w:t>
            </w:r>
          </w:p>
        </w:tc>
        <w:tc>
          <w:tcPr>
            <w:tcW w:w="4920" w:type="dxa"/>
            <w:vAlign w:val="bottom"/>
            <w:tcBorders>
              <w:bottom w:val="single" w:sz="8" w:color="001544"/>
            </w:tcBorders>
          </w:tcPr>
          <w:p>
            <w:pPr>
              <w:spacing w:after="0"/>
              <w:rPr>
                <w:sz w:val="19"/>
                <w:szCs w:val="19"/>
                <w:color w:val="auto"/>
              </w:rPr>
            </w:pPr>
          </w:p>
        </w:tc>
      </w:tr>
      <w:tr>
        <w:trPr>
          <w:trHeight w:val="294"/>
        </w:trPr>
        <w:tc>
          <w:tcPr>
            <w:tcW w:w="349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6"/>
                <w:szCs w:val="16"/>
                <w:color w:val="auto"/>
              </w:rPr>
              <w:t>Chief Executive Officer and President</w:t>
            </w:r>
          </w:p>
        </w:tc>
        <w:tc>
          <w:tcPr>
            <w:tcW w:w="1050" w:type="dxa"/>
            <w:vAlign w:val="bottom"/>
            <w:tcBorders>
              <w:bottom w:val="single" w:sz="8" w:color="DBDFEA"/>
            </w:tcBorders>
            <w:shd w:val="clear" w:color="auto" w:fill="DBDFEA"/>
          </w:tcPr>
          <w:p>
            <w:pPr>
              <w:ind w:left="90"/>
              <w:spacing w:after="0"/>
              <w:rPr>
                <w:sz w:val="20"/>
                <w:szCs w:val="20"/>
                <w:color w:val="auto"/>
              </w:rPr>
            </w:pPr>
            <w:r>
              <w:rPr>
                <w:rFonts w:ascii="Times New Roman" w:cs="Times New Roman" w:eastAsia="Times New Roman" w:hAnsi="Times New Roman"/>
                <w:sz w:val="16"/>
                <w:szCs w:val="16"/>
                <w:color w:val="008861"/>
              </w:rPr>
              <w:t>● ● ● ● ● ●</w:t>
            </w:r>
          </w:p>
        </w:tc>
        <w:tc>
          <w:tcPr>
            <w:tcW w:w="4920" w:type="dxa"/>
            <w:vAlign w:val="bottom"/>
            <w:tcBorders>
              <w:bottom w:val="single" w:sz="8" w:color="DBDFEA"/>
            </w:tcBorders>
            <w:shd w:val="clear" w:color="auto" w:fill="DBDFEA"/>
          </w:tcPr>
          <w:p>
            <w:pPr>
              <w:ind w:left="160"/>
              <w:spacing w:after="0"/>
              <w:rPr>
                <w:sz w:val="20"/>
                <w:szCs w:val="20"/>
                <w:color w:val="auto"/>
              </w:rPr>
            </w:pPr>
            <w:r>
              <w:rPr>
                <w:rFonts w:ascii="Arial" w:cs="Arial" w:eastAsia="Arial" w:hAnsi="Arial"/>
                <w:sz w:val="16"/>
                <w:szCs w:val="16"/>
                <w:color w:val="auto"/>
              </w:rPr>
              <w:t xml:space="preserve">A multiple of </w:t>
            </w:r>
            <w:r>
              <w:rPr>
                <w:rFonts w:ascii="Arial" w:cs="Arial" w:eastAsia="Arial" w:hAnsi="Arial"/>
                <w:sz w:val="16"/>
                <w:szCs w:val="16"/>
                <w:b w:val="1"/>
                <w:bCs w:val="1"/>
                <w:color w:val="001544"/>
              </w:rPr>
              <w:t>6X</w:t>
            </w:r>
            <w:r>
              <w:rPr>
                <w:rFonts w:ascii="Arial" w:cs="Arial" w:eastAsia="Arial" w:hAnsi="Arial"/>
                <w:sz w:val="16"/>
                <w:szCs w:val="16"/>
                <w:color w:val="auto"/>
              </w:rPr>
              <w:t xml:space="preserve"> base salary in effect from time-to-time</w:t>
            </w:r>
          </w:p>
        </w:tc>
      </w:tr>
      <w:tr>
        <w:trPr>
          <w:trHeight w:val="287"/>
        </w:trPr>
        <w:tc>
          <w:tcPr>
            <w:tcW w:w="3490" w:type="dxa"/>
            <w:vAlign w:val="bottom"/>
            <w:tcBorders>
              <w:top w:val="single" w:sz="8" w:color="001544"/>
              <w:bottom w:val="single" w:sz="8" w:color="DBDFEA"/>
            </w:tcBorders>
            <w:shd w:val="clear" w:color="auto" w:fill="DBDFEA"/>
          </w:tcPr>
          <w:p>
            <w:pPr>
              <w:ind w:left="80"/>
              <w:spacing w:after="0"/>
              <w:rPr>
                <w:sz w:val="20"/>
                <w:szCs w:val="20"/>
                <w:color w:val="auto"/>
              </w:rPr>
            </w:pPr>
            <w:r>
              <w:rPr>
                <w:rFonts w:ascii="Arial" w:cs="Arial" w:eastAsia="Arial" w:hAnsi="Arial"/>
                <w:sz w:val="16"/>
                <w:szCs w:val="16"/>
                <w:color w:val="auto"/>
              </w:rPr>
              <w:t>Chief Financial Officer</w:t>
            </w:r>
          </w:p>
        </w:tc>
        <w:tc>
          <w:tcPr>
            <w:tcW w:w="1050" w:type="dxa"/>
            <w:vAlign w:val="bottom"/>
            <w:tcBorders>
              <w:top w:val="single" w:sz="8" w:color="001544"/>
              <w:bottom w:val="single" w:sz="8" w:color="DBDFEA"/>
            </w:tcBorders>
            <w:shd w:val="clear" w:color="auto" w:fill="DBDFEA"/>
          </w:tcPr>
          <w:p>
            <w:pPr>
              <w:ind w:left="90"/>
              <w:spacing w:after="0"/>
              <w:rPr>
                <w:sz w:val="20"/>
                <w:szCs w:val="20"/>
                <w:color w:val="auto"/>
              </w:rPr>
            </w:pPr>
            <w:r>
              <w:rPr>
                <w:rFonts w:ascii="Times New Roman" w:cs="Times New Roman" w:eastAsia="Times New Roman" w:hAnsi="Times New Roman"/>
                <w:sz w:val="16"/>
                <w:szCs w:val="16"/>
                <w:color w:val="008861"/>
              </w:rPr>
              <w:t>● ● ● ●</w:t>
            </w:r>
          </w:p>
        </w:tc>
        <w:tc>
          <w:tcPr>
            <w:tcW w:w="4920" w:type="dxa"/>
            <w:vAlign w:val="bottom"/>
            <w:tcBorders>
              <w:top w:val="single" w:sz="8" w:color="001544"/>
              <w:bottom w:val="single" w:sz="8" w:color="DBDFEA"/>
            </w:tcBorders>
            <w:shd w:val="clear" w:color="auto" w:fill="DBDFEA"/>
          </w:tcPr>
          <w:p>
            <w:pPr>
              <w:ind w:left="160"/>
              <w:spacing w:after="0"/>
              <w:rPr>
                <w:sz w:val="20"/>
                <w:szCs w:val="20"/>
                <w:color w:val="auto"/>
              </w:rPr>
            </w:pPr>
            <w:r>
              <w:rPr>
                <w:rFonts w:ascii="Arial" w:cs="Arial" w:eastAsia="Arial" w:hAnsi="Arial"/>
                <w:sz w:val="16"/>
                <w:szCs w:val="16"/>
                <w:color w:val="auto"/>
              </w:rPr>
              <w:t xml:space="preserve">A multiple of </w:t>
            </w:r>
            <w:r>
              <w:rPr>
                <w:rFonts w:ascii="Arial" w:cs="Arial" w:eastAsia="Arial" w:hAnsi="Arial"/>
                <w:sz w:val="16"/>
                <w:szCs w:val="16"/>
                <w:b w:val="1"/>
                <w:bCs w:val="1"/>
                <w:color w:val="001544"/>
              </w:rPr>
              <w:t>4X</w:t>
            </w:r>
            <w:r>
              <w:rPr>
                <w:rFonts w:ascii="Arial" w:cs="Arial" w:eastAsia="Arial" w:hAnsi="Arial"/>
                <w:sz w:val="16"/>
                <w:szCs w:val="16"/>
                <w:color w:val="auto"/>
              </w:rPr>
              <w:t xml:space="preserve"> base salary in effect from time-to-time</w:t>
            </w:r>
          </w:p>
        </w:tc>
      </w:tr>
      <w:tr>
        <w:trPr>
          <w:trHeight w:val="262"/>
        </w:trPr>
        <w:tc>
          <w:tcPr>
            <w:tcW w:w="3490" w:type="dxa"/>
            <w:vAlign w:val="bottom"/>
            <w:tcBorders>
              <w:top w:val="single" w:sz="8" w:color="001544"/>
              <w:bottom w:val="single" w:sz="8" w:color="DBDFEA"/>
            </w:tcBorders>
            <w:shd w:val="clear" w:color="auto" w:fill="DBDFEA"/>
          </w:tcPr>
          <w:p>
            <w:pPr>
              <w:ind w:left="80"/>
              <w:spacing w:after="0"/>
              <w:rPr>
                <w:sz w:val="20"/>
                <w:szCs w:val="20"/>
                <w:color w:val="auto"/>
              </w:rPr>
            </w:pPr>
            <w:r>
              <w:rPr>
                <w:rFonts w:ascii="Arial" w:cs="Arial" w:eastAsia="Arial" w:hAnsi="Arial"/>
                <w:sz w:val="16"/>
                <w:szCs w:val="16"/>
                <w:color w:val="auto"/>
              </w:rPr>
              <w:t>Other Executive Officers</w:t>
            </w:r>
          </w:p>
        </w:tc>
        <w:tc>
          <w:tcPr>
            <w:tcW w:w="1050" w:type="dxa"/>
            <w:vAlign w:val="bottom"/>
            <w:tcBorders>
              <w:top w:val="single" w:sz="8" w:color="001544"/>
              <w:bottom w:val="single" w:sz="8" w:color="DBDFEA"/>
            </w:tcBorders>
            <w:shd w:val="clear" w:color="auto" w:fill="DBDFEA"/>
          </w:tcPr>
          <w:p>
            <w:pPr>
              <w:ind w:left="90"/>
              <w:spacing w:after="0"/>
              <w:rPr>
                <w:sz w:val="20"/>
                <w:szCs w:val="20"/>
                <w:color w:val="auto"/>
              </w:rPr>
            </w:pPr>
            <w:r>
              <w:rPr>
                <w:rFonts w:ascii="Times New Roman" w:cs="Times New Roman" w:eastAsia="Times New Roman" w:hAnsi="Times New Roman"/>
                <w:sz w:val="16"/>
                <w:szCs w:val="16"/>
                <w:color w:val="008861"/>
              </w:rPr>
              <w:t>● ● ●</w:t>
            </w:r>
          </w:p>
        </w:tc>
        <w:tc>
          <w:tcPr>
            <w:tcW w:w="4920" w:type="dxa"/>
            <w:vAlign w:val="bottom"/>
            <w:tcBorders>
              <w:top w:val="single" w:sz="8" w:color="001544"/>
              <w:bottom w:val="single" w:sz="8" w:color="DBDFEA"/>
            </w:tcBorders>
            <w:shd w:val="clear" w:color="auto" w:fill="DBDFEA"/>
          </w:tcPr>
          <w:p>
            <w:pPr>
              <w:ind w:left="160"/>
              <w:spacing w:after="0"/>
              <w:rPr>
                <w:sz w:val="20"/>
                <w:szCs w:val="20"/>
                <w:color w:val="auto"/>
              </w:rPr>
            </w:pPr>
            <w:r>
              <w:rPr>
                <w:rFonts w:ascii="Arial" w:cs="Arial" w:eastAsia="Arial" w:hAnsi="Arial"/>
                <w:sz w:val="16"/>
                <w:szCs w:val="16"/>
                <w:color w:val="auto"/>
              </w:rPr>
              <w:t xml:space="preserve">A multiple of </w:t>
            </w:r>
            <w:r>
              <w:rPr>
                <w:rFonts w:ascii="Arial" w:cs="Arial" w:eastAsia="Arial" w:hAnsi="Arial"/>
                <w:sz w:val="16"/>
                <w:szCs w:val="16"/>
                <w:b w:val="1"/>
                <w:bCs w:val="1"/>
                <w:color w:val="001544"/>
              </w:rPr>
              <w:t>3X</w:t>
            </w:r>
            <w:r>
              <w:rPr>
                <w:rFonts w:ascii="Arial" w:cs="Arial" w:eastAsia="Arial" w:hAnsi="Arial"/>
                <w:sz w:val="16"/>
                <w:szCs w:val="16"/>
                <w:color w:val="auto"/>
              </w:rPr>
              <w:t xml:space="preserve"> base salary in effect from time-to-time</w:t>
            </w:r>
          </w:p>
        </w:tc>
      </w:tr>
      <w:tr>
        <w:trPr>
          <w:trHeight w:val="20"/>
        </w:trPr>
        <w:tc>
          <w:tcPr>
            <w:tcW w:w="3490" w:type="dxa"/>
            <w:vAlign w:val="bottom"/>
            <w:shd w:val="clear" w:color="auto" w:fill="001544"/>
          </w:tcPr>
          <w:p>
            <w:pPr>
              <w:spacing w:after="0" w:line="20" w:lineRule="exact"/>
              <w:rPr>
                <w:sz w:val="1"/>
                <w:szCs w:val="1"/>
                <w:color w:val="auto"/>
              </w:rPr>
            </w:pPr>
          </w:p>
        </w:tc>
        <w:tc>
          <w:tcPr>
            <w:tcW w:w="1050" w:type="dxa"/>
            <w:vAlign w:val="bottom"/>
            <w:shd w:val="clear" w:color="auto" w:fill="001544"/>
          </w:tcPr>
          <w:p>
            <w:pPr>
              <w:spacing w:after="0" w:line="20" w:lineRule="exact"/>
              <w:rPr>
                <w:sz w:val="1"/>
                <w:szCs w:val="1"/>
                <w:color w:val="auto"/>
              </w:rPr>
            </w:pPr>
          </w:p>
        </w:tc>
        <w:tc>
          <w:tcPr>
            <w:tcW w:w="4920" w:type="dxa"/>
            <w:vAlign w:val="bottom"/>
            <w:shd w:val="clear" w:color="auto" w:fill="001544"/>
          </w:tcPr>
          <w:p>
            <w:pPr>
              <w:spacing w:after="0" w:line="20" w:lineRule="exact"/>
              <w:rPr>
                <w:sz w:val="1"/>
                <w:szCs w:val="1"/>
                <w:color w:val="auto"/>
              </w:rPr>
            </w:pPr>
          </w:p>
        </w:tc>
      </w:tr>
    </w:tbl>
    <w:p>
      <w:pPr>
        <w:spacing w:after="0" w:line="17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For purposes of determining compliance with these guidelines, equity that remains subject to performance- based vesting conditions (i.e., vesting based on the satisfaction of criteria other than, or in addition to, continued employment) is not counted. Ownership includes shares or units owned: (a) by such person directly or indirectly through a broker or other nominee holder; (b) by such person’s immediate family members sharing such person’s household; (c) by trusts for the benefit of such person or such person’s immediate family members; (d) by entities controlled by such person and/or such person’s spouse and of which a majority of the equity interests are owned by such person or such person’s immediate family members; or (e) in such person’s 401(k) plan, individual retirement account or employee stock purchase or deferred compensation plan.</w:t>
      </w:r>
    </w:p>
    <w:p>
      <w:pPr>
        <w:spacing w:after="0" w:line="174"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Compliance with these guidelines is measured as of the end of each fiscal year and, for any executive officer who did not hold such position as of the date these guidelines were adopted, compliance will first be measured as of the end of the fifth full fiscal year following the year in which such officer was initially appointed to such position. All of our NEOs were in compliance with the policy as of December 31, 2024, or are on track to be by the first applicable measurement date.</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008861"/>
        </w:rPr>
        <w:t>TIMING OF CERTAIN EQUITY AWARDS</w:t>
      </w:r>
    </w:p>
    <w:p>
      <w:pPr>
        <w:spacing w:after="0" w:line="19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do not currently grant awards of stock options, stock appreciation rights, or similar option-like awards as part of our compensation program. We do not time the disclosure of material non-public information, or the granting of equity awards, for the purpose of impacting the value of executive compensation.</w:t>
      </w:r>
    </w:p>
    <w:p>
      <w:pPr>
        <w:spacing w:after="0" w:line="200" w:lineRule="exact"/>
        <w:rPr>
          <w:sz w:val="20"/>
          <w:szCs w:val="20"/>
          <w:color w:val="auto"/>
        </w:rPr>
      </w:pPr>
    </w:p>
    <w:p>
      <w:pPr>
        <w:spacing w:after="0" w:line="36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35"/>
          <w:szCs w:val="35"/>
          <w:color w:val="001544"/>
        </w:rPr>
        <w:t>Compensation Tables and Related Narrative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Summary Compensation Table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compensation for each of our NEOs in accordance with Item 402(c) of Regulation S-K.</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001544"/>
              </w:rPr>
              <w:t>Non-Equity</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35"/>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3"/>
                <w:szCs w:val="13"/>
                <w:b w:val="1"/>
                <w:bCs w:val="1"/>
                <w:color w:val="001544"/>
              </w:rPr>
              <w:t>Stock</w:t>
            </w:r>
          </w:p>
        </w:tc>
        <w:tc>
          <w:tcPr>
            <w:tcW w:w="1100" w:type="dxa"/>
            <w:vAlign w:val="bottom"/>
          </w:tcPr>
          <w:p>
            <w:pPr>
              <w:jc w:val="center"/>
              <w:ind w:left="13"/>
              <w:spacing w:after="0" w:line="136" w:lineRule="exact"/>
              <w:rPr>
                <w:sz w:val="20"/>
                <w:szCs w:val="20"/>
                <w:color w:val="auto"/>
              </w:rPr>
            </w:pPr>
            <w:r>
              <w:rPr>
                <w:rFonts w:ascii="Arial" w:cs="Arial" w:eastAsia="Arial" w:hAnsi="Arial"/>
                <w:sz w:val="13"/>
                <w:szCs w:val="13"/>
                <w:b w:val="1"/>
                <w:bCs w:val="1"/>
                <w:color w:val="001544"/>
              </w:rPr>
              <w:t>Incentive Plan</w:t>
            </w:r>
          </w:p>
        </w:tc>
        <w:tc>
          <w:tcPr>
            <w:tcW w:w="1120" w:type="dxa"/>
            <w:vAlign w:val="bottom"/>
          </w:tcPr>
          <w:p>
            <w:pPr>
              <w:jc w:val="center"/>
              <w:ind w:left="13"/>
              <w:spacing w:after="0" w:line="136" w:lineRule="exact"/>
              <w:rPr>
                <w:sz w:val="20"/>
                <w:szCs w:val="20"/>
                <w:color w:val="auto"/>
              </w:rPr>
            </w:pPr>
            <w:r>
              <w:rPr>
                <w:rFonts w:ascii="Arial" w:cs="Arial" w:eastAsia="Arial" w:hAnsi="Arial"/>
                <w:sz w:val="13"/>
                <w:szCs w:val="13"/>
                <w:b w:val="1"/>
                <w:bCs w:val="1"/>
                <w:color w:val="001544"/>
              </w:rPr>
              <w:t>All Other</w:t>
            </w:r>
          </w:p>
        </w:tc>
        <w:tc>
          <w:tcPr>
            <w:tcW w:w="180" w:type="dxa"/>
            <w:vAlign w:val="bottom"/>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3"/>
                <w:szCs w:val="13"/>
                <w:b w:val="1"/>
                <w:bCs w:val="1"/>
                <w:color w:val="001544"/>
                <w:w w:val="96"/>
              </w:rPr>
              <w:t>Total</w:t>
            </w:r>
          </w:p>
        </w:tc>
      </w:tr>
      <w:tr>
        <w:trPr>
          <w:trHeight w:val="166"/>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93"/>
              <w:spacing w:after="0"/>
              <w:rPr>
                <w:sz w:val="20"/>
                <w:szCs w:val="20"/>
                <w:color w:val="auto"/>
              </w:rPr>
            </w:pPr>
            <w:r>
              <w:rPr>
                <w:rFonts w:ascii="Arial" w:cs="Arial" w:eastAsia="Arial" w:hAnsi="Arial"/>
                <w:sz w:val="13"/>
                <w:szCs w:val="13"/>
                <w:b w:val="1"/>
                <w:bCs w:val="1"/>
                <w:color w:val="001544"/>
              </w:rPr>
              <w:t>Salary</w:t>
            </w:r>
          </w:p>
        </w:tc>
        <w:tc>
          <w:tcPr>
            <w:tcW w:w="800" w:type="dxa"/>
            <w:vAlign w:val="bottom"/>
          </w:tcPr>
          <w:p>
            <w:pPr>
              <w:jc w:val="right"/>
              <w:ind w:right="73"/>
              <w:spacing w:after="0"/>
              <w:rPr>
                <w:sz w:val="20"/>
                <w:szCs w:val="20"/>
                <w:color w:val="auto"/>
              </w:rPr>
            </w:pPr>
            <w:r>
              <w:rPr>
                <w:rFonts w:ascii="Arial" w:cs="Arial" w:eastAsia="Arial" w:hAnsi="Arial"/>
                <w:sz w:val="13"/>
                <w:szCs w:val="13"/>
                <w:b w:val="1"/>
                <w:bCs w:val="1"/>
                <w:color w:val="001544"/>
              </w:rPr>
              <w:t>Bonus</w:t>
            </w:r>
          </w:p>
        </w:tc>
        <w:tc>
          <w:tcPr>
            <w:tcW w:w="160" w:type="dxa"/>
            <w:vAlign w:val="bottom"/>
          </w:tcPr>
          <w:p>
            <w:pPr>
              <w:spacing w:after="0"/>
              <w:rPr>
                <w:sz w:val="14"/>
                <w:szCs w:val="14"/>
                <w:color w:val="auto"/>
              </w:rPr>
            </w:pPr>
          </w:p>
        </w:tc>
        <w:tc>
          <w:tcPr>
            <w:tcW w:w="900" w:type="dxa"/>
            <w:vAlign w:val="bottom"/>
          </w:tcPr>
          <w:p>
            <w:pPr>
              <w:jc w:val="center"/>
              <w:spacing w:after="0" w:line="166" w:lineRule="exact"/>
              <w:rPr>
                <w:sz w:val="20"/>
                <w:szCs w:val="20"/>
                <w:color w:val="auto"/>
              </w:rPr>
            </w:pPr>
            <w:r>
              <w:rPr>
                <w:rFonts w:ascii="Arial" w:cs="Arial" w:eastAsia="Arial" w:hAnsi="Arial"/>
                <w:sz w:val="13"/>
                <w:szCs w:val="13"/>
                <w:b w:val="1"/>
                <w:bCs w:val="1"/>
                <w:color w:val="001544"/>
                <w:w w:val="96"/>
              </w:rPr>
              <w:t>Awards</w:t>
            </w:r>
            <w:r>
              <w:rPr>
                <w:rFonts w:ascii="Arial" w:cs="Arial" w:eastAsia="Arial" w:hAnsi="Arial"/>
                <w:sz w:val="19"/>
                <w:szCs w:val="19"/>
                <w:b w:val="1"/>
                <w:bCs w:val="1"/>
                <w:color w:val="001544"/>
                <w:w w:val="96"/>
                <w:vertAlign w:val="superscript"/>
              </w:rPr>
              <w:t>(1)</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001544"/>
              </w:rPr>
              <w:t>Compensation</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001544"/>
              </w:rPr>
              <w:t>Compensation</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1544"/>
              </w:rPr>
              <w:t>Compensation</w:t>
            </w:r>
          </w:p>
        </w:tc>
      </w:tr>
      <w:tr>
        <w:trPr>
          <w:trHeight w:val="185"/>
        </w:trPr>
        <w:tc>
          <w:tcPr>
            <w:tcW w:w="2700" w:type="dxa"/>
            <w:vAlign w:val="bottom"/>
          </w:tcPr>
          <w:p>
            <w:pPr>
              <w:ind w:left="100"/>
              <w:spacing w:after="0"/>
              <w:rPr>
                <w:sz w:val="20"/>
                <w:szCs w:val="20"/>
                <w:color w:val="auto"/>
              </w:rPr>
            </w:pPr>
            <w:r>
              <w:rPr>
                <w:rFonts w:ascii="Arial" w:cs="Arial" w:eastAsia="Arial" w:hAnsi="Arial"/>
                <w:sz w:val="13"/>
                <w:szCs w:val="13"/>
                <w:b w:val="1"/>
                <w:bCs w:val="1"/>
                <w:color w:val="001544"/>
              </w:rPr>
              <w:t>Name</w:t>
            </w:r>
          </w:p>
        </w:tc>
        <w:tc>
          <w:tcPr>
            <w:tcW w:w="100" w:type="dxa"/>
            <w:vAlign w:val="bottom"/>
          </w:tcPr>
          <w:p>
            <w:pPr>
              <w:spacing w:after="0"/>
              <w:rPr>
                <w:sz w:val="16"/>
                <w:szCs w:val="16"/>
                <w:color w:val="auto"/>
              </w:rPr>
            </w:pPr>
          </w:p>
        </w:tc>
        <w:tc>
          <w:tcPr>
            <w:tcW w:w="560" w:type="dxa"/>
            <w:vAlign w:val="bottom"/>
          </w:tcPr>
          <w:p>
            <w:pPr>
              <w:ind w:left="140"/>
              <w:spacing w:after="0"/>
              <w:rPr>
                <w:sz w:val="20"/>
                <w:szCs w:val="20"/>
                <w:color w:val="auto"/>
              </w:rPr>
            </w:pPr>
            <w:r>
              <w:rPr>
                <w:rFonts w:ascii="Arial" w:cs="Arial" w:eastAsia="Arial" w:hAnsi="Arial"/>
                <w:sz w:val="13"/>
                <w:szCs w:val="13"/>
                <w:b w:val="1"/>
                <w:bCs w:val="1"/>
                <w:color w:val="001544"/>
              </w:rPr>
              <w:t>Year</w:t>
            </w:r>
          </w:p>
        </w:tc>
        <w:tc>
          <w:tcPr>
            <w:tcW w:w="800" w:type="dxa"/>
            <w:vAlign w:val="bottom"/>
          </w:tcPr>
          <w:p>
            <w:pPr>
              <w:jc w:val="right"/>
              <w:ind w:right="213"/>
              <w:spacing w:after="0"/>
              <w:rPr>
                <w:sz w:val="20"/>
                <w:szCs w:val="20"/>
                <w:color w:val="auto"/>
              </w:rPr>
            </w:pPr>
            <w:r>
              <w:rPr>
                <w:rFonts w:ascii="Arial" w:cs="Arial" w:eastAsia="Arial" w:hAnsi="Arial"/>
                <w:sz w:val="13"/>
                <w:szCs w:val="13"/>
                <w:b w:val="1"/>
                <w:bCs w:val="1"/>
                <w:color w:val="001544"/>
              </w:rPr>
              <w:t>($)</w:t>
            </w:r>
          </w:p>
        </w:tc>
        <w:tc>
          <w:tcPr>
            <w:tcW w:w="800" w:type="dxa"/>
            <w:vAlign w:val="bottom"/>
          </w:tcPr>
          <w:p>
            <w:pPr>
              <w:jc w:val="right"/>
              <w:ind w:right="213"/>
              <w:spacing w:after="0"/>
              <w:rPr>
                <w:sz w:val="20"/>
                <w:szCs w:val="20"/>
                <w:color w:val="auto"/>
              </w:rPr>
            </w:pPr>
            <w:r>
              <w:rPr>
                <w:rFonts w:ascii="Arial" w:cs="Arial" w:eastAsia="Arial" w:hAnsi="Arial"/>
                <w:sz w:val="13"/>
                <w:szCs w:val="13"/>
                <w:b w:val="1"/>
                <w:bCs w:val="1"/>
                <w:color w:val="001544"/>
              </w:rPr>
              <w:t>($)</w:t>
            </w:r>
          </w:p>
        </w:tc>
        <w:tc>
          <w:tcPr>
            <w:tcW w:w="1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001544"/>
              </w:rPr>
              <w:t>($)</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001544"/>
              </w:rPr>
              <w:t>($)</w:t>
            </w:r>
          </w:p>
        </w:tc>
        <w:tc>
          <w:tcPr>
            <w:tcW w:w="1120" w:type="dxa"/>
            <w:vAlign w:val="bottom"/>
          </w:tcPr>
          <w:p>
            <w:pPr>
              <w:jc w:val="center"/>
              <w:ind w:left="13"/>
              <w:spacing w:after="0"/>
              <w:rPr>
                <w:sz w:val="20"/>
                <w:szCs w:val="20"/>
                <w:color w:val="auto"/>
              </w:rPr>
            </w:pPr>
            <w:r>
              <w:rPr>
                <w:rFonts w:ascii="Arial" w:cs="Arial" w:eastAsia="Arial" w:hAnsi="Arial"/>
                <w:sz w:val="13"/>
                <w:szCs w:val="13"/>
                <w:b w:val="1"/>
                <w:bCs w:val="1"/>
                <w:color w:val="001544"/>
              </w:rPr>
              <w:t>($)</w:t>
            </w:r>
          </w:p>
        </w:tc>
        <w:tc>
          <w:tcPr>
            <w:tcW w:w="1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1544"/>
              </w:rPr>
              <w:t>($)</w:t>
            </w:r>
          </w:p>
        </w:tc>
      </w:tr>
      <w:tr>
        <w:trPr>
          <w:trHeight w:val="25"/>
        </w:trPr>
        <w:tc>
          <w:tcPr>
            <w:tcW w:w="2700" w:type="dxa"/>
            <w:vAlign w:val="bottom"/>
            <w:tcBorders>
              <w:bottom w:val="single" w:sz="8" w:color="001544"/>
            </w:tcBorders>
          </w:tcPr>
          <w:p>
            <w:pPr>
              <w:spacing w:after="0"/>
              <w:rPr>
                <w:sz w:val="2"/>
                <w:szCs w:val="2"/>
                <w:color w:val="auto"/>
              </w:rPr>
            </w:pPr>
          </w:p>
        </w:tc>
        <w:tc>
          <w:tcPr>
            <w:tcW w:w="100" w:type="dxa"/>
            <w:vAlign w:val="bottom"/>
            <w:tcBorders>
              <w:bottom w:val="single" w:sz="8" w:color="001544"/>
            </w:tcBorders>
          </w:tcPr>
          <w:p>
            <w:pPr>
              <w:spacing w:after="0"/>
              <w:rPr>
                <w:sz w:val="2"/>
                <w:szCs w:val="2"/>
                <w:color w:val="auto"/>
              </w:rPr>
            </w:pPr>
          </w:p>
        </w:tc>
        <w:tc>
          <w:tcPr>
            <w:tcW w:w="560" w:type="dxa"/>
            <w:vAlign w:val="bottom"/>
            <w:tcBorders>
              <w:bottom w:val="single" w:sz="8" w:color="001544"/>
            </w:tcBorders>
          </w:tcPr>
          <w:p>
            <w:pPr>
              <w:spacing w:after="0"/>
              <w:rPr>
                <w:sz w:val="2"/>
                <w:szCs w:val="2"/>
                <w:color w:val="auto"/>
              </w:rPr>
            </w:pPr>
          </w:p>
        </w:tc>
        <w:tc>
          <w:tcPr>
            <w:tcW w:w="800" w:type="dxa"/>
            <w:vAlign w:val="bottom"/>
            <w:tcBorders>
              <w:bottom w:val="single" w:sz="8" w:color="001544"/>
            </w:tcBorders>
          </w:tcPr>
          <w:p>
            <w:pPr>
              <w:spacing w:after="0"/>
              <w:rPr>
                <w:sz w:val="2"/>
                <w:szCs w:val="2"/>
                <w:color w:val="auto"/>
              </w:rPr>
            </w:pPr>
          </w:p>
        </w:tc>
        <w:tc>
          <w:tcPr>
            <w:tcW w:w="800" w:type="dxa"/>
            <w:vAlign w:val="bottom"/>
            <w:tcBorders>
              <w:bottom w:val="single" w:sz="8" w:color="001544"/>
            </w:tcBorders>
          </w:tcPr>
          <w:p>
            <w:pPr>
              <w:spacing w:after="0"/>
              <w:rPr>
                <w:sz w:val="2"/>
                <w:szCs w:val="2"/>
                <w:color w:val="auto"/>
              </w:rPr>
            </w:pPr>
          </w:p>
        </w:tc>
        <w:tc>
          <w:tcPr>
            <w:tcW w:w="160" w:type="dxa"/>
            <w:vAlign w:val="bottom"/>
            <w:tcBorders>
              <w:bottom w:val="single" w:sz="8" w:color="001544"/>
            </w:tcBorders>
          </w:tcPr>
          <w:p>
            <w:pPr>
              <w:spacing w:after="0"/>
              <w:rPr>
                <w:sz w:val="2"/>
                <w:szCs w:val="2"/>
                <w:color w:val="auto"/>
              </w:rPr>
            </w:pPr>
          </w:p>
        </w:tc>
        <w:tc>
          <w:tcPr>
            <w:tcW w:w="900" w:type="dxa"/>
            <w:vAlign w:val="bottom"/>
            <w:tcBorders>
              <w:bottom w:val="single" w:sz="8" w:color="001544"/>
            </w:tcBorders>
          </w:tcPr>
          <w:p>
            <w:pPr>
              <w:spacing w:after="0"/>
              <w:rPr>
                <w:sz w:val="2"/>
                <w:szCs w:val="2"/>
                <w:color w:val="auto"/>
              </w:rPr>
            </w:pPr>
          </w:p>
        </w:tc>
        <w:tc>
          <w:tcPr>
            <w:tcW w:w="1100" w:type="dxa"/>
            <w:vAlign w:val="bottom"/>
            <w:tcBorders>
              <w:bottom w:val="single" w:sz="8" w:color="001544"/>
            </w:tcBorders>
          </w:tcPr>
          <w:p>
            <w:pPr>
              <w:spacing w:after="0"/>
              <w:rPr>
                <w:sz w:val="2"/>
                <w:szCs w:val="2"/>
                <w:color w:val="auto"/>
              </w:rPr>
            </w:pPr>
          </w:p>
        </w:tc>
        <w:tc>
          <w:tcPr>
            <w:tcW w:w="1120" w:type="dxa"/>
            <w:vAlign w:val="bottom"/>
            <w:tcBorders>
              <w:bottom w:val="single" w:sz="8" w:color="001544"/>
            </w:tcBorders>
          </w:tcPr>
          <w:p>
            <w:pPr>
              <w:spacing w:after="0"/>
              <w:rPr>
                <w:sz w:val="2"/>
                <w:szCs w:val="2"/>
                <w:color w:val="auto"/>
              </w:rPr>
            </w:pPr>
          </w:p>
        </w:tc>
        <w:tc>
          <w:tcPr>
            <w:tcW w:w="180" w:type="dxa"/>
            <w:vAlign w:val="bottom"/>
            <w:tcBorders>
              <w:bottom w:val="single" w:sz="8" w:color="001544"/>
            </w:tcBorders>
          </w:tcPr>
          <w:p>
            <w:pPr>
              <w:spacing w:after="0"/>
              <w:rPr>
                <w:sz w:val="2"/>
                <w:szCs w:val="2"/>
                <w:color w:val="auto"/>
              </w:rPr>
            </w:pPr>
          </w:p>
        </w:tc>
        <w:tc>
          <w:tcPr>
            <w:tcW w:w="1040" w:type="dxa"/>
            <w:vAlign w:val="bottom"/>
            <w:tcBorders>
              <w:bottom w:val="single" w:sz="8" w:color="001544"/>
            </w:tcBorders>
          </w:tcPr>
          <w:p>
            <w:pPr>
              <w:spacing w:after="0"/>
              <w:rPr>
                <w:sz w:val="2"/>
                <w:szCs w:val="2"/>
                <w:color w:val="auto"/>
              </w:rPr>
            </w:pPr>
          </w:p>
        </w:tc>
      </w:tr>
      <w:tr>
        <w:trPr>
          <w:trHeight w:val="193"/>
        </w:trPr>
        <w:tc>
          <w:tcPr>
            <w:tcW w:w="2700" w:type="dxa"/>
            <w:vAlign w:val="bottom"/>
            <w:shd w:val="clear" w:color="auto" w:fill="DBDFEA"/>
          </w:tcPr>
          <w:p>
            <w:pPr>
              <w:ind w:left="100"/>
              <w:spacing w:after="0"/>
              <w:rPr>
                <w:sz w:val="20"/>
                <w:szCs w:val="20"/>
                <w:color w:val="auto"/>
              </w:rPr>
            </w:pPr>
            <w:r>
              <w:rPr>
                <w:rFonts w:ascii="Arial" w:cs="Arial" w:eastAsia="Arial" w:hAnsi="Arial"/>
                <w:sz w:val="13"/>
                <w:szCs w:val="13"/>
                <w:b w:val="1"/>
                <w:bCs w:val="1"/>
                <w:color w:val="auto"/>
              </w:rPr>
              <w:t>Marc C. Ganzi</w:t>
            </w:r>
          </w:p>
        </w:tc>
        <w:tc>
          <w:tcPr>
            <w:tcW w:w="660" w:type="dxa"/>
            <w:vAlign w:val="bottom"/>
            <w:gridSpan w:val="2"/>
            <w:shd w:val="clear" w:color="auto" w:fill="DBDFEA"/>
          </w:tcPr>
          <w:p>
            <w:pPr>
              <w:ind w:left="240"/>
              <w:spacing w:after="0"/>
              <w:rPr>
                <w:sz w:val="20"/>
                <w:szCs w:val="20"/>
                <w:color w:val="auto"/>
              </w:rPr>
            </w:pPr>
            <w:r>
              <w:rPr>
                <w:rFonts w:ascii="Arial" w:cs="Arial" w:eastAsia="Arial" w:hAnsi="Arial"/>
                <w:sz w:val="13"/>
                <w:szCs w:val="13"/>
                <w:color w:val="auto"/>
              </w:rPr>
              <w:t>2024</w:t>
            </w:r>
          </w:p>
        </w:tc>
        <w:tc>
          <w:tcPr>
            <w:tcW w:w="800" w:type="dxa"/>
            <w:vAlign w:val="bottom"/>
            <w:shd w:val="clear" w:color="auto" w:fill="DBDFEA"/>
          </w:tcPr>
          <w:p>
            <w:pPr>
              <w:jc w:val="right"/>
              <w:spacing w:after="0"/>
              <w:rPr>
                <w:sz w:val="20"/>
                <w:szCs w:val="20"/>
                <w:color w:val="auto"/>
              </w:rPr>
            </w:pPr>
            <w:r>
              <w:rPr>
                <w:rFonts w:ascii="Arial" w:cs="Arial" w:eastAsia="Arial" w:hAnsi="Arial"/>
                <w:sz w:val="13"/>
                <w:szCs w:val="13"/>
                <w:color w:val="auto"/>
              </w:rPr>
              <w:t>1,200,000</w:t>
            </w:r>
          </w:p>
        </w:tc>
        <w:tc>
          <w:tcPr>
            <w:tcW w:w="800" w:type="dxa"/>
            <w:vAlign w:val="bottom"/>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FEA"/>
          </w:tcPr>
          <w:p>
            <w:pPr>
              <w:spacing w:after="0"/>
              <w:rPr>
                <w:sz w:val="16"/>
                <w:szCs w:val="16"/>
                <w:color w:val="auto"/>
              </w:rPr>
            </w:pPr>
          </w:p>
        </w:tc>
        <w:tc>
          <w:tcPr>
            <w:tcW w:w="900" w:type="dxa"/>
            <w:vAlign w:val="bottom"/>
            <w:shd w:val="clear" w:color="auto" w:fill="DBDFEA"/>
          </w:tcPr>
          <w:p>
            <w:pPr>
              <w:jc w:val="right"/>
              <w:spacing w:after="0"/>
              <w:rPr>
                <w:sz w:val="20"/>
                <w:szCs w:val="20"/>
                <w:color w:val="auto"/>
              </w:rPr>
            </w:pPr>
            <w:r>
              <w:rPr>
                <w:rFonts w:ascii="Arial" w:cs="Arial" w:eastAsia="Arial" w:hAnsi="Arial"/>
                <w:sz w:val="13"/>
                <w:szCs w:val="13"/>
                <w:color w:val="auto"/>
              </w:rPr>
              <w:t>3,075,995</w:t>
            </w:r>
          </w:p>
        </w:tc>
        <w:tc>
          <w:tcPr>
            <w:tcW w:w="1100" w:type="dxa"/>
            <w:vAlign w:val="bottom"/>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DBDFEA"/>
          </w:tcPr>
          <w:p>
            <w:pPr>
              <w:jc w:val="right"/>
              <w:spacing w:after="0"/>
              <w:rPr>
                <w:sz w:val="20"/>
                <w:szCs w:val="20"/>
                <w:color w:val="auto"/>
              </w:rPr>
            </w:pPr>
            <w:r>
              <w:rPr>
                <w:rFonts w:ascii="Arial" w:cs="Arial" w:eastAsia="Arial" w:hAnsi="Arial"/>
                <w:sz w:val="13"/>
                <w:szCs w:val="13"/>
                <w:color w:val="auto"/>
              </w:rPr>
              <w:t>1,761,194</w:t>
            </w:r>
          </w:p>
        </w:tc>
        <w:tc>
          <w:tcPr>
            <w:tcW w:w="180" w:type="dxa"/>
            <w:vAlign w:val="bottom"/>
            <w:shd w:val="clear" w:color="auto" w:fill="DBDFEA"/>
          </w:tcPr>
          <w:p>
            <w:pPr>
              <w:jc w:val="right"/>
              <w:ind w:right="10"/>
              <w:spacing w:after="0"/>
              <w:rPr>
                <w:sz w:val="20"/>
                <w:szCs w:val="20"/>
                <w:color w:val="auto"/>
              </w:rPr>
            </w:pPr>
            <w:r>
              <w:rPr>
                <w:rFonts w:ascii="Arial" w:cs="Arial" w:eastAsia="Arial" w:hAnsi="Arial"/>
                <w:sz w:val="10"/>
                <w:szCs w:val="10"/>
                <w:color w:val="auto"/>
                <w:w w:val="81"/>
              </w:rPr>
              <w:t>(2)</w:t>
            </w:r>
          </w:p>
        </w:tc>
        <w:tc>
          <w:tcPr>
            <w:tcW w:w="1040" w:type="dxa"/>
            <w:vAlign w:val="bottom"/>
            <w:shd w:val="clear" w:color="auto" w:fill="DBDFEA"/>
          </w:tcPr>
          <w:p>
            <w:pPr>
              <w:jc w:val="right"/>
              <w:spacing w:after="0"/>
              <w:rPr>
                <w:sz w:val="20"/>
                <w:szCs w:val="20"/>
                <w:color w:val="auto"/>
              </w:rPr>
            </w:pPr>
            <w:r>
              <w:rPr>
                <w:rFonts w:ascii="Arial" w:cs="Arial" w:eastAsia="Arial" w:hAnsi="Arial"/>
                <w:sz w:val="13"/>
                <w:szCs w:val="13"/>
                <w:color w:val="auto"/>
              </w:rPr>
              <w:t>6,037,189</w:t>
            </w:r>
          </w:p>
        </w:tc>
      </w:tr>
      <w:tr>
        <w:trPr>
          <w:trHeight w:val="177"/>
        </w:trPr>
        <w:tc>
          <w:tcPr>
            <w:tcW w:w="2700" w:type="dxa"/>
            <w:vAlign w:val="bottom"/>
            <w:tcBorders>
              <w:top w:val="single" w:sz="8" w:color="DBDFEA"/>
              <w:bottom w:val="single" w:sz="8" w:color="DBDFEA"/>
            </w:tcBorders>
            <w:shd w:val="clear" w:color="auto" w:fill="DBDFEA"/>
          </w:tcPr>
          <w:p>
            <w:pPr>
              <w:ind w:left="100"/>
              <w:spacing w:after="0"/>
              <w:rPr>
                <w:sz w:val="20"/>
                <w:szCs w:val="20"/>
                <w:color w:val="auto"/>
              </w:rPr>
            </w:pPr>
            <w:r>
              <w:rPr>
                <w:rFonts w:ascii="Arial" w:cs="Arial" w:eastAsia="Arial" w:hAnsi="Arial"/>
                <w:sz w:val="13"/>
                <w:szCs w:val="13"/>
                <w:i w:val="1"/>
                <w:iCs w:val="1"/>
                <w:color w:val="auto"/>
              </w:rPr>
              <w:t>Chief Executive Officer</w:t>
            </w:r>
          </w:p>
        </w:tc>
        <w:tc>
          <w:tcPr>
            <w:tcW w:w="100" w:type="dxa"/>
            <w:vAlign w:val="bottom"/>
            <w:tcBorders>
              <w:top w:val="single" w:sz="8" w:color="DBDFEA"/>
              <w:bottom w:val="single" w:sz="8" w:color="DBDFEA"/>
            </w:tcBorders>
            <w:shd w:val="clear" w:color="auto" w:fill="DBDFEA"/>
          </w:tcPr>
          <w:p>
            <w:pPr>
              <w:spacing w:after="0"/>
              <w:rPr>
                <w:sz w:val="15"/>
                <w:szCs w:val="15"/>
                <w:color w:val="auto"/>
              </w:rPr>
            </w:pPr>
          </w:p>
        </w:tc>
        <w:tc>
          <w:tcPr>
            <w:tcW w:w="560" w:type="dxa"/>
            <w:vAlign w:val="bottom"/>
            <w:tcBorders>
              <w:top w:val="single" w:sz="8" w:color="008861"/>
              <w:bottom w:val="single" w:sz="8" w:color="008861"/>
            </w:tcBorders>
            <w:shd w:val="clear" w:color="auto" w:fill="DBDFEA"/>
          </w:tcPr>
          <w:p>
            <w:pPr>
              <w:ind w:left="140"/>
              <w:spacing w:after="0"/>
              <w:rPr>
                <w:sz w:val="20"/>
                <w:szCs w:val="20"/>
                <w:color w:val="auto"/>
              </w:rPr>
            </w:pPr>
            <w:r>
              <w:rPr>
                <w:rFonts w:ascii="Arial" w:cs="Arial" w:eastAsia="Arial" w:hAnsi="Arial"/>
                <w:sz w:val="13"/>
                <w:szCs w:val="13"/>
                <w:color w:val="auto"/>
              </w:rPr>
              <w:t>2023</w:t>
            </w:r>
          </w:p>
        </w:tc>
        <w:tc>
          <w:tcPr>
            <w:tcW w:w="80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1,200,000</w:t>
            </w:r>
          </w:p>
        </w:tc>
        <w:tc>
          <w:tcPr>
            <w:tcW w:w="80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500,000</w:t>
            </w:r>
          </w:p>
        </w:tc>
        <w:tc>
          <w:tcPr>
            <w:tcW w:w="160" w:type="dxa"/>
            <w:vAlign w:val="bottom"/>
            <w:tcBorders>
              <w:top w:val="single" w:sz="8" w:color="008861"/>
              <w:bottom w:val="single" w:sz="8" w:color="008861"/>
            </w:tcBorders>
            <w:shd w:val="clear" w:color="auto" w:fill="DBDFEA"/>
          </w:tcPr>
          <w:p>
            <w:pPr>
              <w:spacing w:after="0"/>
              <w:rPr>
                <w:sz w:val="15"/>
                <w:szCs w:val="15"/>
                <w:color w:val="auto"/>
              </w:rPr>
            </w:pPr>
          </w:p>
        </w:tc>
        <w:tc>
          <w:tcPr>
            <w:tcW w:w="90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2,597,650</w:t>
            </w:r>
          </w:p>
        </w:tc>
        <w:tc>
          <w:tcPr>
            <w:tcW w:w="110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1,918,188</w:t>
            </w:r>
          </w:p>
        </w:tc>
        <w:tc>
          <w:tcPr>
            <w:tcW w:w="112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1,566,713</w:t>
            </w:r>
          </w:p>
        </w:tc>
        <w:tc>
          <w:tcPr>
            <w:tcW w:w="180" w:type="dxa"/>
            <w:vAlign w:val="bottom"/>
            <w:tcBorders>
              <w:top w:val="single" w:sz="8" w:color="008861"/>
              <w:bottom w:val="single" w:sz="8" w:color="008861"/>
            </w:tcBorders>
            <w:shd w:val="clear" w:color="auto" w:fill="DBDFEA"/>
          </w:tcPr>
          <w:p>
            <w:pPr>
              <w:spacing w:after="0"/>
              <w:rPr>
                <w:sz w:val="15"/>
                <w:szCs w:val="15"/>
                <w:color w:val="auto"/>
              </w:rPr>
            </w:pPr>
          </w:p>
        </w:tc>
        <w:tc>
          <w:tcPr>
            <w:tcW w:w="104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7,782,550</w:t>
            </w:r>
          </w:p>
        </w:tc>
      </w:tr>
      <w:tr>
        <w:trPr>
          <w:trHeight w:val="181"/>
        </w:trPr>
        <w:tc>
          <w:tcPr>
            <w:tcW w:w="270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560" w:type="dxa"/>
            <w:vAlign w:val="bottom"/>
            <w:tcBorders>
              <w:bottom w:val="single" w:sz="8" w:color="001544"/>
            </w:tcBorders>
            <w:shd w:val="clear" w:color="auto" w:fill="DBDFEA"/>
          </w:tcPr>
          <w:p>
            <w:pPr>
              <w:ind w:left="140"/>
              <w:spacing w:after="0"/>
              <w:rPr>
                <w:sz w:val="20"/>
                <w:szCs w:val="20"/>
                <w:color w:val="auto"/>
              </w:rPr>
            </w:pPr>
            <w:r>
              <w:rPr>
                <w:rFonts w:ascii="Arial" w:cs="Arial" w:eastAsia="Arial" w:hAnsi="Arial"/>
                <w:sz w:val="13"/>
                <w:szCs w:val="13"/>
                <w:color w:val="auto"/>
              </w:rPr>
              <w:t>2022</w:t>
            </w: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1,200,000</w:t>
            </w: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001544"/>
            </w:tcBorders>
            <w:shd w:val="clear" w:color="auto" w:fill="DBDFEA"/>
          </w:tcPr>
          <w:p>
            <w:pPr>
              <w:spacing w:after="0"/>
              <w:rPr>
                <w:sz w:val="15"/>
                <w:szCs w:val="15"/>
                <w:color w:val="auto"/>
              </w:rPr>
            </w:pPr>
          </w:p>
        </w:tc>
        <w:tc>
          <w:tcPr>
            <w:tcW w:w="9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7,246,051</w:t>
            </w: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1,697,189</w:t>
            </w:r>
          </w:p>
        </w:tc>
        <w:tc>
          <w:tcPr>
            <w:tcW w:w="11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28,178,268</w:t>
            </w:r>
          </w:p>
        </w:tc>
        <w:tc>
          <w:tcPr>
            <w:tcW w:w="180" w:type="dxa"/>
            <w:vAlign w:val="bottom"/>
            <w:tcBorders>
              <w:bottom w:val="single" w:sz="8" w:color="001544"/>
            </w:tcBorders>
            <w:shd w:val="clear" w:color="auto" w:fill="DBDFEA"/>
          </w:tcPr>
          <w:p>
            <w:pPr>
              <w:spacing w:after="0"/>
              <w:rPr>
                <w:sz w:val="15"/>
                <w:szCs w:val="15"/>
                <w:color w:val="auto"/>
              </w:rPr>
            </w:pPr>
          </w:p>
        </w:tc>
        <w:tc>
          <w:tcPr>
            <w:tcW w:w="10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38,321,508</w:t>
            </w:r>
          </w:p>
        </w:tc>
      </w:tr>
      <w:tr>
        <w:trPr>
          <w:trHeight w:val="197"/>
        </w:trPr>
        <w:tc>
          <w:tcPr>
            <w:tcW w:w="270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3"/>
                <w:szCs w:val="13"/>
                <w:b w:val="1"/>
                <w:bCs w:val="1"/>
                <w:color w:val="auto"/>
              </w:rPr>
              <w:t>Benjamin J. Jenkins</w:t>
            </w:r>
          </w:p>
        </w:tc>
        <w:tc>
          <w:tcPr>
            <w:tcW w:w="100" w:type="dxa"/>
            <w:vAlign w:val="bottom"/>
            <w:tcBorders>
              <w:bottom w:val="single" w:sz="8" w:color="DBDFEA"/>
            </w:tcBorders>
            <w:shd w:val="clear" w:color="auto" w:fill="DBDFEA"/>
          </w:tcPr>
          <w:p>
            <w:pPr>
              <w:spacing w:after="0"/>
              <w:rPr>
                <w:sz w:val="17"/>
                <w:szCs w:val="17"/>
                <w:color w:val="auto"/>
              </w:rPr>
            </w:pPr>
          </w:p>
        </w:tc>
        <w:tc>
          <w:tcPr>
            <w:tcW w:w="560" w:type="dxa"/>
            <w:vAlign w:val="bottom"/>
            <w:tcBorders>
              <w:bottom w:val="single" w:sz="8" w:color="008861"/>
            </w:tcBorders>
            <w:shd w:val="clear" w:color="auto" w:fill="DBDFEA"/>
          </w:tcPr>
          <w:p>
            <w:pPr>
              <w:ind w:left="140"/>
              <w:spacing w:after="0"/>
              <w:rPr>
                <w:sz w:val="20"/>
                <w:szCs w:val="20"/>
                <w:color w:val="auto"/>
              </w:rPr>
            </w:pPr>
            <w:r>
              <w:rPr>
                <w:rFonts w:ascii="Arial" w:cs="Arial" w:eastAsia="Arial" w:hAnsi="Arial"/>
                <w:sz w:val="13"/>
                <w:szCs w:val="13"/>
                <w:color w:val="auto"/>
              </w:rPr>
              <w:t>2024</w:t>
            </w:r>
          </w:p>
        </w:tc>
        <w:tc>
          <w:tcPr>
            <w:tcW w:w="8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700,000</w:t>
            </w:r>
          </w:p>
        </w:tc>
        <w:tc>
          <w:tcPr>
            <w:tcW w:w="8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008861"/>
            </w:tcBorders>
            <w:shd w:val="clear" w:color="auto" w:fill="DBDFEA"/>
          </w:tcPr>
          <w:p>
            <w:pPr>
              <w:spacing w:after="0"/>
              <w:rPr>
                <w:sz w:val="17"/>
                <w:szCs w:val="17"/>
                <w:color w:val="auto"/>
              </w:rPr>
            </w:pPr>
          </w:p>
        </w:tc>
        <w:tc>
          <w:tcPr>
            <w:tcW w:w="9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1,697,820</w:t>
            </w:r>
          </w:p>
        </w:tc>
        <w:tc>
          <w:tcPr>
            <w:tcW w:w="11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372,214</w:t>
            </w:r>
          </w:p>
        </w:tc>
        <w:tc>
          <w:tcPr>
            <w:tcW w:w="180" w:type="dxa"/>
            <w:vAlign w:val="bottom"/>
            <w:tcBorders>
              <w:bottom w:val="single" w:sz="8" w:color="008861"/>
            </w:tcBorders>
            <w:shd w:val="clear" w:color="auto" w:fill="DBDFEA"/>
          </w:tcPr>
          <w:p>
            <w:pPr>
              <w:jc w:val="right"/>
              <w:ind w:right="10"/>
              <w:spacing w:after="0"/>
              <w:rPr>
                <w:sz w:val="20"/>
                <w:szCs w:val="20"/>
                <w:color w:val="auto"/>
              </w:rPr>
            </w:pPr>
            <w:r>
              <w:rPr>
                <w:rFonts w:ascii="Arial" w:cs="Arial" w:eastAsia="Arial" w:hAnsi="Arial"/>
                <w:sz w:val="10"/>
                <w:szCs w:val="10"/>
                <w:color w:val="auto"/>
                <w:w w:val="81"/>
              </w:rPr>
              <w:t>(2)</w:t>
            </w:r>
          </w:p>
        </w:tc>
        <w:tc>
          <w:tcPr>
            <w:tcW w:w="104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2,770,034</w:t>
            </w:r>
          </w:p>
        </w:tc>
      </w:tr>
      <w:tr>
        <w:trPr>
          <w:trHeight w:val="177"/>
        </w:trPr>
        <w:tc>
          <w:tcPr>
            <w:tcW w:w="270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3"/>
                <w:szCs w:val="13"/>
                <w:i w:val="1"/>
                <w:iCs w:val="1"/>
                <w:color w:val="auto"/>
              </w:rPr>
              <w:t>President and Chief Investment Officer</w:t>
            </w:r>
          </w:p>
        </w:tc>
        <w:tc>
          <w:tcPr>
            <w:tcW w:w="100" w:type="dxa"/>
            <w:vAlign w:val="bottom"/>
            <w:tcBorders>
              <w:bottom w:val="single" w:sz="8" w:color="DBDFEA"/>
            </w:tcBorders>
            <w:shd w:val="clear" w:color="auto" w:fill="DBDFEA"/>
          </w:tcPr>
          <w:p>
            <w:pPr>
              <w:spacing w:after="0"/>
              <w:rPr>
                <w:sz w:val="15"/>
                <w:szCs w:val="15"/>
                <w:color w:val="auto"/>
              </w:rPr>
            </w:pPr>
          </w:p>
        </w:tc>
        <w:tc>
          <w:tcPr>
            <w:tcW w:w="560" w:type="dxa"/>
            <w:vAlign w:val="bottom"/>
            <w:tcBorders>
              <w:bottom w:val="single" w:sz="8" w:color="00B050"/>
            </w:tcBorders>
            <w:shd w:val="clear" w:color="auto" w:fill="DBDFEA"/>
          </w:tcPr>
          <w:p>
            <w:pPr>
              <w:ind w:left="140"/>
              <w:spacing w:after="0"/>
              <w:rPr>
                <w:sz w:val="20"/>
                <w:szCs w:val="20"/>
                <w:color w:val="auto"/>
              </w:rPr>
            </w:pPr>
            <w:r>
              <w:rPr>
                <w:rFonts w:ascii="Arial" w:cs="Arial" w:eastAsia="Arial" w:hAnsi="Arial"/>
                <w:sz w:val="13"/>
                <w:szCs w:val="13"/>
                <w:color w:val="auto"/>
              </w:rPr>
              <w:t>2023</w:t>
            </w:r>
          </w:p>
        </w:tc>
        <w:tc>
          <w:tcPr>
            <w:tcW w:w="80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700,000</w:t>
            </w:r>
          </w:p>
        </w:tc>
        <w:tc>
          <w:tcPr>
            <w:tcW w:w="80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00B050"/>
            </w:tcBorders>
            <w:shd w:val="clear" w:color="auto" w:fill="DBDFEA"/>
          </w:tcPr>
          <w:p>
            <w:pPr>
              <w:spacing w:after="0"/>
              <w:rPr>
                <w:sz w:val="15"/>
                <w:szCs w:val="15"/>
                <w:color w:val="auto"/>
              </w:rPr>
            </w:pPr>
          </w:p>
        </w:tc>
        <w:tc>
          <w:tcPr>
            <w:tcW w:w="90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1,632,608</w:t>
            </w:r>
          </w:p>
        </w:tc>
        <w:tc>
          <w:tcPr>
            <w:tcW w:w="110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932,453</w:t>
            </w:r>
          </w:p>
        </w:tc>
        <w:tc>
          <w:tcPr>
            <w:tcW w:w="112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357,887</w:t>
            </w:r>
          </w:p>
        </w:tc>
        <w:tc>
          <w:tcPr>
            <w:tcW w:w="180" w:type="dxa"/>
            <w:vAlign w:val="bottom"/>
            <w:tcBorders>
              <w:bottom w:val="single" w:sz="8" w:color="00B050"/>
            </w:tcBorders>
            <w:shd w:val="clear" w:color="auto" w:fill="DBDFEA"/>
          </w:tcPr>
          <w:p>
            <w:pPr>
              <w:spacing w:after="0"/>
              <w:rPr>
                <w:sz w:val="15"/>
                <w:szCs w:val="15"/>
                <w:color w:val="auto"/>
              </w:rPr>
            </w:pPr>
          </w:p>
        </w:tc>
        <w:tc>
          <w:tcPr>
            <w:tcW w:w="104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3,622,948</w:t>
            </w:r>
          </w:p>
        </w:tc>
      </w:tr>
      <w:tr>
        <w:trPr>
          <w:trHeight w:val="181"/>
        </w:trPr>
        <w:tc>
          <w:tcPr>
            <w:tcW w:w="270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560" w:type="dxa"/>
            <w:vAlign w:val="bottom"/>
            <w:tcBorders>
              <w:bottom w:val="single" w:sz="8" w:color="001544"/>
            </w:tcBorders>
            <w:shd w:val="clear" w:color="auto" w:fill="DBDFEA"/>
          </w:tcPr>
          <w:p>
            <w:pPr>
              <w:ind w:left="140"/>
              <w:spacing w:after="0"/>
              <w:rPr>
                <w:sz w:val="20"/>
                <w:szCs w:val="20"/>
                <w:color w:val="auto"/>
              </w:rPr>
            </w:pPr>
            <w:r>
              <w:rPr>
                <w:rFonts w:ascii="Arial" w:cs="Arial" w:eastAsia="Arial" w:hAnsi="Arial"/>
                <w:sz w:val="13"/>
                <w:szCs w:val="13"/>
                <w:color w:val="auto"/>
              </w:rPr>
              <w:t>2022</w:t>
            </w: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700,000</w:t>
            </w: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001544"/>
            </w:tcBorders>
            <w:shd w:val="clear" w:color="auto" w:fill="DBDFEA"/>
          </w:tcPr>
          <w:p>
            <w:pPr>
              <w:spacing w:after="0"/>
              <w:rPr>
                <w:sz w:val="15"/>
                <w:szCs w:val="15"/>
                <w:color w:val="auto"/>
              </w:rPr>
            </w:pPr>
          </w:p>
        </w:tc>
        <w:tc>
          <w:tcPr>
            <w:tcW w:w="9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424,552</w:t>
            </w: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492,888</w:t>
            </w:r>
          </w:p>
        </w:tc>
        <w:tc>
          <w:tcPr>
            <w:tcW w:w="11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18,253,513</w:t>
            </w:r>
          </w:p>
        </w:tc>
        <w:tc>
          <w:tcPr>
            <w:tcW w:w="180" w:type="dxa"/>
            <w:vAlign w:val="bottom"/>
            <w:tcBorders>
              <w:bottom w:val="single" w:sz="8" w:color="001544"/>
            </w:tcBorders>
            <w:shd w:val="clear" w:color="auto" w:fill="DBDFEA"/>
          </w:tcPr>
          <w:p>
            <w:pPr>
              <w:spacing w:after="0"/>
              <w:rPr>
                <w:sz w:val="15"/>
                <w:szCs w:val="15"/>
                <w:color w:val="auto"/>
              </w:rPr>
            </w:pPr>
          </w:p>
        </w:tc>
        <w:tc>
          <w:tcPr>
            <w:tcW w:w="10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19,870,954</w:t>
            </w:r>
          </w:p>
        </w:tc>
      </w:tr>
      <w:tr>
        <w:trPr>
          <w:trHeight w:val="197"/>
        </w:trPr>
        <w:tc>
          <w:tcPr>
            <w:tcW w:w="270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3"/>
                <w:szCs w:val="13"/>
                <w:b w:val="1"/>
                <w:bCs w:val="1"/>
                <w:color w:val="auto"/>
              </w:rPr>
              <w:t>Thomas Mayrhofer</w:t>
            </w:r>
          </w:p>
        </w:tc>
        <w:tc>
          <w:tcPr>
            <w:tcW w:w="100" w:type="dxa"/>
            <w:vAlign w:val="bottom"/>
            <w:tcBorders>
              <w:bottom w:val="single" w:sz="8" w:color="DBDFEA"/>
            </w:tcBorders>
            <w:shd w:val="clear" w:color="auto" w:fill="DBDFEA"/>
          </w:tcPr>
          <w:p>
            <w:pPr>
              <w:spacing w:after="0"/>
              <w:rPr>
                <w:sz w:val="17"/>
                <w:szCs w:val="17"/>
                <w:color w:val="auto"/>
              </w:rPr>
            </w:pPr>
          </w:p>
        </w:tc>
        <w:tc>
          <w:tcPr>
            <w:tcW w:w="560" w:type="dxa"/>
            <w:vAlign w:val="bottom"/>
            <w:tcBorders>
              <w:bottom w:val="single" w:sz="8" w:color="00B050"/>
            </w:tcBorders>
            <w:shd w:val="clear" w:color="auto" w:fill="DBDFEA"/>
          </w:tcPr>
          <w:p>
            <w:pPr>
              <w:ind w:left="140"/>
              <w:spacing w:after="0"/>
              <w:rPr>
                <w:sz w:val="20"/>
                <w:szCs w:val="20"/>
                <w:color w:val="auto"/>
              </w:rPr>
            </w:pPr>
            <w:r>
              <w:rPr>
                <w:rFonts w:ascii="Arial" w:cs="Arial" w:eastAsia="Arial" w:hAnsi="Arial"/>
                <w:sz w:val="13"/>
                <w:szCs w:val="13"/>
                <w:color w:val="auto"/>
              </w:rPr>
              <w:t>2024</w:t>
            </w:r>
          </w:p>
        </w:tc>
        <w:tc>
          <w:tcPr>
            <w:tcW w:w="80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686,987</w:t>
            </w:r>
          </w:p>
        </w:tc>
        <w:tc>
          <w:tcPr>
            <w:tcW w:w="80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1,400,000</w:t>
            </w:r>
          </w:p>
        </w:tc>
        <w:tc>
          <w:tcPr>
            <w:tcW w:w="16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0"/>
                <w:szCs w:val="10"/>
                <w:color w:val="auto"/>
                <w:w w:val="97"/>
              </w:rPr>
              <w:t>(3)</w:t>
            </w:r>
          </w:p>
        </w:tc>
        <w:tc>
          <w:tcPr>
            <w:tcW w:w="90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1,700,000</w:t>
            </w:r>
          </w:p>
        </w:tc>
        <w:tc>
          <w:tcPr>
            <w:tcW w:w="110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128,660</w:t>
            </w:r>
          </w:p>
        </w:tc>
        <w:tc>
          <w:tcPr>
            <w:tcW w:w="180" w:type="dxa"/>
            <w:vAlign w:val="bottom"/>
            <w:tcBorders>
              <w:bottom w:val="single" w:sz="8" w:color="00B050"/>
            </w:tcBorders>
            <w:shd w:val="clear" w:color="auto" w:fill="DBDFEA"/>
          </w:tcPr>
          <w:p>
            <w:pPr>
              <w:spacing w:after="0"/>
              <w:rPr>
                <w:sz w:val="17"/>
                <w:szCs w:val="17"/>
                <w:color w:val="auto"/>
              </w:rPr>
            </w:pPr>
          </w:p>
        </w:tc>
        <w:tc>
          <w:tcPr>
            <w:tcW w:w="104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3,915,646</w:t>
            </w:r>
          </w:p>
        </w:tc>
      </w:tr>
      <w:tr>
        <w:trPr>
          <w:trHeight w:val="177"/>
        </w:trPr>
        <w:tc>
          <w:tcPr>
            <w:tcW w:w="270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3"/>
                <w:szCs w:val="13"/>
                <w:i w:val="1"/>
                <w:iCs w:val="1"/>
                <w:color w:val="auto"/>
              </w:rPr>
              <w:t>Chief Financial Officer and Treasurer</w:t>
            </w:r>
          </w:p>
        </w:tc>
        <w:tc>
          <w:tcPr>
            <w:tcW w:w="100" w:type="dxa"/>
            <w:vAlign w:val="bottom"/>
            <w:tcBorders>
              <w:bottom w:val="single" w:sz="8" w:color="001544"/>
            </w:tcBorders>
            <w:shd w:val="clear" w:color="auto" w:fill="DBDFEA"/>
          </w:tcPr>
          <w:p>
            <w:pPr>
              <w:spacing w:after="0"/>
              <w:rPr>
                <w:sz w:val="15"/>
                <w:szCs w:val="15"/>
                <w:color w:val="auto"/>
              </w:rPr>
            </w:pPr>
          </w:p>
        </w:tc>
        <w:tc>
          <w:tcPr>
            <w:tcW w:w="560" w:type="dxa"/>
            <w:vAlign w:val="bottom"/>
            <w:tcBorders>
              <w:bottom w:val="single" w:sz="8" w:color="auto"/>
            </w:tcBorders>
            <w:shd w:val="clear" w:color="auto" w:fill="DBDFEA"/>
          </w:tcPr>
          <w:p>
            <w:pPr>
              <w:spacing w:after="0"/>
              <w:rPr>
                <w:sz w:val="15"/>
                <w:szCs w:val="15"/>
                <w:color w:val="auto"/>
              </w:rPr>
            </w:pPr>
          </w:p>
        </w:tc>
        <w:tc>
          <w:tcPr>
            <w:tcW w:w="800" w:type="dxa"/>
            <w:vAlign w:val="bottom"/>
            <w:tcBorders>
              <w:bottom w:val="single" w:sz="8" w:color="auto"/>
            </w:tcBorders>
            <w:shd w:val="clear" w:color="auto" w:fill="DBDFEA"/>
          </w:tcPr>
          <w:p>
            <w:pPr>
              <w:spacing w:after="0"/>
              <w:rPr>
                <w:sz w:val="15"/>
                <w:szCs w:val="15"/>
                <w:color w:val="auto"/>
              </w:rPr>
            </w:pPr>
          </w:p>
        </w:tc>
        <w:tc>
          <w:tcPr>
            <w:tcW w:w="800" w:type="dxa"/>
            <w:vAlign w:val="bottom"/>
            <w:tcBorders>
              <w:bottom w:val="single" w:sz="8" w:color="auto"/>
            </w:tcBorders>
            <w:shd w:val="clear" w:color="auto" w:fill="DBDFEA"/>
          </w:tcPr>
          <w:p>
            <w:pPr>
              <w:spacing w:after="0"/>
              <w:rPr>
                <w:sz w:val="15"/>
                <w:szCs w:val="15"/>
                <w:color w:val="auto"/>
              </w:rPr>
            </w:pPr>
          </w:p>
        </w:tc>
        <w:tc>
          <w:tcPr>
            <w:tcW w:w="160" w:type="dxa"/>
            <w:vAlign w:val="bottom"/>
            <w:tcBorders>
              <w:bottom w:val="single" w:sz="8" w:color="auto"/>
            </w:tcBorders>
            <w:shd w:val="clear" w:color="auto" w:fill="DBDFEA"/>
          </w:tcPr>
          <w:p>
            <w:pPr>
              <w:spacing w:after="0"/>
              <w:rPr>
                <w:sz w:val="15"/>
                <w:szCs w:val="15"/>
                <w:color w:val="auto"/>
              </w:rPr>
            </w:pPr>
          </w:p>
        </w:tc>
        <w:tc>
          <w:tcPr>
            <w:tcW w:w="900" w:type="dxa"/>
            <w:vAlign w:val="bottom"/>
            <w:tcBorders>
              <w:bottom w:val="single" w:sz="8" w:color="auto"/>
            </w:tcBorders>
            <w:shd w:val="clear" w:color="auto" w:fill="DBDFEA"/>
          </w:tcPr>
          <w:p>
            <w:pPr>
              <w:spacing w:after="0"/>
              <w:rPr>
                <w:sz w:val="15"/>
                <w:szCs w:val="15"/>
                <w:color w:val="auto"/>
              </w:rPr>
            </w:pPr>
          </w:p>
        </w:tc>
        <w:tc>
          <w:tcPr>
            <w:tcW w:w="1100" w:type="dxa"/>
            <w:vAlign w:val="bottom"/>
            <w:tcBorders>
              <w:bottom w:val="single" w:sz="8" w:color="auto"/>
            </w:tcBorders>
            <w:shd w:val="clear" w:color="auto" w:fill="DBDFEA"/>
          </w:tcPr>
          <w:p>
            <w:pPr>
              <w:spacing w:after="0"/>
              <w:rPr>
                <w:sz w:val="15"/>
                <w:szCs w:val="15"/>
                <w:color w:val="auto"/>
              </w:rPr>
            </w:pPr>
          </w:p>
        </w:tc>
        <w:tc>
          <w:tcPr>
            <w:tcW w:w="1120" w:type="dxa"/>
            <w:vAlign w:val="bottom"/>
            <w:tcBorders>
              <w:bottom w:val="single" w:sz="8" w:color="auto"/>
            </w:tcBorders>
            <w:shd w:val="clear" w:color="auto" w:fill="DBDFEA"/>
          </w:tcPr>
          <w:p>
            <w:pPr>
              <w:spacing w:after="0"/>
              <w:rPr>
                <w:sz w:val="15"/>
                <w:szCs w:val="15"/>
                <w:color w:val="auto"/>
              </w:rPr>
            </w:pPr>
          </w:p>
        </w:tc>
        <w:tc>
          <w:tcPr>
            <w:tcW w:w="180" w:type="dxa"/>
            <w:vAlign w:val="bottom"/>
            <w:tcBorders>
              <w:bottom w:val="single" w:sz="8" w:color="auto"/>
            </w:tcBorders>
            <w:shd w:val="clear" w:color="auto" w:fill="DBDFEA"/>
          </w:tcPr>
          <w:p>
            <w:pPr>
              <w:spacing w:after="0"/>
              <w:rPr>
                <w:sz w:val="15"/>
                <w:szCs w:val="15"/>
                <w:color w:val="auto"/>
              </w:rPr>
            </w:pPr>
          </w:p>
        </w:tc>
        <w:tc>
          <w:tcPr>
            <w:tcW w:w="1040" w:type="dxa"/>
            <w:vAlign w:val="bottom"/>
            <w:tcBorders>
              <w:bottom w:val="single" w:sz="8" w:color="auto"/>
            </w:tcBorders>
            <w:shd w:val="clear" w:color="auto" w:fill="DBDFEA"/>
          </w:tcPr>
          <w:p>
            <w:pPr>
              <w:spacing w:after="0"/>
              <w:rPr>
                <w:sz w:val="15"/>
                <w:szCs w:val="15"/>
                <w:color w:val="auto"/>
              </w:rPr>
            </w:pPr>
          </w:p>
        </w:tc>
      </w:tr>
      <w:tr>
        <w:trPr>
          <w:trHeight w:val="197"/>
        </w:trPr>
        <w:tc>
          <w:tcPr>
            <w:tcW w:w="270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3"/>
                <w:szCs w:val="13"/>
                <w:b w:val="1"/>
                <w:bCs w:val="1"/>
                <w:color w:val="auto"/>
              </w:rPr>
              <w:t>Geoffrey Goldschein</w:t>
            </w:r>
          </w:p>
        </w:tc>
        <w:tc>
          <w:tcPr>
            <w:tcW w:w="100" w:type="dxa"/>
            <w:vAlign w:val="bottom"/>
            <w:tcBorders>
              <w:bottom w:val="single" w:sz="8" w:color="DBDFEA"/>
            </w:tcBorders>
            <w:shd w:val="clear" w:color="auto" w:fill="DBDFEA"/>
          </w:tcPr>
          <w:p>
            <w:pPr>
              <w:spacing w:after="0"/>
              <w:rPr>
                <w:sz w:val="17"/>
                <w:szCs w:val="17"/>
                <w:color w:val="auto"/>
              </w:rPr>
            </w:pPr>
          </w:p>
        </w:tc>
        <w:tc>
          <w:tcPr>
            <w:tcW w:w="560" w:type="dxa"/>
            <w:vAlign w:val="bottom"/>
            <w:tcBorders>
              <w:bottom w:val="single" w:sz="8" w:color="008861"/>
            </w:tcBorders>
            <w:shd w:val="clear" w:color="auto" w:fill="DBDFEA"/>
          </w:tcPr>
          <w:p>
            <w:pPr>
              <w:ind w:left="140"/>
              <w:spacing w:after="0"/>
              <w:rPr>
                <w:sz w:val="20"/>
                <w:szCs w:val="20"/>
                <w:color w:val="auto"/>
              </w:rPr>
            </w:pPr>
            <w:r>
              <w:rPr>
                <w:rFonts w:ascii="Arial" w:cs="Arial" w:eastAsia="Arial" w:hAnsi="Arial"/>
                <w:sz w:val="13"/>
                <w:szCs w:val="13"/>
                <w:color w:val="auto"/>
              </w:rPr>
              <w:t>2024</w:t>
            </w:r>
          </w:p>
        </w:tc>
        <w:tc>
          <w:tcPr>
            <w:tcW w:w="8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575,000</w:t>
            </w:r>
          </w:p>
        </w:tc>
        <w:tc>
          <w:tcPr>
            <w:tcW w:w="8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008861"/>
            </w:tcBorders>
            <w:shd w:val="clear" w:color="auto" w:fill="DBDFEA"/>
          </w:tcPr>
          <w:p>
            <w:pPr>
              <w:spacing w:after="0"/>
              <w:rPr>
                <w:sz w:val="17"/>
                <w:szCs w:val="17"/>
                <w:color w:val="auto"/>
              </w:rPr>
            </w:pPr>
          </w:p>
        </w:tc>
        <w:tc>
          <w:tcPr>
            <w:tcW w:w="9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1,046,997</w:t>
            </w:r>
          </w:p>
        </w:tc>
        <w:tc>
          <w:tcPr>
            <w:tcW w:w="11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96,452</w:t>
            </w:r>
          </w:p>
        </w:tc>
        <w:tc>
          <w:tcPr>
            <w:tcW w:w="180" w:type="dxa"/>
            <w:vAlign w:val="bottom"/>
            <w:tcBorders>
              <w:bottom w:val="single" w:sz="8" w:color="008861"/>
            </w:tcBorders>
            <w:shd w:val="clear" w:color="auto" w:fill="DBDFEA"/>
          </w:tcPr>
          <w:p>
            <w:pPr>
              <w:jc w:val="right"/>
              <w:ind w:right="10"/>
              <w:spacing w:after="0"/>
              <w:rPr>
                <w:sz w:val="20"/>
                <w:szCs w:val="20"/>
                <w:color w:val="auto"/>
              </w:rPr>
            </w:pPr>
            <w:r>
              <w:rPr>
                <w:rFonts w:ascii="Arial" w:cs="Arial" w:eastAsia="Arial" w:hAnsi="Arial"/>
                <w:sz w:val="10"/>
                <w:szCs w:val="10"/>
                <w:color w:val="auto"/>
                <w:w w:val="81"/>
              </w:rPr>
              <w:t>(2)</w:t>
            </w:r>
          </w:p>
        </w:tc>
        <w:tc>
          <w:tcPr>
            <w:tcW w:w="104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1,718,449</w:t>
            </w:r>
          </w:p>
        </w:tc>
      </w:tr>
      <w:tr>
        <w:trPr>
          <w:trHeight w:val="177"/>
        </w:trPr>
        <w:tc>
          <w:tcPr>
            <w:tcW w:w="270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3"/>
                <w:szCs w:val="13"/>
                <w:i w:val="1"/>
                <w:iCs w:val="1"/>
                <w:color w:val="auto"/>
              </w:rPr>
              <w:t>Chief Legal Officer and Secretary</w:t>
            </w:r>
          </w:p>
        </w:tc>
        <w:tc>
          <w:tcPr>
            <w:tcW w:w="100" w:type="dxa"/>
            <w:vAlign w:val="bottom"/>
            <w:tcBorders>
              <w:bottom w:val="single" w:sz="8" w:color="001544"/>
            </w:tcBorders>
            <w:shd w:val="clear" w:color="auto" w:fill="DBDFEA"/>
          </w:tcPr>
          <w:p>
            <w:pPr>
              <w:spacing w:after="0"/>
              <w:rPr>
                <w:sz w:val="15"/>
                <w:szCs w:val="15"/>
                <w:color w:val="auto"/>
              </w:rPr>
            </w:pPr>
          </w:p>
        </w:tc>
        <w:tc>
          <w:tcPr>
            <w:tcW w:w="560" w:type="dxa"/>
            <w:vAlign w:val="bottom"/>
            <w:tcBorders>
              <w:bottom w:val="single" w:sz="8" w:color="001544"/>
            </w:tcBorders>
            <w:shd w:val="clear" w:color="auto" w:fill="DBDFEA"/>
          </w:tcPr>
          <w:p>
            <w:pPr>
              <w:ind w:left="140"/>
              <w:spacing w:after="0"/>
              <w:rPr>
                <w:sz w:val="20"/>
                <w:szCs w:val="20"/>
                <w:color w:val="auto"/>
              </w:rPr>
            </w:pPr>
            <w:r>
              <w:rPr>
                <w:rFonts w:ascii="Arial" w:cs="Arial" w:eastAsia="Arial" w:hAnsi="Arial"/>
                <w:sz w:val="13"/>
                <w:szCs w:val="13"/>
                <w:color w:val="auto"/>
              </w:rPr>
              <w:t>2023</w:t>
            </w: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566,266</w:t>
            </w: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001544"/>
            </w:tcBorders>
            <w:shd w:val="clear" w:color="auto" w:fill="DBDFEA"/>
          </w:tcPr>
          <w:p>
            <w:pPr>
              <w:spacing w:after="0"/>
              <w:rPr>
                <w:sz w:val="15"/>
                <w:szCs w:val="15"/>
                <w:color w:val="auto"/>
              </w:rPr>
            </w:pPr>
          </w:p>
        </w:tc>
        <w:tc>
          <w:tcPr>
            <w:tcW w:w="9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539,934</w:t>
            </w: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965,754</w:t>
            </w:r>
          </w:p>
        </w:tc>
        <w:tc>
          <w:tcPr>
            <w:tcW w:w="11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42,782</w:t>
            </w:r>
          </w:p>
        </w:tc>
        <w:tc>
          <w:tcPr>
            <w:tcW w:w="180" w:type="dxa"/>
            <w:vAlign w:val="bottom"/>
            <w:tcBorders>
              <w:bottom w:val="single" w:sz="8" w:color="008861"/>
            </w:tcBorders>
            <w:shd w:val="clear" w:color="auto" w:fill="DBDFEA"/>
          </w:tcPr>
          <w:p>
            <w:pPr>
              <w:spacing w:after="0"/>
              <w:rPr>
                <w:sz w:val="15"/>
                <w:szCs w:val="15"/>
                <w:color w:val="auto"/>
              </w:rPr>
            </w:pPr>
          </w:p>
        </w:tc>
        <w:tc>
          <w:tcPr>
            <w:tcW w:w="10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2,114,737</w:t>
            </w:r>
          </w:p>
        </w:tc>
      </w:tr>
      <w:tr>
        <w:trPr>
          <w:trHeight w:val="197"/>
        </w:trPr>
        <w:tc>
          <w:tcPr>
            <w:tcW w:w="270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3"/>
                <w:szCs w:val="13"/>
                <w:b w:val="1"/>
                <w:bCs w:val="1"/>
                <w:color w:val="auto"/>
              </w:rPr>
              <w:t>Liam Stewart</w:t>
            </w:r>
          </w:p>
        </w:tc>
        <w:tc>
          <w:tcPr>
            <w:tcW w:w="100" w:type="dxa"/>
            <w:vAlign w:val="bottom"/>
            <w:tcBorders>
              <w:bottom w:val="single" w:sz="8" w:color="DBDFEA"/>
            </w:tcBorders>
            <w:shd w:val="clear" w:color="auto" w:fill="DBDFEA"/>
          </w:tcPr>
          <w:p>
            <w:pPr>
              <w:spacing w:after="0"/>
              <w:rPr>
                <w:sz w:val="17"/>
                <w:szCs w:val="17"/>
                <w:color w:val="auto"/>
              </w:rPr>
            </w:pPr>
          </w:p>
        </w:tc>
        <w:tc>
          <w:tcPr>
            <w:tcW w:w="560" w:type="dxa"/>
            <w:vAlign w:val="bottom"/>
            <w:tcBorders>
              <w:bottom w:val="single" w:sz="8" w:color="008861"/>
            </w:tcBorders>
            <w:shd w:val="clear" w:color="auto" w:fill="DBDFEA"/>
          </w:tcPr>
          <w:p>
            <w:pPr>
              <w:ind w:left="140"/>
              <w:spacing w:after="0"/>
              <w:rPr>
                <w:sz w:val="20"/>
                <w:szCs w:val="20"/>
                <w:color w:val="auto"/>
              </w:rPr>
            </w:pPr>
            <w:r>
              <w:rPr>
                <w:rFonts w:ascii="Arial" w:cs="Arial" w:eastAsia="Arial" w:hAnsi="Arial"/>
                <w:sz w:val="13"/>
                <w:szCs w:val="13"/>
                <w:color w:val="auto"/>
              </w:rPr>
              <w:t>2024</w:t>
            </w:r>
          </w:p>
        </w:tc>
        <w:tc>
          <w:tcPr>
            <w:tcW w:w="8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600,000</w:t>
            </w:r>
          </w:p>
        </w:tc>
        <w:tc>
          <w:tcPr>
            <w:tcW w:w="8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008861"/>
            </w:tcBorders>
            <w:shd w:val="clear" w:color="auto" w:fill="DBDFEA"/>
          </w:tcPr>
          <w:p>
            <w:pPr>
              <w:spacing w:after="0"/>
              <w:rPr>
                <w:sz w:val="17"/>
                <w:szCs w:val="17"/>
                <w:color w:val="auto"/>
              </w:rPr>
            </w:pPr>
          </w:p>
        </w:tc>
        <w:tc>
          <w:tcPr>
            <w:tcW w:w="9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1,705,987</w:t>
            </w:r>
          </w:p>
        </w:tc>
        <w:tc>
          <w:tcPr>
            <w:tcW w:w="11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63,027</w:t>
            </w:r>
          </w:p>
        </w:tc>
        <w:tc>
          <w:tcPr>
            <w:tcW w:w="180" w:type="dxa"/>
            <w:vAlign w:val="bottom"/>
            <w:tcBorders>
              <w:bottom w:val="single" w:sz="8" w:color="008861"/>
            </w:tcBorders>
            <w:shd w:val="clear" w:color="auto" w:fill="DBDFEA"/>
          </w:tcPr>
          <w:p>
            <w:pPr>
              <w:jc w:val="right"/>
              <w:ind w:right="10"/>
              <w:spacing w:after="0"/>
              <w:rPr>
                <w:sz w:val="20"/>
                <w:szCs w:val="20"/>
                <w:color w:val="auto"/>
              </w:rPr>
            </w:pPr>
            <w:r>
              <w:rPr>
                <w:rFonts w:ascii="Arial" w:cs="Arial" w:eastAsia="Arial" w:hAnsi="Arial"/>
                <w:sz w:val="10"/>
                <w:szCs w:val="10"/>
                <w:color w:val="auto"/>
                <w:w w:val="81"/>
              </w:rPr>
              <w:t>(2)</w:t>
            </w:r>
          </w:p>
        </w:tc>
        <w:tc>
          <w:tcPr>
            <w:tcW w:w="104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2,369,014</w:t>
            </w:r>
          </w:p>
        </w:tc>
      </w:tr>
      <w:tr>
        <w:trPr>
          <w:trHeight w:val="177"/>
        </w:trPr>
        <w:tc>
          <w:tcPr>
            <w:tcW w:w="270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3"/>
                <w:szCs w:val="13"/>
                <w:i w:val="1"/>
                <w:iCs w:val="1"/>
                <w:color w:val="auto"/>
              </w:rPr>
              <w:t>Chief Operating Officer</w:t>
            </w:r>
          </w:p>
        </w:tc>
        <w:tc>
          <w:tcPr>
            <w:tcW w:w="100" w:type="dxa"/>
            <w:vAlign w:val="bottom"/>
            <w:tcBorders>
              <w:bottom w:val="single" w:sz="8" w:color="DBDFEA"/>
            </w:tcBorders>
            <w:shd w:val="clear" w:color="auto" w:fill="DBDFEA"/>
          </w:tcPr>
          <w:p>
            <w:pPr>
              <w:spacing w:after="0"/>
              <w:rPr>
                <w:sz w:val="15"/>
                <w:szCs w:val="15"/>
                <w:color w:val="auto"/>
              </w:rPr>
            </w:pPr>
          </w:p>
        </w:tc>
        <w:tc>
          <w:tcPr>
            <w:tcW w:w="560" w:type="dxa"/>
            <w:vAlign w:val="bottom"/>
            <w:tcBorders>
              <w:bottom w:val="single" w:sz="8" w:color="008861"/>
            </w:tcBorders>
            <w:shd w:val="clear" w:color="auto" w:fill="DBDFEA"/>
          </w:tcPr>
          <w:p>
            <w:pPr>
              <w:ind w:left="140"/>
              <w:spacing w:after="0"/>
              <w:rPr>
                <w:sz w:val="20"/>
                <w:szCs w:val="20"/>
                <w:color w:val="auto"/>
              </w:rPr>
            </w:pPr>
            <w:r>
              <w:rPr>
                <w:rFonts w:ascii="Arial" w:cs="Arial" w:eastAsia="Arial" w:hAnsi="Arial"/>
                <w:sz w:val="13"/>
                <w:szCs w:val="13"/>
                <w:color w:val="auto"/>
              </w:rPr>
              <w:t>2023</w:t>
            </w:r>
          </w:p>
        </w:tc>
        <w:tc>
          <w:tcPr>
            <w:tcW w:w="8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600,000</w:t>
            </w:r>
          </w:p>
        </w:tc>
        <w:tc>
          <w:tcPr>
            <w:tcW w:w="8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008861"/>
            </w:tcBorders>
            <w:shd w:val="clear" w:color="auto" w:fill="DBDFEA"/>
          </w:tcPr>
          <w:p>
            <w:pPr>
              <w:spacing w:after="0"/>
              <w:rPr>
                <w:sz w:val="15"/>
                <w:szCs w:val="15"/>
                <w:color w:val="auto"/>
              </w:rPr>
            </w:pPr>
          </w:p>
        </w:tc>
        <w:tc>
          <w:tcPr>
            <w:tcW w:w="9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1,632,608</w:t>
            </w:r>
          </w:p>
        </w:tc>
        <w:tc>
          <w:tcPr>
            <w:tcW w:w="11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1,019,037</w:t>
            </w:r>
          </w:p>
        </w:tc>
        <w:tc>
          <w:tcPr>
            <w:tcW w:w="112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135,721</w:t>
            </w:r>
          </w:p>
        </w:tc>
        <w:tc>
          <w:tcPr>
            <w:tcW w:w="180" w:type="dxa"/>
            <w:vAlign w:val="bottom"/>
            <w:tcBorders>
              <w:bottom w:val="single" w:sz="8" w:color="008861"/>
            </w:tcBorders>
            <w:shd w:val="clear" w:color="auto" w:fill="DBDFEA"/>
          </w:tcPr>
          <w:p>
            <w:pPr>
              <w:spacing w:after="0"/>
              <w:rPr>
                <w:sz w:val="15"/>
                <w:szCs w:val="15"/>
                <w:color w:val="auto"/>
              </w:rPr>
            </w:pPr>
          </w:p>
        </w:tc>
        <w:tc>
          <w:tcPr>
            <w:tcW w:w="104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3,387,366</w:t>
            </w:r>
          </w:p>
        </w:tc>
      </w:tr>
      <w:tr>
        <w:trPr>
          <w:trHeight w:val="181"/>
        </w:trPr>
        <w:tc>
          <w:tcPr>
            <w:tcW w:w="270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560" w:type="dxa"/>
            <w:vAlign w:val="bottom"/>
            <w:tcBorders>
              <w:bottom w:val="single" w:sz="8" w:color="001544"/>
            </w:tcBorders>
            <w:shd w:val="clear" w:color="auto" w:fill="DBDFEA"/>
          </w:tcPr>
          <w:p>
            <w:pPr>
              <w:ind w:left="140"/>
              <w:spacing w:after="0"/>
              <w:rPr>
                <w:sz w:val="20"/>
                <w:szCs w:val="20"/>
                <w:color w:val="auto"/>
              </w:rPr>
            </w:pPr>
            <w:r>
              <w:rPr>
                <w:rFonts w:ascii="Arial" w:cs="Arial" w:eastAsia="Arial" w:hAnsi="Arial"/>
                <w:sz w:val="13"/>
                <w:szCs w:val="13"/>
                <w:color w:val="auto"/>
              </w:rPr>
              <w:t>2022</w:t>
            </w: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600,000</w:t>
            </w: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001544"/>
            </w:tcBorders>
            <w:shd w:val="clear" w:color="auto" w:fill="DBDFEA"/>
          </w:tcPr>
          <w:p>
            <w:pPr>
              <w:spacing w:after="0"/>
              <w:rPr>
                <w:sz w:val="15"/>
                <w:szCs w:val="15"/>
                <w:color w:val="auto"/>
              </w:rPr>
            </w:pPr>
          </w:p>
        </w:tc>
        <w:tc>
          <w:tcPr>
            <w:tcW w:w="9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1,132,136</w:t>
            </w: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538,657</w:t>
            </w:r>
          </w:p>
        </w:tc>
        <w:tc>
          <w:tcPr>
            <w:tcW w:w="11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1,019,946</w:t>
            </w:r>
          </w:p>
        </w:tc>
        <w:tc>
          <w:tcPr>
            <w:tcW w:w="180" w:type="dxa"/>
            <w:vAlign w:val="bottom"/>
            <w:tcBorders>
              <w:bottom w:val="single" w:sz="8" w:color="001544"/>
            </w:tcBorders>
            <w:shd w:val="clear" w:color="auto" w:fill="DBDFEA"/>
          </w:tcPr>
          <w:p>
            <w:pPr>
              <w:spacing w:after="0"/>
              <w:rPr>
                <w:sz w:val="15"/>
                <w:szCs w:val="15"/>
                <w:color w:val="auto"/>
              </w:rPr>
            </w:pPr>
          </w:p>
        </w:tc>
        <w:tc>
          <w:tcPr>
            <w:tcW w:w="10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3,290,739</w:t>
            </w:r>
          </w:p>
        </w:tc>
      </w:tr>
      <w:tr>
        <w:trPr>
          <w:trHeight w:val="197"/>
        </w:trPr>
        <w:tc>
          <w:tcPr>
            <w:tcW w:w="270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3"/>
                <w:szCs w:val="13"/>
                <w:b w:val="1"/>
                <w:bCs w:val="1"/>
                <w:color w:val="auto"/>
              </w:rPr>
              <w:t>Jacky Wu</w:t>
            </w:r>
          </w:p>
        </w:tc>
        <w:tc>
          <w:tcPr>
            <w:tcW w:w="100" w:type="dxa"/>
            <w:vAlign w:val="bottom"/>
            <w:tcBorders>
              <w:bottom w:val="single" w:sz="8" w:color="DBDFEA"/>
            </w:tcBorders>
            <w:shd w:val="clear" w:color="auto" w:fill="DBDFEA"/>
          </w:tcPr>
          <w:p>
            <w:pPr>
              <w:spacing w:after="0"/>
              <w:rPr>
                <w:sz w:val="17"/>
                <w:szCs w:val="17"/>
                <w:color w:val="auto"/>
              </w:rPr>
            </w:pPr>
          </w:p>
        </w:tc>
        <w:tc>
          <w:tcPr>
            <w:tcW w:w="560" w:type="dxa"/>
            <w:vAlign w:val="bottom"/>
            <w:tcBorders>
              <w:bottom w:val="single" w:sz="8" w:color="008861"/>
            </w:tcBorders>
            <w:shd w:val="clear" w:color="auto" w:fill="DBDFEA"/>
          </w:tcPr>
          <w:p>
            <w:pPr>
              <w:ind w:left="140"/>
              <w:spacing w:after="0"/>
              <w:rPr>
                <w:sz w:val="20"/>
                <w:szCs w:val="20"/>
                <w:color w:val="auto"/>
              </w:rPr>
            </w:pPr>
            <w:r>
              <w:rPr>
                <w:rFonts w:ascii="Arial" w:cs="Arial" w:eastAsia="Arial" w:hAnsi="Arial"/>
                <w:sz w:val="13"/>
                <w:szCs w:val="13"/>
                <w:color w:val="auto"/>
              </w:rPr>
              <w:t>2024</w:t>
            </w:r>
          </w:p>
        </w:tc>
        <w:tc>
          <w:tcPr>
            <w:tcW w:w="8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350,000</w:t>
            </w:r>
          </w:p>
        </w:tc>
        <w:tc>
          <w:tcPr>
            <w:tcW w:w="8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450,000</w:t>
            </w:r>
          </w:p>
        </w:tc>
        <w:tc>
          <w:tcPr>
            <w:tcW w:w="16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0"/>
                <w:szCs w:val="10"/>
                <w:color w:val="auto"/>
                <w:w w:val="97"/>
              </w:rPr>
              <w:t>(4)</w:t>
            </w:r>
          </w:p>
        </w:tc>
        <w:tc>
          <w:tcPr>
            <w:tcW w:w="9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2,077,651</w:t>
            </w:r>
          </w:p>
        </w:tc>
        <w:tc>
          <w:tcPr>
            <w:tcW w:w="11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3,505,256</w:t>
            </w:r>
          </w:p>
        </w:tc>
        <w:tc>
          <w:tcPr>
            <w:tcW w:w="180" w:type="dxa"/>
            <w:vAlign w:val="bottom"/>
            <w:tcBorders>
              <w:bottom w:val="single" w:sz="8" w:color="001544"/>
            </w:tcBorders>
            <w:shd w:val="clear" w:color="auto" w:fill="DBDFEA"/>
          </w:tcPr>
          <w:p>
            <w:pPr>
              <w:jc w:val="right"/>
              <w:ind w:right="10"/>
              <w:spacing w:after="0"/>
              <w:rPr>
                <w:sz w:val="20"/>
                <w:szCs w:val="20"/>
                <w:color w:val="auto"/>
              </w:rPr>
            </w:pPr>
            <w:r>
              <w:rPr>
                <w:rFonts w:ascii="Arial" w:cs="Arial" w:eastAsia="Arial" w:hAnsi="Arial"/>
                <w:sz w:val="10"/>
                <w:szCs w:val="10"/>
                <w:color w:val="auto"/>
                <w:w w:val="81"/>
              </w:rPr>
              <w:t>(2)</w:t>
            </w:r>
          </w:p>
        </w:tc>
        <w:tc>
          <w:tcPr>
            <w:tcW w:w="104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6,382,907</w:t>
            </w:r>
          </w:p>
        </w:tc>
      </w:tr>
      <w:tr>
        <w:trPr>
          <w:trHeight w:val="174"/>
        </w:trPr>
        <w:tc>
          <w:tcPr>
            <w:tcW w:w="270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3"/>
                <w:szCs w:val="13"/>
                <w:i w:val="1"/>
                <w:iCs w:val="1"/>
                <w:color w:val="auto"/>
              </w:rPr>
              <w:t>Former Executive Vice President, Chief</w:t>
            </w:r>
          </w:p>
        </w:tc>
        <w:tc>
          <w:tcPr>
            <w:tcW w:w="100" w:type="dxa"/>
            <w:vAlign w:val="bottom"/>
            <w:tcBorders>
              <w:bottom w:val="single" w:sz="8" w:color="DBDFEA"/>
            </w:tcBorders>
            <w:shd w:val="clear" w:color="auto" w:fill="DBDFEA"/>
          </w:tcPr>
          <w:p>
            <w:pPr>
              <w:spacing w:after="0"/>
              <w:rPr>
                <w:sz w:val="15"/>
                <w:szCs w:val="15"/>
                <w:color w:val="auto"/>
              </w:rPr>
            </w:pPr>
          </w:p>
        </w:tc>
        <w:tc>
          <w:tcPr>
            <w:tcW w:w="560" w:type="dxa"/>
            <w:vAlign w:val="bottom"/>
            <w:tcBorders>
              <w:bottom w:val="single" w:sz="8" w:color="008861"/>
            </w:tcBorders>
            <w:shd w:val="clear" w:color="auto" w:fill="DBDFEA"/>
          </w:tcPr>
          <w:p>
            <w:pPr>
              <w:ind w:left="140"/>
              <w:spacing w:after="0"/>
              <w:rPr>
                <w:sz w:val="20"/>
                <w:szCs w:val="20"/>
                <w:color w:val="auto"/>
              </w:rPr>
            </w:pPr>
            <w:r>
              <w:rPr>
                <w:rFonts w:ascii="Arial" w:cs="Arial" w:eastAsia="Arial" w:hAnsi="Arial"/>
                <w:sz w:val="13"/>
                <w:szCs w:val="13"/>
                <w:color w:val="auto"/>
              </w:rPr>
              <w:t>2023</w:t>
            </w:r>
          </w:p>
        </w:tc>
        <w:tc>
          <w:tcPr>
            <w:tcW w:w="8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650,000</w:t>
            </w:r>
          </w:p>
        </w:tc>
        <w:tc>
          <w:tcPr>
            <w:tcW w:w="8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500,000</w:t>
            </w:r>
          </w:p>
        </w:tc>
        <w:tc>
          <w:tcPr>
            <w:tcW w:w="160" w:type="dxa"/>
            <w:vAlign w:val="bottom"/>
            <w:tcBorders>
              <w:bottom w:val="single" w:sz="8" w:color="4B4B4B"/>
            </w:tcBorders>
            <w:shd w:val="clear" w:color="auto" w:fill="DBDFEA"/>
          </w:tcPr>
          <w:p>
            <w:pPr>
              <w:spacing w:after="0"/>
              <w:rPr>
                <w:sz w:val="15"/>
                <w:szCs w:val="15"/>
                <w:color w:val="auto"/>
              </w:rPr>
            </w:pPr>
          </w:p>
        </w:tc>
        <w:tc>
          <w:tcPr>
            <w:tcW w:w="9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2,040,760</w:t>
            </w:r>
          </w:p>
        </w:tc>
        <w:tc>
          <w:tcPr>
            <w:tcW w:w="11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1,198,868</w:t>
            </w:r>
          </w:p>
        </w:tc>
        <w:tc>
          <w:tcPr>
            <w:tcW w:w="112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119,881</w:t>
            </w:r>
          </w:p>
        </w:tc>
        <w:tc>
          <w:tcPr>
            <w:tcW w:w="180" w:type="dxa"/>
            <w:vAlign w:val="bottom"/>
            <w:tcBorders>
              <w:bottom w:val="single" w:sz="8" w:color="auto"/>
            </w:tcBorders>
            <w:shd w:val="clear" w:color="auto" w:fill="DBDFEA"/>
          </w:tcPr>
          <w:p>
            <w:pPr>
              <w:spacing w:after="0"/>
              <w:rPr>
                <w:sz w:val="15"/>
                <w:szCs w:val="15"/>
                <w:color w:val="auto"/>
              </w:rPr>
            </w:pPr>
          </w:p>
        </w:tc>
        <w:tc>
          <w:tcPr>
            <w:tcW w:w="104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4,509,509</w:t>
            </w:r>
          </w:p>
        </w:tc>
      </w:tr>
      <w:tr>
        <w:trPr>
          <w:trHeight w:val="184"/>
        </w:trPr>
        <w:tc>
          <w:tcPr>
            <w:tcW w:w="270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3"/>
                <w:szCs w:val="13"/>
                <w:i w:val="1"/>
                <w:iCs w:val="1"/>
                <w:color w:val="auto"/>
              </w:rPr>
              <w:t>Financial Officer and Treasurer</w:t>
            </w:r>
          </w:p>
        </w:tc>
        <w:tc>
          <w:tcPr>
            <w:tcW w:w="100" w:type="dxa"/>
            <w:vAlign w:val="bottom"/>
            <w:tcBorders>
              <w:bottom w:val="single" w:sz="8" w:color="001544"/>
            </w:tcBorders>
            <w:shd w:val="clear" w:color="auto" w:fill="DBDFEA"/>
          </w:tcPr>
          <w:p>
            <w:pPr>
              <w:spacing w:after="0"/>
              <w:rPr>
                <w:sz w:val="16"/>
                <w:szCs w:val="16"/>
                <w:color w:val="auto"/>
              </w:rPr>
            </w:pPr>
          </w:p>
        </w:tc>
        <w:tc>
          <w:tcPr>
            <w:tcW w:w="560" w:type="dxa"/>
            <w:vAlign w:val="bottom"/>
            <w:tcBorders>
              <w:bottom w:val="single" w:sz="8" w:color="001544"/>
            </w:tcBorders>
            <w:shd w:val="clear" w:color="auto" w:fill="DBDFEA"/>
          </w:tcPr>
          <w:p>
            <w:pPr>
              <w:ind w:left="140"/>
              <w:spacing w:after="0"/>
              <w:rPr>
                <w:sz w:val="20"/>
                <w:szCs w:val="20"/>
                <w:color w:val="auto"/>
              </w:rPr>
            </w:pPr>
            <w:r>
              <w:rPr>
                <w:rFonts w:ascii="Arial" w:cs="Arial" w:eastAsia="Arial" w:hAnsi="Arial"/>
                <w:sz w:val="13"/>
                <w:szCs w:val="13"/>
                <w:color w:val="auto"/>
              </w:rPr>
              <w:t>2022</w:t>
            </w: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650,000</w:t>
            </w: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266,286</w:t>
            </w:r>
          </w:p>
        </w:tc>
        <w:tc>
          <w:tcPr>
            <w:tcW w:w="160" w:type="dxa"/>
            <w:vAlign w:val="bottom"/>
            <w:tcBorders>
              <w:bottom w:val="single" w:sz="8" w:color="001544"/>
            </w:tcBorders>
            <w:shd w:val="clear" w:color="auto" w:fill="DBDFEA"/>
          </w:tcPr>
          <w:p>
            <w:pPr>
              <w:spacing w:after="0"/>
              <w:rPr>
                <w:sz w:val="16"/>
                <w:szCs w:val="16"/>
                <w:color w:val="auto"/>
              </w:rPr>
            </w:pPr>
          </w:p>
        </w:tc>
        <w:tc>
          <w:tcPr>
            <w:tcW w:w="9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1,545,578</w:t>
            </w: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633,714</w:t>
            </w:r>
          </w:p>
        </w:tc>
        <w:tc>
          <w:tcPr>
            <w:tcW w:w="11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567,361</w:t>
            </w:r>
          </w:p>
        </w:tc>
        <w:tc>
          <w:tcPr>
            <w:tcW w:w="180" w:type="dxa"/>
            <w:vAlign w:val="bottom"/>
            <w:tcBorders>
              <w:bottom w:val="single" w:sz="8" w:color="001544"/>
            </w:tcBorders>
            <w:shd w:val="clear" w:color="auto" w:fill="DBDFEA"/>
          </w:tcPr>
          <w:p>
            <w:pPr>
              <w:spacing w:after="0"/>
              <w:rPr>
                <w:sz w:val="16"/>
                <w:szCs w:val="16"/>
                <w:color w:val="auto"/>
              </w:rPr>
            </w:pPr>
          </w:p>
        </w:tc>
        <w:tc>
          <w:tcPr>
            <w:tcW w:w="104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3,662,939</w:t>
            </w:r>
          </w:p>
        </w:tc>
      </w:tr>
    </w:tbl>
    <w:p>
      <w:pPr>
        <w:spacing w:after="0" w:line="63" w:lineRule="exact"/>
        <w:rPr>
          <w:sz w:val="20"/>
          <w:szCs w:val="20"/>
          <w:color w:val="auto"/>
        </w:rPr>
      </w:pPr>
    </w:p>
    <w:p>
      <w:pPr>
        <w:ind w:left="300" w:right="100" w:hanging="293"/>
        <w:spacing w:after="0" w:line="247" w:lineRule="auto"/>
        <w:tabs>
          <w:tab w:leader="none" w:pos="3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Represents the grant date fair value, computed in accordance with FASB ASC Topic 718, of awards that were granted to our NEOs. The awards in this column include grants of (i) restricted shares of Class A common stock, which vest in three annual installments following the date of grant, subject generally to the executive’s continued employment with us or any of our subsidiaries through the applicable vesting dates; and (ii) restricted stock units which remain subject to the achievement of cumulative performance goals for a three-year period following the grant date (see “Compensation Discussion and Analysis-Elements of Compensation—Long-Term Incentive Equity Awards” for a discussion regarding the performance goals for these awards) and are generally subject to continued employment through such date. The fair value of the restricted shares of our Class A common stock was determined based on our stock price on the grant date. A discussion of the assumptions used in calculating the grant date fair value of the restricted stock units is set forth in Note 13 of the consolidated financial statements in the Company’s Annual Report on Form 10-K for the fiscal year ended December 31, 2024. As required by SEC rules, the amounts shown in the Summary Compensation Table for the restricted stock units that are subject to performance conditions are based upon the probable outcome on the grant date, which is consistent with the estimate of aggregate compensation cost to be recognized over the service period determined as of the grant date under FASB ASC Topic 718, excluding the effect of estimated forfeitures.</w:t>
      </w:r>
    </w:p>
    <w:p>
      <w:pPr>
        <w:spacing w:after="0" w:line="180" w:lineRule="exact"/>
        <w:rPr>
          <w:rFonts w:ascii="Arial" w:cs="Arial" w:eastAsia="Arial" w:hAnsi="Arial"/>
          <w:sz w:val="15"/>
          <w:szCs w:val="15"/>
          <w:color w:val="auto"/>
        </w:rPr>
      </w:pPr>
    </w:p>
    <w:p>
      <w:pPr>
        <w:ind w:left="300" w:right="140"/>
        <w:spacing w:after="0" w:line="280" w:lineRule="auto"/>
        <w:rPr>
          <w:rFonts w:ascii="Arial" w:cs="Arial" w:eastAsia="Arial" w:hAnsi="Arial"/>
          <w:sz w:val="15"/>
          <w:szCs w:val="15"/>
          <w:color w:val="auto"/>
        </w:rPr>
      </w:pPr>
      <w:r>
        <w:rPr>
          <w:rFonts w:ascii="Arial" w:cs="Arial" w:eastAsia="Arial" w:hAnsi="Arial"/>
          <w:sz w:val="15"/>
          <w:szCs w:val="15"/>
          <w:color w:val="auto"/>
        </w:rPr>
        <w:t>If we assumed achievement of the highest level of the performance goals and vesting for the restricted stock units would be achieved at the grant date, the value of the awards at the grant date would have been as follows:</w:t>
      </w:r>
    </w:p>
    <w:p>
      <w:pPr>
        <w:spacing w:after="0" w:line="150" w:lineRule="exact"/>
        <w:rPr>
          <w:rFonts w:ascii="Arial" w:cs="Arial" w:eastAsia="Arial" w:hAnsi="Arial"/>
          <w:sz w:val="15"/>
          <w:szCs w:val="15"/>
          <w:color w:val="auto"/>
        </w:rPr>
      </w:pPr>
    </w:p>
    <w:p>
      <w:pPr>
        <w:ind w:left="640" w:hanging="307"/>
        <w:spacing w:after="0"/>
        <w:tabs>
          <w:tab w:leader="none" w:pos="640" w:val="left"/>
        </w:tabs>
        <w:numPr>
          <w:ilvl w:val="1"/>
          <w:numId w:val="102"/>
        </w:numPr>
        <w:rPr>
          <w:rFonts w:ascii="Arial" w:cs="Arial" w:eastAsia="Arial" w:hAnsi="Arial"/>
          <w:sz w:val="15"/>
          <w:szCs w:val="15"/>
          <w:color w:val="auto"/>
        </w:rPr>
      </w:pPr>
      <w:r>
        <w:rPr>
          <w:rFonts w:ascii="Arial" w:cs="Arial" w:eastAsia="Arial" w:hAnsi="Arial"/>
          <w:sz w:val="15"/>
          <w:szCs w:val="15"/>
          <w:color w:val="auto"/>
        </w:rPr>
        <w:t>For 2022: Marc C. Ganzi—$7,636,916; and Jacky Wu—$1,576,548.</w:t>
      </w:r>
    </w:p>
    <w:p>
      <w:pPr>
        <w:spacing w:after="0" w:line="78" w:lineRule="exact"/>
        <w:rPr>
          <w:rFonts w:ascii="Arial" w:cs="Arial" w:eastAsia="Arial" w:hAnsi="Arial"/>
          <w:sz w:val="15"/>
          <w:szCs w:val="15"/>
          <w:color w:val="auto"/>
        </w:rPr>
      </w:pPr>
    </w:p>
    <w:p>
      <w:pPr>
        <w:ind w:left="640" w:hanging="307"/>
        <w:spacing w:after="0"/>
        <w:tabs>
          <w:tab w:leader="none" w:pos="640" w:val="left"/>
        </w:tabs>
        <w:numPr>
          <w:ilvl w:val="1"/>
          <w:numId w:val="102"/>
        </w:numPr>
        <w:rPr>
          <w:rFonts w:ascii="Arial" w:cs="Arial" w:eastAsia="Arial" w:hAnsi="Arial"/>
          <w:sz w:val="15"/>
          <w:szCs w:val="15"/>
          <w:color w:val="auto"/>
        </w:rPr>
      </w:pPr>
      <w:r>
        <w:rPr>
          <w:rFonts w:ascii="Arial" w:cs="Arial" w:eastAsia="Arial" w:hAnsi="Arial"/>
          <w:sz w:val="15"/>
          <w:szCs w:val="15"/>
          <w:color w:val="auto"/>
        </w:rPr>
        <w:t>For 2023: Marc C. Ganzi—$2,782,307; Ben Jenkins—$1,748,664; Liam Stewart—$1,748,664; and Jacky Wu—$2,185,830.</w:t>
      </w:r>
    </w:p>
    <w:p>
      <w:pPr>
        <w:spacing w:after="0" w:line="66" w:lineRule="exact"/>
        <w:rPr>
          <w:rFonts w:ascii="Arial" w:cs="Arial" w:eastAsia="Arial" w:hAnsi="Arial"/>
          <w:sz w:val="15"/>
          <w:szCs w:val="15"/>
          <w:color w:val="auto"/>
        </w:rPr>
      </w:pPr>
    </w:p>
    <w:p>
      <w:pPr>
        <w:ind w:left="640" w:hanging="307"/>
        <w:spacing w:after="0"/>
        <w:tabs>
          <w:tab w:leader="none" w:pos="640" w:val="left"/>
        </w:tabs>
        <w:numPr>
          <w:ilvl w:val="1"/>
          <w:numId w:val="102"/>
        </w:numPr>
        <w:rPr>
          <w:rFonts w:ascii="Arial" w:cs="Arial" w:eastAsia="Arial" w:hAnsi="Arial"/>
          <w:sz w:val="15"/>
          <w:szCs w:val="15"/>
          <w:color w:val="auto"/>
        </w:rPr>
      </w:pPr>
      <w:r>
        <w:rPr>
          <w:rFonts w:ascii="Arial" w:cs="Arial" w:eastAsia="Arial" w:hAnsi="Arial"/>
          <w:sz w:val="15"/>
          <w:szCs w:val="15"/>
          <w:color w:val="auto"/>
        </w:rPr>
        <w:t>For 2024: Marc C. Ganzi—$3,145,146; Ben Jenkins—$1,735,989; Geoff Goldschein—$1,070,534; and Liam Stewart—$1,744,339.</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See “Compensation Discussion and Analysis-Elements of Compensation—Long-Term Incentive Awards.”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91" w:lineRule="exact"/>
        <w:rPr>
          <w:sz w:val="20"/>
          <w:szCs w:val="20"/>
          <w:color w:val="auto"/>
        </w:rPr>
      </w:pPr>
    </w:p>
    <w:p>
      <w:pPr>
        <w:ind w:left="300" w:right="40" w:hanging="293"/>
        <w:spacing w:after="0" w:line="248" w:lineRule="auto"/>
        <w:tabs>
          <w:tab w:leader="none" w:pos="3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 xml:space="preserve">Represents (i) $97,935, $21,574, and $34,974 paid to Messrs. Ganzi, Jenkins and Goldschein, respectively, in respect of performance fee allocations, (ii) $1,603,386 in reimbursements to Mr. Ganzi for private air travel, (iii) </w:t>
      </w:r>
      <w:r>
        <w:rPr>
          <w:rFonts w:ascii="Arial" w:cs="Arial" w:eastAsia="Arial" w:hAnsi="Arial"/>
          <w:sz w:val="15"/>
          <w:szCs w:val="15"/>
          <w:color w:val="231F20"/>
        </w:rPr>
        <w:t>$342,395, $7,519, $9,399 and $5,639 received by</w:t>
      </w:r>
      <w:r>
        <w:rPr>
          <w:rFonts w:ascii="Arial" w:cs="Arial" w:eastAsia="Arial" w:hAnsi="Arial"/>
          <w:sz w:val="15"/>
          <w:szCs w:val="15"/>
          <w:color w:val="auto"/>
        </w:rPr>
        <w:t xml:space="preserve"> Messrs. Jenkins, Goldschein, Stewart and Wu, respectively, </w:t>
      </w:r>
      <w:r>
        <w:rPr>
          <w:rFonts w:ascii="Arial" w:cs="Arial" w:eastAsia="Arial" w:hAnsi="Arial"/>
          <w:sz w:val="15"/>
          <w:szCs w:val="15"/>
          <w:color w:val="231F20"/>
        </w:rPr>
        <w:t>pursuant to the previously disclosed allocation of 50% of the contingent</w:t>
      </w:r>
      <w:r>
        <w:rPr>
          <w:rFonts w:ascii="Arial" w:cs="Arial" w:eastAsia="Arial" w:hAnsi="Arial"/>
          <w:sz w:val="15"/>
          <w:szCs w:val="15"/>
          <w:color w:val="auto"/>
        </w:rPr>
        <w:t xml:space="preserve"> </w:t>
      </w:r>
      <w:r>
        <w:rPr>
          <w:rFonts w:ascii="Arial" w:cs="Arial" w:eastAsia="Arial" w:hAnsi="Arial"/>
          <w:sz w:val="15"/>
          <w:szCs w:val="15"/>
          <w:color w:val="231F20"/>
        </w:rPr>
        <w:t xml:space="preserve">consideration payment received from Wafra in April 2021 as additional bonus compensation to be paid on behalf of certain employees to fund a portion of their share of capital contributions to the DigitalBridge funds, as approved by the Compensation Committee, (iv) </w:t>
      </w:r>
      <w:r>
        <w:rPr>
          <w:rFonts w:ascii="Arial" w:cs="Arial" w:eastAsia="Arial" w:hAnsi="Arial"/>
          <w:sz w:val="15"/>
          <w:szCs w:val="15"/>
          <w:color w:val="000000"/>
        </w:rPr>
        <w:t>$8,282,</w:t>
      </w:r>
      <w:r>
        <w:rPr>
          <w:rFonts w:ascii="Arial" w:cs="Arial" w:eastAsia="Arial" w:hAnsi="Arial"/>
          <w:sz w:val="15"/>
          <w:szCs w:val="15"/>
          <w:color w:val="231F20"/>
        </w:rPr>
        <w:t xml:space="preserve"> </w:t>
      </w:r>
      <w:r>
        <w:rPr>
          <w:rFonts w:ascii="Arial" w:cs="Arial" w:eastAsia="Arial" w:hAnsi="Arial"/>
          <w:sz w:val="15"/>
          <w:szCs w:val="15"/>
          <w:color w:val="000000"/>
        </w:rPr>
        <w:t>$3,593, $2,852, $2,336, $4,016 and $3,361 in cash dividends on unvested stock paid to Messrs. Ganzi, Jenkins, Mayrhofer, Goldschein, Stewart and Wu, respectively, (v) $57,225 in relocation expenses paid to Mr. Mayrhofer, (vi) $360,000 in consulting fees paid to Mr. Wu and $3,100,000 paid to Mr. Wu pursuant to the expiration of his employment agreement in accordance with its terms and (vii) matching contributions in connection with the Company’s 401(k) plan, the standard Company-paid portion of premiums toward the cost of health coverage under our group health insurance plan and premiums toward the cost of our standard life insurance coverage. Amounts with respect to performance fee allocations (which could be used to fund potential future clawback obligations if any were to arise) include amounts retained and allocated for distribution to the respective NEO but not yet distributed to the NEO as of December 31, 2024.</w:t>
      </w:r>
    </w:p>
    <w:p>
      <w:pPr>
        <w:spacing w:after="0" w:line="35" w:lineRule="exact"/>
        <w:rPr>
          <w:rFonts w:ascii="Arial" w:cs="Arial" w:eastAsia="Arial" w:hAnsi="Arial"/>
          <w:sz w:val="15"/>
          <w:szCs w:val="15"/>
          <w:color w:val="auto"/>
        </w:rPr>
      </w:pPr>
    </w:p>
    <w:p>
      <w:pPr>
        <w:ind w:left="300" w:right="740" w:hanging="293"/>
        <w:spacing w:after="0" w:line="280" w:lineRule="auto"/>
        <w:tabs>
          <w:tab w:leader="none" w:pos="3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Mr. Mayrhofer became our Chief Financial Officer and Treasurer on March 18, 2024. Represents $300,000 sign-on bonus and $1,100,000 annual cash bonus paid to Mr. Mayrhofer at target pursuant to the terms of his employment agreement.</w:t>
      </w:r>
    </w:p>
    <w:p>
      <w:pPr>
        <w:spacing w:after="0" w:line="24" w:lineRule="exact"/>
        <w:rPr>
          <w:rFonts w:ascii="Arial" w:cs="Arial" w:eastAsia="Arial" w:hAnsi="Arial"/>
          <w:sz w:val="15"/>
          <w:szCs w:val="15"/>
          <w:color w:val="auto"/>
        </w:rPr>
      </w:pPr>
    </w:p>
    <w:p>
      <w:pPr>
        <w:ind w:left="300" w:right="100" w:hanging="293"/>
        <w:spacing w:after="0" w:line="280" w:lineRule="auto"/>
        <w:tabs>
          <w:tab w:leader="none" w:pos="3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Mr. Wu received a pro-rated annual cash bonus at target for his service through June 30, 2024, pursuant to the terms of his employment agreement.</w:t>
      </w:r>
    </w:p>
    <w:p>
      <w:pPr>
        <w:spacing w:after="0" w:line="200" w:lineRule="exact"/>
        <w:rPr>
          <w:sz w:val="20"/>
          <w:szCs w:val="20"/>
          <w:color w:val="auto"/>
        </w:rPr>
      </w:pPr>
    </w:p>
    <w:p>
      <w:pPr>
        <w:spacing w:after="0" w:line="39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2024 Grants of Plan-Based Awards Table</w:t>
      </w:r>
    </w:p>
    <w:p>
      <w:pPr>
        <w:spacing w:after="0" w:line="218"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following table provides information about awards granted in 2024 to each of our NEOs. There were no option awards in 2024.</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001544"/>
                <w:w w:val="99"/>
              </w:rPr>
              <w:t>All Other Stock</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gridSpan w:val="3"/>
            <w:vMerge w:val="restart"/>
          </w:tcPr>
          <w:p>
            <w:pPr>
              <w:ind w:left="240"/>
              <w:spacing w:after="0"/>
              <w:rPr>
                <w:sz w:val="20"/>
                <w:szCs w:val="20"/>
                <w:color w:val="auto"/>
              </w:rPr>
            </w:pPr>
            <w:r>
              <w:rPr>
                <w:rFonts w:ascii="Arial" w:cs="Arial" w:eastAsia="Arial" w:hAnsi="Arial"/>
                <w:sz w:val="12"/>
                <w:szCs w:val="12"/>
                <w:b w:val="1"/>
                <w:bCs w:val="1"/>
                <w:color w:val="001544"/>
              </w:rPr>
              <w:t>Estimated Possible Payouts</w:t>
            </w:r>
          </w:p>
        </w:tc>
        <w:tc>
          <w:tcPr>
            <w:tcW w:w="100" w:type="dxa"/>
            <w:vAlign w:val="bottom"/>
          </w:tcPr>
          <w:p>
            <w:pPr>
              <w:spacing w:after="0"/>
              <w:rPr>
                <w:sz w:val="10"/>
                <w:szCs w:val="10"/>
                <w:color w:val="auto"/>
              </w:rPr>
            </w:pPr>
          </w:p>
        </w:tc>
        <w:tc>
          <w:tcPr>
            <w:tcW w:w="210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001544"/>
                <w:w w:val="97"/>
              </w:rPr>
              <w:t>Estimated Possible Payouts</w:t>
            </w:r>
          </w:p>
        </w:tc>
        <w:tc>
          <w:tcPr>
            <w:tcW w:w="1060" w:type="dxa"/>
            <w:vAlign w:val="bottom"/>
          </w:tcPr>
          <w:p>
            <w:pPr>
              <w:jc w:val="center"/>
              <w:spacing w:after="0" w:line="126" w:lineRule="exact"/>
              <w:rPr>
                <w:sz w:val="20"/>
                <w:szCs w:val="20"/>
                <w:color w:val="auto"/>
              </w:rPr>
            </w:pPr>
            <w:r>
              <w:rPr>
                <w:rFonts w:ascii="Arial" w:cs="Arial" w:eastAsia="Arial" w:hAnsi="Arial"/>
                <w:sz w:val="12"/>
                <w:szCs w:val="12"/>
                <w:b w:val="1"/>
                <w:bCs w:val="1"/>
                <w:color w:val="001544"/>
                <w:w w:val="97"/>
              </w:rPr>
              <w:t>Awards:</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Arial" w:cs="Arial" w:eastAsia="Arial" w:hAnsi="Arial"/>
                <w:sz w:val="12"/>
                <w:szCs w:val="12"/>
                <w:b w:val="1"/>
                <w:bCs w:val="1"/>
                <w:color w:val="001544"/>
              </w:rPr>
              <w:t>Number</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gridSpan w:val="3"/>
          </w:tcPr>
          <w:p>
            <w:pPr>
              <w:ind w:left="260"/>
              <w:spacing w:after="0" w:line="126" w:lineRule="exact"/>
              <w:rPr>
                <w:sz w:val="20"/>
                <w:szCs w:val="20"/>
                <w:color w:val="auto"/>
              </w:rPr>
            </w:pPr>
            <w:r>
              <w:rPr>
                <w:rFonts w:ascii="Arial" w:cs="Arial" w:eastAsia="Arial" w:hAnsi="Arial"/>
                <w:sz w:val="12"/>
                <w:szCs w:val="12"/>
                <w:b w:val="1"/>
                <w:bCs w:val="1"/>
                <w:color w:val="001544"/>
              </w:rPr>
              <w:t>Under Non-Equity Incentive</w:t>
            </w:r>
          </w:p>
        </w:tc>
        <w:tc>
          <w:tcPr>
            <w:tcW w:w="100" w:type="dxa"/>
            <w:vAlign w:val="bottom"/>
          </w:tcPr>
          <w:p>
            <w:pPr>
              <w:spacing w:after="0"/>
              <w:rPr>
                <w:sz w:val="10"/>
                <w:szCs w:val="10"/>
                <w:color w:val="auto"/>
              </w:rPr>
            </w:pPr>
          </w:p>
        </w:tc>
        <w:tc>
          <w:tcPr>
            <w:tcW w:w="2100" w:type="dxa"/>
            <w:vAlign w:val="bottom"/>
            <w:gridSpan w:val="3"/>
          </w:tcPr>
          <w:p>
            <w:pPr>
              <w:jc w:val="center"/>
              <w:spacing w:after="0" w:line="126" w:lineRule="exact"/>
              <w:rPr>
                <w:sz w:val="20"/>
                <w:szCs w:val="20"/>
                <w:color w:val="auto"/>
              </w:rPr>
            </w:pPr>
            <w:r>
              <w:rPr>
                <w:rFonts w:ascii="Arial" w:cs="Arial" w:eastAsia="Arial" w:hAnsi="Arial"/>
                <w:sz w:val="12"/>
                <w:szCs w:val="12"/>
                <w:b w:val="1"/>
                <w:bCs w:val="1"/>
                <w:color w:val="001544"/>
                <w:w w:val="98"/>
              </w:rPr>
              <w:t>Under Equity Incentive</w:t>
            </w:r>
          </w:p>
        </w:tc>
        <w:tc>
          <w:tcPr>
            <w:tcW w:w="1060" w:type="dxa"/>
            <w:vAlign w:val="bottom"/>
          </w:tcPr>
          <w:p>
            <w:pPr>
              <w:jc w:val="center"/>
              <w:spacing w:after="0" w:line="126" w:lineRule="exact"/>
              <w:rPr>
                <w:sz w:val="20"/>
                <w:szCs w:val="20"/>
                <w:color w:val="auto"/>
              </w:rPr>
            </w:pPr>
            <w:r>
              <w:rPr>
                <w:rFonts w:ascii="Arial" w:cs="Arial" w:eastAsia="Arial" w:hAnsi="Arial"/>
                <w:sz w:val="12"/>
                <w:szCs w:val="12"/>
                <w:b w:val="1"/>
                <w:bCs w:val="1"/>
                <w:color w:val="001544"/>
                <w:w w:val="95"/>
              </w:rPr>
              <w:t>of Shares of</w:t>
            </w: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001544"/>
                <w:w w:val="97"/>
              </w:rPr>
              <w:t>Grant Date</w:t>
            </w:r>
          </w:p>
        </w:tc>
        <w:tc>
          <w:tcPr>
            <w:tcW w:w="0" w:type="dxa"/>
            <w:vAlign w:val="bottom"/>
          </w:tcPr>
          <w:p>
            <w:pPr>
              <w:spacing w:after="0"/>
              <w:rPr>
                <w:sz w:val="1"/>
                <w:szCs w:val="1"/>
                <w:color w:val="auto"/>
              </w:rPr>
            </w:pPr>
          </w:p>
        </w:tc>
      </w:tr>
      <w:tr>
        <w:trPr>
          <w:trHeight w:val="143"/>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001544"/>
            </w:tcBorders>
          </w:tcPr>
          <w:p>
            <w:pPr>
              <w:spacing w:after="0"/>
              <w:rPr>
                <w:sz w:val="12"/>
                <w:szCs w:val="12"/>
                <w:color w:val="auto"/>
              </w:rPr>
            </w:pPr>
          </w:p>
        </w:tc>
        <w:tc>
          <w:tcPr>
            <w:tcW w:w="820" w:type="dxa"/>
            <w:vAlign w:val="bottom"/>
            <w:tcBorders>
              <w:bottom w:val="single" w:sz="8" w:color="001544"/>
            </w:tcBorders>
          </w:tcPr>
          <w:p>
            <w:pPr>
              <w:jc w:val="right"/>
              <w:spacing w:after="0"/>
              <w:rPr>
                <w:sz w:val="20"/>
                <w:szCs w:val="20"/>
                <w:color w:val="auto"/>
              </w:rPr>
            </w:pPr>
            <w:r>
              <w:rPr>
                <w:rFonts w:ascii="Arial" w:cs="Arial" w:eastAsia="Arial" w:hAnsi="Arial"/>
                <w:sz w:val="12"/>
                <w:szCs w:val="12"/>
                <w:b w:val="1"/>
                <w:bCs w:val="1"/>
                <w:color w:val="001544"/>
              </w:rPr>
              <w:t>Plan Awards</w:t>
            </w:r>
          </w:p>
        </w:tc>
        <w:tc>
          <w:tcPr>
            <w:tcW w:w="640" w:type="dxa"/>
            <w:vAlign w:val="bottom"/>
            <w:tcBorders>
              <w:bottom w:val="single" w:sz="8" w:color="001544"/>
            </w:tcBorders>
          </w:tcPr>
          <w:p>
            <w:pPr>
              <w:spacing w:after="0"/>
              <w:rPr>
                <w:sz w:val="12"/>
                <w:szCs w:val="12"/>
                <w:color w:val="auto"/>
              </w:rPr>
            </w:pPr>
          </w:p>
        </w:tc>
        <w:tc>
          <w:tcPr>
            <w:tcW w:w="100" w:type="dxa"/>
            <w:vAlign w:val="bottom"/>
            <w:tcBorders>
              <w:bottom w:val="single" w:sz="8" w:color="001544"/>
            </w:tcBorders>
          </w:tcPr>
          <w:p>
            <w:pPr>
              <w:spacing w:after="0"/>
              <w:rPr>
                <w:sz w:val="12"/>
                <w:szCs w:val="12"/>
                <w:color w:val="auto"/>
              </w:rPr>
            </w:pPr>
          </w:p>
        </w:tc>
        <w:tc>
          <w:tcPr>
            <w:tcW w:w="620" w:type="dxa"/>
            <w:vAlign w:val="bottom"/>
            <w:tcBorders>
              <w:bottom w:val="single" w:sz="8" w:color="001544"/>
            </w:tcBorders>
          </w:tcPr>
          <w:p>
            <w:pPr>
              <w:spacing w:after="0"/>
              <w:rPr>
                <w:sz w:val="12"/>
                <w:szCs w:val="12"/>
                <w:color w:val="auto"/>
              </w:rPr>
            </w:pPr>
          </w:p>
        </w:tc>
        <w:tc>
          <w:tcPr>
            <w:tcW w:w="780" w:type="dxa"/>
            <w:vAlign w:val="bottom"/>
            <w:tcBorders>
              <w:bottom w:val="single" w:sz="8" w:color="001544"/>
            </w:tcBorders>
          </w:tcPr>
          <w:p>
            <w:pPr>
              <w:jc w:val="center"/>
              <w:ind w:left="22"/>
              <w:spacing w:after="0"/>
              <w:rPr>
                <w:sz w:val="20"/>
                <w:szCs w:val="20"/>
                <w:color w:val="auto"/>
              </w:rPr>
            </w:pPr>
            <w:r>
              <w:rPr>
                <w:rFonts w:ascii="Arial" w:cs="Arial" w:eastAsia="Arial" w:hAnsi="Arial"/>
                <w:sz w:val="12"/>
                <w:szCs w:val="12"/>
                <w:b w:val="1"/>
                <w:bCs w:val="1"/>
                <w:color w:val="001544"/>
                <w:w w:val="97"/>
              </w:rPr>
              <w:t>Plan Awards</w:t>
            </w:r>
          </w:p>
        </w:tc>
        <w:tc>
          <w:tcPr>
            <w:tcW w:w="700" w:type="dxa"/>
            <w:vAlign w:val="bottom"/>
            <w:tcBorders>
              <w:bottom w:val="single" w:sz="8" w:color="001544"/>
            </w:tcBorders>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001544"/>
                <w:w w:val="95"/>
              </w:rPr>
              <w:t>Stock or</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860" w:type="dxa"/>
            <w:vAlign w:val="bottom"/>
            <w:vMerge w:val="restart"/>
          </w:tcPr>
          <w:p>
            <w:pPr>
              <w:ind w:left="100"/>
              <w:spacing w:after="0"/>
              <w:rPr>
                <w:sz w:val="20"/>
                <w:szCs w:val="20"/>
                <w:color w:val="auto"/>
              </w:rPr>
            </w:pPr>
            <w:r>
              <w:rPr>
                <w:rFonts w:ascii="Arial" w:cs="Arial" w:eastAsia="Arial" w:hAnsi="Arial"/>
                <w:sz w:val="12"/>
                <w:szCs w:val="12"/>
                <w:b w:val="1"/>
                <w:bCs w:val="1"/>
                <w:color w:val="001544"/>
              </w:rPr>
              <w:t>Name</w:t>
            </w:r>
          </w:p>
        </w:tc>
        <w:tc>
          <w:tcPr>
            <w:tcW w:w="100" w:type="dxa"/>
            <w:vAlign w:val="bottom"/>
          </w:tcPr>
          <w:p>
            <w:pPr>
              <w:spacing w:after="0"/>
              <w:rPr>
                <w:sz w:val="8"/>
                <w:szCs w:val="8"/>
                <w:color w:val="auto"/>
              </w:rPr>
            </w:pPr>
          </w:p>
        </w:tc>
        <w:tc>
          <w:tcPr>
            <w:tcW w:w="640" w:type="dxa"/>
            <w:vAlign w:val="bottom"/>
          </w:tcPr>
          <w:p>
            <w:pPr>
              <w:jc w:val="center"/>
              <w:spacing w:after="0" w:line="101" w:lineRule="exact"/>
              <w:rPr>
                <w:sz w:val="20"/>
                <w:szCs w:val="20"/>
                <w:color w:val="auto"/>
              </w:rPr>
            </w:pPr>
            <w:r>
              <w:rPr>
                <w:rFonts w:ascii="Arial" w:cs="Arial" w:eastAsia="Arial" w:hAnsi="Arial"/>
                <w:sz w:val="11"/>
                <w:szCs w:val="11"/>
                <w:b w:val="1"/>
                <w:bCs w:val="1"/>
                <w:color w:val="001544"/>
              </w:rPr>
              <w:t>Approval</w:t>
            </w:r>
          </w:p>
        </w:tc>
        <w:tc>
          <w:tcPr>
            <w:tcW w:w="60" w:type="dxa"/>
            <w:vAlign w:val="bottom"/>
          </w:tcPr>
          <w:p>
            <w:pPr>
              <w:spacing w:after="0"/>
              <w:rPr>
                <w:sz w:val="8"/>
                <w:szCs w:val="8"/>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001544"/>
                <w:w w:val="97"/>
              </w:rPr>
              <w:t>Grant Date</w:t>
            </w:r>
          </w:p>
        </w:tc>
        <w:tc>
          <w:tcPr>
            <w:tcW w:w="100" w:type="dxa"/>
            <w:vAlign w:val="bottom"/>
          </w:tcPr>
          <w:p>
            <w:pPr>
              <w:spacing w:after="0"/>
              <w:rPr>
                <w:sz w:val="8"/>
                <w:szCs w:val="8"/>
                <w:color w:val="auto"/>
              </w:rPr>
            </w:pPr>
          </w:p>
        </w:tc>
        <w:tc>
          <w:tcPr>
            <w:tcW w:w="600" w:type="dxa"/>
            <w:vAlign w:val="bottom"/>
          </w:tcPr>
          <w:p>
            <w:pPr>
              <w:ind w:left="20"/>
              <w:spacing w:after="0" w:line="101" w:lineRule="exact"/>
              <w:rPr>
                <w:sz w:val="20"/>
                <w:szCs w:val="20"/>
                <w:color w:val="auto"/>
              </w:rPr>
            </w:pPr>
            <w:r>
              <w:rPr>
                <w:rFonts w:ascii="Arial" w:cs="Arial" w:eastAsia="Arial" w:hAnsi="Arial"/>
                <w:sz w:val="11"/>
                <w:szCs w:val="11"/>
                <w:b w:val="1"/>
                <w:bCs w:val="1"/>
                <w:color w:val="001544"/>
              </w:rPr>
              <w:t>Threshold</w:t>
            </w:r>
          </w:p>
        </w:tc>
        <w:tc>
          <w:tcPr>
            <w:tcW w:w="820" w:type="dxa"/>
            <w:vAlign w:val="bottom"/>
          </w:tcPr>
          <w:p>
            <w:pPr>
              <w:jc w:val="right"/>
              <w:ind w:right="122"/>
              <w:spacing w:after="0" w:line="101" w:lineRule="exact"/>
              <w:rPr>
                <w:sz w:val="20"/>
                <w:szCs w:val="20"/>
                <w:color w:val="auto"/>
              </w:rPr>
            </w:pPr>
            <w:r>
              <w:rPr>
                <w:rFonts w:ascii="Arial" w:cs="Arial" w:eastAsia="Arial" w:hAnsi="Arial"/>
                <w:sz w:val="8"/>
                <w:szCs w:val="8"/>
                <w:b w:val="1"/>
                <w:bCs w:val="1"/>
                <w:color w:val="001544"/>
              </w:rPr>
              <w:t>Target</w:t>
            </w:r>
            <w:r>
              <w:rPr>
                <w:rFonts w:ascii="Arial" w:cs="Arial" w:eastAsia="Arial" w:hAnsi="Arial"/>
                <w:sz w:val="11"/>
                <w:szCs w:val="11"/>
                <w:b w:val="1"/>
                <w:bCs w:val="1"/>
                <w:color w:val="001544"/>
                <w:vertAlign w:val="superscript"/>
              </w:rPr>
              <w:t>(1)</w:t>
            </w:r>
          </w:p>
        </w:tc>
        <w:tc>
          <w:tcPr>
            <w:tcW w:w="640" w:type="dxa"/>
            <w:vAlign w:val="bottom"/>
          </w:tcPr>
          <w:p>
            <w:pPr>
              <w:jc w:val="right"/>
              <w:ind w:right="2"/>
              <w:spacing w:after="0" w:line="101" w:lineRule="exact"/>
              <w:rPr>
                <w:sz w:val="20"/>
                <w:szCs w:val="20"/>
                <w:color w:val="auto"/>
              </w:rPr>
            </w:pPr>
            <w:r>
              <w:rPr>
                <w:rFonts w:ascii="Arial" w:cs="Arial" w:eastAsia="Arial" w:hAnsi="Arial"/>
                <w:sz w:val="11"/>
                <w:szCs w:val="11"/>
                <w:b w:val="1"/>
                <w:bCs w:val="1"/>
                <w:color w:val="001544"/>
              </w:rPr>
              <w:t>Maximum</w:t>
            </w:r>
          </w:p>
        </w:tc>
        <w:tc>
          <w:tcPr>
            <w:tcW w:w="100" w:type="dxa"/>
            <w:vAlign w:val="bottom"/>
          </w:tcPr>
          <w:p>
            <w:pPr>
              <w:spacing w:after="0"/>
              <w:rPr>
                <w:sz w:val="8"/>
                <w:szCs w:val="8"/>
                <w:color w:val="auto"/>
              </w:rPr>
            </w:pPr>
          </w:p>
        </w:tc>
        <w:tc>
          <w:tcPr>
            <w:tcW w:w="620" w:type="dxa"/>
            <w:vAlign w:val="bottom"/>
          </w:tcPr>
          <w:p>
            <w:pPr>
              <w:jc w:val="right"/>
              <w:spacing w:after="0" w:line="101" w:lineRule="exact"/>
              <w:rPr>
                <w:sz w:val="20"/>
                <w:szCs w:val="20"/>
                <w:color w:val="auto"/>
              </w:rPr>
            </w:pPr>
            <w:r>
              <w:rPr>
                <w:rFonts w:ascii="Arial" w:cs="Arial" w:eastAsia="Arial" w:hAnsi="Arial"/>
                <w:sz w:val="11"/>
                <w:szCs w:val="11"/>
                <w:b w:val="1"/>
                <w:bCs w:val="1"/>
                <w:color w:val="001544"/>
              </w:rPr>
              <w:t>Threshold</w:t>
            </w:r>
          </w:p>
        </w:tc>
        <w:tc>
          <w:tcPr>
            <w:tcW w:w="780" w:type="dxa"/>
            <w:vAlign w:val="bottom"/>
          </w:tcPr>
          <w:p>
            <w:pPr>
              <w:jc w:val="right"/>
              <w:ind w:right="122"/>
              <w:spacing w:after="0" w:line="101" w:lineRule="exact"/>
              <w:rPr>
                <w:sz w:val="20"/>
                <w:szCs w:val="20"/>
                <w:color w:val="auto"/>
              </w:rPr>
            </w:pPr>
            <w:r>
              <w:rPr>
                <w:rFonts w:ascii="Arial" w:cs="Arial" w:eastAsia="Arial" w:hAnsi="Arial"/>
                <w:sz w:val="8"/>
                <w:szCs w:val="8"/>
                <w:b w:val="1"/>
                <w:bCs w:val="1"/>
                <w:color w:val="001544"/>
              </w:rPr>
              <w:t>Target</w:t>
            </w:r>
            <w:r>
              <w:rPr>
                <w:rFonts w:ascii="Arial" w:cs="Arial" w:eastAsia="Arial" w:hAnsi="Arial"/>
                <w:sz w:val="11"/>
                <w:szCs w:val="11"/>
                <w:b w:val="1"/>
                <w:bCs w:val="1"/>
                <w:color w:val="001544"/>
                <w:vertAlign w:val="superscript"/>
              </w:rPr>
              <w:t>(2)</w:t>
            </w:r>
          </w:p>
        </w:tc>
        <w:tc>
          <w:tcPr>
            <w:tcW w:w="700" w:type="dxa"/>
            <w:vAlign w:val="bottom"/>
          </w:tcPr>
          <w:p>
            <w:pPr>
              <w:jc w:val="right"/>
              <w:spacing w:after="0" w:line="101" w:lineRule="exact"/>
              <w:rPr>
                <w:sz w:val="20"/>
                <w:szCs w:val="20"/>
                <w:color w:val="auto"/>
              </w:rPr>
            </w:pPr>
            <w:r>
              <w:rPr>
                <w:rFonts w:ascii="Arial" w:cs="Arial" w:eastAsia="Arial" w:hAnsi="Arial"/>
                <w:sz w:val="8"/>
                <w:szCs w:val="8"/>
                <w:b w:val="1"/>
                <w:bCs w:val="1"/>
                <w:color w:val="001544"/>
              </w:rPr>
              <w:t>Maximum</w:t>
            </w:r>
            <w:r>
              <w:rPr>
                <w:rFonts w:ascii="Arial" w:cs="Arial" w:eastAsia="Arial" w:hAnsi="Arial"/>
                <w:sz w:val="11"/>
                <w:szCs w:val="11"/>
                <w:b w:val="1"/>
                <w:bCs w:val="1"/>
                <w:color w:val="001544"/>
                <w:vertAlign w:val="superscript"/>
              </w:rPr>
              <w:t>(2)</w:t>
            </w:r>
          </w:p>
        </w:tc>
        <w:tc>
          <w:tcPr>
            <w:tcW w:w="1060" w:type="dxa"/>
            <w:vAlign w:val="bottom"/>
          </w:tcPr>
          <w:p>
            <w:pPr>
              <w:jc w:val="center"/>
              <w:spacing w:after="0" w:line="101" w:lineRule="exact"/>
              <w:rPr>
                <w:sz w:val="20"/>
                <w:szCs w:val="20"/>
                <w:color w:val="auto"/>
              </w:rPr>
            </w:pPr>
            <w:r>
              <w:rPr>
                <w:rFonts w:ascii="Arial" w:cs="Arial" w:eastAsia="Arial" w:hAnsi="Arial"/>
                <w:sz w:val="8"/>
                <w:szCs w:val="8"/>
                <w:b w:val="1"/>
                <w:bCs w:val="1"/>
                <w:color w:val="001544"/>
              </w:rPr>
              <w:t>Units</w:t>
            </w:r>
            <w:r>
              <w:rPr>
                <w:rFonts w:ascii="Arial" w:cs="Arial" w:eastAsia="Arial" w:hAnsi="Arial"/>
                <w:sz w:val="11"/>
                <w:szCs w:val="11"/>
                <w:b w:val="1"/>
                <w:bCs w:val="1"/>
                <w:color w:val="001544"/>
                <w:vertAlign w:val="superscript"/>
              </w:rPr>
              <w:t>(3)</w:t>
            </w:r>
          </w:p>
        </w:tc>
        <w:tc>
          <w:tcPr>
            <w:tcW w:w="720" w:type="dxa"/>
            <w:vAlign w:val="bottom"/>
          </w:tcPr>
          <w:p>
            <w:pPr>
              <w:jc w:val="center"/>
              <w:spacing w:after="0" w:line="101" w:lineRule="exact"/>
              <w:rPr>
                <w:sz w:val="20"/>
                <w:szCs w:val="20"/>
                <w:color w:val="auto"/>
              </w:rPr>
            </w:pPr>
            <w:r>
              <w:rPr>
                <w:rFonts w:ascii="Arial" w:cs="Arial" w:eastAsia="Arial" w:hAnsi="Arial"/>
                <w:sz w:val="11"/>
                <w:szCs w:val="11"/>
                <w:b w:val="1"/>
                <w:bCs w:val="1"/>
                <w:color w:val="001544"/>
              </w:rPr>
              <w:t>Fair Value</w:t>
            </w:r>
          </w:p>
        </w:tc>
        <w:tc>
          <w:tcPr>
            <w:tcW w:w="0" w:type="dxa"/>
            <w:vAlign w:val="bottom"/>
          </w:tcPr>
          <w:p>
            <w:pPr>
              <w:spacing w:after="0"/>
              <w:rPr>
                <w:sz w:val="1"/>
                <w:szCs w:val="1"/>
                <w:color w:val="auto"/>
              </w:rPr>
            </w:pPr>
          </w:p>
        </w:tc>
      </w:tr>
      <w:tr>
        <w:trPr>
          <w:trHeight w:val="160"/>
        </w:trPr>
        <w:tc>
          <w:tcPr>
            <w:tcW w:w="1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001544"/>
                <w:w w:val="99"/>
              </w:rPr>
              <w:t>Date</w:t>
            </w: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gridSpan w:val="2"/>
          </w:tcPr>
          <w:p>
            <w:pPr>
              <w:ind w:left="320"/>
              <w:spacing w:after="0"/>
              <w:rPr>
                <w:sz w:val="20"/>
                <w:szCs w:val="20"/>
                <w:color w:val="auto"/>
              </w:rPr>
            </w:pPr>
            <w:r>
              <w:rPr>
                <w:rFonts w:ascii="Arial" w:cs="Arial" w:eastAsia="Arial" w:hAnsi="Arial"/>
                <w:sz w:val="12"/>
                <w:szCs w:val="12"/>
                <w:b w:val="1"/>
                <w:bCs w:val="1"/>
                <w:color w:val="001544"/>
              </w:rPr>
              <w:t>($)</w:t>
            </w:r>
          </w:p>
        </w:tc>
        <w:tc>
          <w:tcPr>
            <w:tcW w:w="820" w:type="dxa"/>
            <w:vAlign w:val="bottom"/>
          </w:tcPr>
          <w:p>
            <w:pPr>
              <w:jc w:val="right"/>
              <w:ind w:right="282"/>
              <w:spacing w:after="0"/>
              <w:rPr>
                <w:sz w:val="20"/>
                <w:szCs w:val="20"/>
                <w:color w:val="auto"/>
              </w:rPr>
            </w:pPr>
            <w:r>
              <w:rPr>
                <w:rFonts w:ascii="Arial" w:cs="Arial" w:eastAsia="Arial" w:hAnsi="Arial"/>
                <w:sz w:val="12"/>
                <w:szCs w:val="12"/>
                <w:b w:val="1"/>
                <w:bCs w:val="1"/>
                <w:color w:val="001544"/>
              </w:rPr>
              <w:t>($)</w:t>
            </w:r>
          </w:p>
        </w:tc>
        <w:tc>
          <w:tcPr>
            <w:tcW w:w="640" w:type="dxa"/>
            <w:vAlign w:val="bottom"/>
          </w:tcPr>
          <w:p>
            <w:pPr>
              <w:jc w:val="right"/>
              <w:ind w:right="202"/>
              <w:spacing w:after="0"/>
              <w:rPr>
                <w:sz w:val="20"/>
                <w:szCs w:val="20"/>
                <w:color w:val="auto"/>
              </w:rPr>
            </w:pPr>
            <w:r>
              <w:rPr>
                <w:rFonts w:ascii="Arial" w:cs="Arial" w:eastAsia="Arial" w:hAnsi="Arial"/>
                <w:sz w:val="12"/>
                <w:szCs w:val="12"/>
                <w:b w:val="1"/>
                <w:bCs w:val="1"/>
                <w:color w:val="001544"/>
              </w:rPr>
              <w:t>($)</w:t>
            </w:r>
          </w:p>
        </w:tc>
        <w:tc>
          <w:tcPr>
            <w:tcW w:w="720" w:type="dxa"/>
            <w:vAlign w:val="bottom"/>
            <w:gridSpan w:val="2"/>
          </w:tcPr>
          <w:p>
            <w:pPr>
              <w:jc w:val="right"/>
              <w:ind w:right="182"/>
              <w:spacing w:after="0"/>
              <w:rPr>
                <w:sz w:val="20"/>
                <w:szCs w:val="20"/>
                <w:color w:val="auto"/>
              </w:rPr>
            </w:pPr>
            <w:r>
              <w:rPr>
                <w:rFonts w:ascii="Arial" w:cs="Arial" w:eastAsia="Arial" w:hAnsi="Arial"/>
                <w:sz w:val="12"/>
                <w:szCs w:val="12"/>
                <w:b w:val="1"/>
                <w:bCs w:val="1"/>
                <w:color w:val="001544"/>
              </w:rPr>
              <w:t>(#)</w:t>
            </w:r>
          </w:p>
        </w:tc>
        <w:tc>
          <w:tcPr>
            <w:tcW w:w="780" w:type="dxa"/>
            <w:vAlign w:val="bottom"/>
          </w:tcPr>
          <w:p>
            <w:pPr>
              <w:jc w:val="right"/>
              <w:ind w:right="282"/>
              <w:spacing w:after="0"/>
              <w:rPr>
                <w:sz w:val="20"/>
                <w:szCs w:val="20"/>
                <w:color w:val="auto"/>
              </w:rPr>
            </w:pPr>
            <w:r>
              <w:rPr>
                <w:rFonts w:ascii="Arial" w:cs="Arial" w:eastAsia="Arial" w:hAnsi="Arial"/>
                <w:sz w:val="12"/>
                <w:szCs w:val="12"/>
                <w:b w:val="1"/>
                <w:bCs w:val="1"/>
                <w:color w:val="001544"/>
              </w:rPr>
              <w:t>(#)</w:t>
            </w: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001544"/>
              </w:rPr>
              <w:t>(#)</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001544"/>
                <w:w w:val="95"/>
              </w:rPr>
              <w:t>(#)</w:t>
            </w:r>
          </w:p>
        </w:tc>
        <w:tc>
          <w:tcPr>
            <w:tcW w:w="720" w:type="dxa"/>
            <w:vAlign w:val="bottom"/>
          </w:tcPr>
          <w:p>
            <w:pPr>
              <w:jc w:val="center"/>
              <w:ind w:left="2"/>
              <w:spacing w:after="0"/>
              <w:rPr>
                <w:sz w:val="20"/>
                <w:szCs w:val="20"/>
                <w:color w:val="auto"/>
              </w:rPr>
            </w:pPr>
            <w:r>
              <w:rPr>
                <w:rFonts w:ascii="Arial" w:cs="Arial" w:eastAsia="Arial" w:hAnsi="Arial"/>
                <w:sz w:val="12"/>
                <w:szCs w:val="12"/>
                <w:b w:val="1"/>
                <w:bCs w:val="1"/>
                <w:color w:val="001544"/>
                <w:w w:val="95"/>
              </w:rPr>
              <w:t>($)</w:t>
            </w:r>
          </w:p>
        </w:tc>
        <w:tc>
          <w:tcPr>
            <w:tcW w:w="0" w:type="dxa"/>
            <w:vAlign w:val="bottom"/>
          </w:tcPr>
          <w:p>
            <w:pPr>
              <w:spacing w:after="0"/>
              <w:rPr>
                <w:sz w:val="1"/>
                <w:szCs w:val="1"/>
                <w:color w:val="auto"/>
              </w:rPr>
            </w:pPr>
          </w:p>
        </w:tc>
      </w:tr>
      <w:tr>
        <w:trPr>
          <w:trHeight w:val="46"/>
        </w:trPr>
        <w:tc>
          <w:tcPr>
            <w:tcW w:w="1860" w:type="dxa"/>
            <w:vAlign w:val="bottom"/>
            <w:tcBorders>
              <w:bottom w:val="single" w:sz="8" w:color="001544"/>
            </w:tcBorders>
          </w:tcPr>
          <w:p>
            <w:pPr>
              <w:spacing w:after="0"/>
              <w:rPr>
                <w:sz w:val="3"/>
                <w:szCs w:val="3"/>
                <w:color w:val="auto"/>
              </w:rPr>
            </w:pPr>
          </w:p>
        </w:tc>
        <w:tc>
          <w:tcPr>
            <w:tcW w:w="100" w:type="dxa"/>
            <w:vAlign w:val="bottom"/>
            <w:tcBorders>
              <w:bottom w:val="single" w:sz="8" w:color="001544"/>
            </w:tcBorders>
          </w:tcPr>
          <w:p>
            <w:pPr>
              <w:spacing w:after="0"/>
              <w:rPr>
                <w:sz w:val="3"/>
                <w:szCs w:val="3"/>
                <w:color w:val="auto"/>
              </w:rPr>
            </w:pPr>
          </w:p>
        </w:tc>
        <w:tc>
          <w:tcPr>
            <w:tcW w:w="640" w:type="dxa"/>
            <w:vAlign w:val="bottom"/>
            <w:tcBorders>
              <w:bottom w:val="single" w:sz="8" w:color="001544"/>
            </w:tcBorders>
          </w:tcPr>
          <w:p>
            <w:pPr>
              <w:spacing w:after="0"/>
              <w:rPr>
                <w:sz w:val="3"/>
                <w:szCs w:val="3"/>
                <w:color w:val="auto"/>
              </w:rPr>
            </w:pPr>
          </w:p>
        </w:tc>
        <w:tc>
          <w:tcPr>
            <w:tcW w:w="60" w:type="dxa"/>
            <w:vAlign w:val="bottom"/>
            <w:tcBorders>
              <w:bottom w:val="single" w:sz="8" w:color="001544"/>
            </w:tcBorders>
          </w:tcPr>
          <w:p>
            <w:pPr>
              <w:spacing w:after="0"/>
              <w:rPr>
                <w:sz w:val="3"/>
                <w:szCs w:val="3"/>
                <w:color w:val="auto"/>
              </w:rPr>
            </w:pPr>
          </w:p>
        </w:tc>
        <w:tc>
          <w:tcPr>
            <w:tcW w:w="660" w:type="dxa"/>
            <w:vAlign w:val="bottom"/>
            <w:tcBorders>
              <w:bottom w:val="single" w:sz="8" w:color="001544"/>
            </w:tcBorders>
          </w:tcPr>
          <w:p>
            <w:pPr>
              <w:spacing w:after="0"/>
              <w:rPr>
                <w:sz w:val="3"/>
                <w:szCs w:val="3"/>
                <w:color w:val="auto"/>
              </w:rPr>
            </w:pPr>
          </w:p>
        </w:tc>
        <w:tc>
          <w:tcPr>
            <w:tcW w:w="100" w:type="dxa"/>
            <w:vAlign w:val="bottom"/>
            <w:tcBorders>
              <w:bottom w:val="single" w:sz="8" w:color="001544"/>
            </w:tcBorders>
          </w:tcPr>
          <w:p>
            <w:pPr>
              <w:spacing w:after="0"/>
              <w:rPr>
                <w:sz w:val="3"/>
                <w:szCs w:val="3"/>
                <w:color w:val="auto"/>
              </w:rPr>
            </w:pPr>
          </w:p>
        </w:tc>
        <w:tc>
          <w:tcPr>
            <w:tcW w:w="600" w:type="dxa"/>
            <w:vAlign w:val="bottom"/>
            <w:tcBorders>
              <w:bottom w:val="single" w:sz="8" w:color="001544"/>
            </w:tcBorders>
          </w:tcPr>
          <w:p>
            <w:pPr>
              <w:spacing w:after="0"/>
              <w:rPr>
                <w:sz w:val="3"/>
                <w:szCs w:val="3"/>
                <w:color w:val="auto"/>
              </w:rPr>
            </w:pPr>
          </w:p>
        </w:tc>
        <w:tc>
          <w:tcPr>
            <w:tcW w:w="820" w:type="dxa"/>
            <w:vAlign w:val="bottom"/>
            <w:tcBorders>
              <w:bottom w:val="single" w:sz="8" w:color="001544"/>
            </w:tcBorders>
          </w:tcPr>
          <w:p>
            <w:pPr>
              <w:spacing w:after="0"/>
              <w:rPr>
                <w:sz w:val="3"/>
                <w:szCs w:val="3"/>
                <w:color w:val="auto"/>
              </w:rPr>
            </w:pPr>
          </w:p>
        </w:tc>
        <w:tc>
          <w:tcPr>
            <w:tcW w:w="640" w:type="dxa"/>
            <w:vAlign w:val="bottom"/>
            <w:tcBorders>
              <w:bottom w:val="single" w:sz="8" w:color="001544"/>
            </w:tcBorders>
          </w:tcPr>
          <w:p>
            <w:pPr>
              <w:spacing w:after="0"/>
              <w:rPr>
                <w:sz w:val="3"/>
                <w:szCs w:val="3"/>
                <w:color w:val="auto"/>
              </w:rPr>
            </w:pPr>
          </w:p>
        </w:tc>
        <w:tc>
          <w:tcPr>
            <w:tcW w:w="100" w:type="dxa"/>
            <w:vAlign w:val="bottom"/>
            <w:tcBorders>
              <w:bottom w:val="single" w:sz="8" w:color="001544"/>
            </w:tcBorders>
          </w:tcPr>
          <w:p>
            <w:pPr>
              <w:spacing w:after="0"/>
              <w:rPr>
                <w:sz w:val="3"/>
                <w:szCs w:val="3"/>
                <w:color w:val="auto"/>
              </w:rPr>
            </w:pPr>
          </w:p>
        </w:tc>
        <w:tc>
          <w:tcPr>
            <w:tcW w:w="620" w:type="dxa"/>
            <w:vAlign w:val="bottom"/>
            <w:tcBorders>
              <w:bottom w:val="single" w:sz="8" w:color="001544"/>
            </w:tcBorders>
          </w:tcPr>
          <w:p>
            <w:pPr>
              <w:spacing w:after="0"/>
              <w:rPr>
                <w:sz w:val="3"/>
                <w:szCs w:val="3"/>
                <w:color w:val="auto"/>
              </w:rPr>
            </w:pPr>
          </w:p>
        </w:tc>
        <w:tc>
          <w:tcPr>
            <w:tcW w:w="780" w:type="dxa"/>
            <w:vAlign w:val="bottom"/>
            <w:tcBorders>
              <w:bottom w:val="single" w:sz="8" w:color="001544"/>
            </w:tcBorders>
          </w:tcPr>
          <w:p>
            <w:pPr>
              <w:spacing w:after="0"/>
              <w:rPr>
                <w:sz w:val="3"/>
                <w:szCs w:val="3"/>
                <w:color w:val="auto"/>
              </w:rPr>
            </w:pPr>
          </w:p>
        </w:tc>
        <w:tc>
          <w:tcPr>
            <w:tcW w:w="700" w:type="dxa"/>
            <w:vAlign w:val="bottom"/>
            <w:tcBorders>
              <w:bottom w:val="single" w:sz="8" w:color="001544"/>
            </w:tcBorders>
          </w:tcPr>
          <w:p>
            <w:pPr>
              <w:spacing w:after="0"/>
              <w:rPr>
                <w:sz w:val="3"/>
                <w:szCs w:val="3"/>
                <w:color w:val="auto"/>
              </w:rPr>
            </w:pPr>
          </w:p>
        </w:tc>
        <w:tc>
          <w:tcPr>
            <w:tcW w:w="1060" w:type="dxa"/>
            <w:vAlign w:val="bottom"/>
            <w:tcBorders>
              <w:bottom w:val="single" w:sz="8" w:color="001544"/>
            </w:tcBorders>
          </w:tcPr>
          <w:p>
            <w:pPr>
              <w:spacing w:after="0"/>
              <w:rPr>
                <w:sz w:val="3"/>
                <w:szCs w:val="3"/>
                <w:color w:val="auto"/>
              </w:rPr>
            </w:pPr>
          </w:p>
        </w:tc>
        <w:tc>
          <w:tcPr>
            <w:tcW w:w="720" w:type="dxa"/>
            <w:vAlign w:val="bottom"/>
            <w:tcBorders>
              <w:bottom w:val="single" w:sz="8" w:color="001544"/>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86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2"/>
                <w:szCs w:val="12"/>
                <w:b w:val="1"/>
                <w:bCs w:val="1"/>
                <w:color w:val="auto"/>
              </w:rPr>
              <w:t>Marc C. Ganzi</w:t>
            </w:r>
          </w:p>
        </w:tc>
        <w:tc>
          <w:tcPr>
            <w:tcW w:w="740" w:type="dxa"/>
            <w:vAlign w:val="bottom"/>
            <w:tcBorders>
              <w:bottom w:val="single" w:sz="8" w:color="DBDFEA"/>
            </w:tcBorders>
            <w:gridSpan w:val="2"/>
            <w:shd w:val="clear" w:color="auto" w:fill="DBDFEA"/>
          </w:tcPr>
          <w:p>
            <w:pPr>
              <w:jc w:val="center"/>
              <w:ind w:left="41"/>
              <w:spacing w:after="0"/>
              <w:rPr>
                <w:sz w:val="20"/>
                <w:szCs w:val="20"/>
                <w:color w:val="auto"/>
              </w:rPr>
            </w:pPr>
            <w:r>
              <w:rPr>
                <w:rFonts w:ascii="Arial" w:cs="Arial" w:eastAsia="Arial" w:hAnsi="Arial"/>
                <w:sz w:val="12"/>
                <w:szCs w:val="12"/>
                <w:color w:val="auto"/>
                <w:w w:val="97"/>
              </w:rPr>
              <w:t>2/15/2024</w:t>
            </w:r>
          </w:p>
        </w:tc>
        <w:tc>
          <w:tcPr>
            <w:tcW w:w="720" w:type="dxa"/>
            <w:vAlign w:val="bottom"/>
            <w:tcBorders>
              <w:bottom w:val="single" w:sz="8" w:color="DBDFEA"/>
            </w:tcBorders>
            <w:gridSpan w:val="2"/>
            <w:shd w:val="clear" w:color="auto" w:fill="DBDFEA"/>
          </w:tcPr>
          <w:p>
            <w:pPr>
              <w:jc w:val="center"/>
              <w:ind w:left="21"/>
              <w:spacing w:after="0"/>
              <w:rPr>
                <w:sz w:val="20"/>
                <w:szCs w:val="20"/>
                <w:color w:val="auto"/>
              </w:rPr>
            </w:pPr>
            <w:r>
              <w:rPr>
                <w:rFonts w:ascii="Arial" w:cs="Arial" w:eastAsia="Arial" w:hAnsi="Arial"/>
                <w:sz w:val="12"/>
                <w:szCs w:val="12"/>
                <w:color w:val="auto"/>
                <w:w w:val="97"/>
              </w:rPr>
              <w:t>3/15/2024</w:t>
            </w:r>
          </w:p>
        </w:tc>
        <w:tc>
          <w:tcPr>
            <w:tcW w:w="100" w:type="dxa"/>
            <w:vAlign w:val="bottom"/>
            <w:tcBorders>
              <w:bottom w:val="single" w:sz="8" w:color="DBDFEA"/>
            </w:tcBorders>
            <w:shd w:val="clear" w:color="auto" w:fill="DBDFEA"/>
          </w:tcPr>
          <w:p>
            <w:pPr>
              <w:spacing w:after="0"/>
              <w:rPr>
                <w:sz w:val="15"/>
                <w:szCs w:val="15"/>
                <w:color w:val="auto"/>
              </w:rPr>
            </w:pPr>
          </w:p>
        </w:tc>
        <w:tc>
          <w:tcPr>
            <w:tcW w:w="600" w:type="dxa"/>
            <w:vAlign w:val="bottom"/>
            <w:tcBorders>
              <w:bottom w:val="single" w:sz="8" w:color="DBDFEA"/>
            </w:tcBorders>
            <w:shd w:val="clear" w:color="auto" w:fill="DBDFEA"/>
          </w:tcPr>
          <w:p>
            <w:pPr>
              <w:ind w:left="44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DBDFEA"/>
            </w:tcBorders>
            <w:shd w:val="clear" w:color="auto" w:fill="DBDFEA"/>
          </w:tcPr>
          <w:p>
            <w:pPr>
              <w:jc w:val="right"/>
              <w:ind w:right="82"/>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FEA"/>
            </w:tcBorders>
            <w:shd w:val="clear" w:color="auto" w:fill="DBDFEA"/>
          </w:tcPr>
          <w:p>
            <w:pPr>
              <w:spacing w:after="0"/>
              <w:rPr>
                <w:sz w:val="15"/>
                <w:szCs w:val="15"/>
                <w:color w:val="auto"/>
              </w:rPr>
            </w:pPr>
          </w:p>
        </w:tc>
        <w:tc>
          <w:tcPr>
            <w:tcW w:w="6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DBDFEA"/>
            </w:tcBorders>
            <w:shd w:val="clear" w:color="auto" w:fill="DBDFEA"/>
          </w:tcPr>
          <w:p>
            <w:pPr>
              <w:jc w:val="right"/>
              <w:ind w:right="8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DBDFEA"/>
            </w:tcBorders>
            <w:shd w:val="clear" w:color="auto" w:fill="DBDFEA"/>
          </w:tcPr>
          <w:p>
            <w:pPr>
              <w:jc w:val="right"/>
              <w:ind w:right="2"/>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DBDFEA"/>
            </w:tcBorders>
            <w:shd w:val="clear" w:color="auto" w:fill="DBDFEA"/>
          </w:tcPr>
          <w:p>
            <w:pPr>
              <w:jc w:val="right"/>
              <w:ind w:right="22"/>
              <w:spacing w:after="0"/>
              <w:rPr>
                <w:sz w:val="20"/>
                <w:szCs w:val="20"/>
                <w:color w:val="auto"/>
              </w:rPr>
            </w:pPr>
            <w:r>
              <w:rPr>
                <w:rFonts w:ascii="Arial" w:cs="Arial" w:eastAsia="Arial" w:hAnsi="Arial"/>
                <w:sz w:val="12"/>
                <w:szCs w:val="12"/>
                <w:color w:val="auto"/>
              </w:rPr>
              <w:t>81,354</w:t>
            </w:r>
          </w:p>
        </w:tc>
        <w:tc>
          <w:tcPr>
            <w:tcW w:w="7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1,503,422</w:t>
            </w:r>
          </w:p>
        </w:tc>
        <w:tc>
          <w:tcPr>
            <w:tcW w:w="0" w:type="dxa"/>
            <w:vAlign w:val="bottom"/>
          </w:tcPr>
          <w:p>
            <w:pPr>
              <w:spacing w:after="0"/>
              <w:rPr>
                <w:sz w:val="1"/>
                <w:szCs w:val="1"/>
                <w:color w:val="auto"/>
              </w:rPr>
            </w:pPr>
          </w:p>
        </w:tc>
      </w:tr>
      <w:tr>
        <w:trPr>
          <w:trHeight w:val="161"/>
        </w:trPr>
        <w:tc>
          <w:tcPr>
            <w:tcW w:w="1860" w:type="dxa"/>
            <w:vAlign w:val="bottom"/>
            <w:tcBorders>
              <w:top w:val="single" w:sz="8" w:color="DBDFEA"/>
              <w:bottom w:val="single" w:sz="8" w:color="DBDFEA"/>
            </w:tcBorders>
            <w:shd w:val="clear" w:color="auto" w:fill="DBDFEA"/>
          </w:tcPr>
          <w:p>
            <w:pPr>
              <w:spacing w:after="0"/>
              <w:rPr>
                <w:sz w:val="14"/>
                <w:szCs w:val="14"/>
                <w:color w:val="auto"/>
              </w:rPr>
            </w:pPr>
          </w:p>
        </w:tc>
        <w:tc>
          <w:tcPr>
            <w:tcW w:w="100" w:type="dxa"/>
            <w:vAlign w:val="bottom"/>
            <w:tcBorders>
              <w:top w:val="single" w:sz="8" w:color="DBDFEA"/>
              <w:bottom w:val="single" w:sz="8" w:color="DBDFEA"/>
            </w:tcBorders>
            <w:shd w:val="clear" w:color="auto" w:fill="DBDFEA"/>
          </w:tcPr>
          <w:p>
            <w:pPr>
              <w:spacing w:after="0"/>
              <w:rPr>
                <w:sz w:val="14"/>
                <w:szCs w:val="14"/>
                <w:color w:val="auto"/>
              </w:rPr>
            </w:pPr>
          </w:p>
        </w:tc>
        <w:tc>
          <w:tcPr>
            <w:tcW w:w="640" w:type="dxa"/>
            <w:vAlign w:val="bottom"/>
            <w:tcBorders>
              <w:top w:val="single" w:sz="8" w:color="DBDFEA"/>
              <w:bottom w:val="single" w:sz="8" w:color="DBDFEA"/>
            </w:tcBorders>
            <w:shd w:val="clear" w:color="auto" w:fill="DBDFEA"/>
          </w:tcPr>
          <w:p>
            <w:pPr>
              <w:jc w:val="center"/>
              <w:spacing w:after="0"/>
              <w:rPr>
                <w:sz w:val="20"/>
                <w:szCs w:val="20"/>
                <w:color w:val="auto"/>
              </w:rPr>
            </w:pPr>
            <w:r>
              <w:rPr>
                <w:rFonts w:ascii="Arial" w:cs="Arial" w:eastAsia="Arial" w:hAnsi="Arial"/>
                <w:sz w:val="12"/>
                <w:szCs w:val="12"/>
                <w:color w:val="auto"/>
                <w:w w:val="97"/>
              </w:rPr>
              <w:t>2/15/2024</w:t>
            </w:r>
          </w:p>
        </w:tc>
        <w:tc>
          <w:tcPr>
            <w:tcW w:w="720" w:type="dxa"/>
            <w:vAlign w:val="bottom"/>
            <w:tcBorders>
              <w:top w:val="single" w:sz="8" w:color="008861"/>
              <w:bottom w:val="single" w:sz="8" w:color="008861"/>
            </w:tcBorders>
            <w:gridSpan w:val="2"/>
            <w:shd w:val="clear" w:color="auto" w:fill="DBDFEA"/>
          </w:tcPr>
          <w:p>
            <w:pPr>
              <w:jc w:val="center"/>
              <w:ind w:left="21"/>
              <w:spacing w:after="0"/>
              <w:rPr>
                <w:sz w:val="20"/>
                <w:szCs w:val="20"/>
                <w:color w:val="auto"/>
              </w:rPr>
            </w:pPr>
            <w:r>
              <w:rPr>
                <w:rFonts w:ascii="Arial" w:cs="Arial" w:eastAsia="Arial" w:hAnsi="Arial"/>
                <w:sz w:val="12"/>
                <w:szCs w:val="12"/>
                <w:color w:val="auto"/>
                <w:w w:val="97"/>
              </w:rPr>
              <w:t>3/15/2024</w:t>
            </w:r>
          </w:p>
        </w:tc>
        <w:tc>
          <w:tcPr>
            <w:tcW w:w="100" w:type="dxa"/>
            <w:vAlign w:val="bottom"/>
            <w:tcBorders>
              <w:top w:val="single" w:sz="8" w:color="008861"/>
              <w:bottom w:val="single" w:sz="8" w:color="008861"/>
            </w:tcBorders>
            <w:shd w:val="clear" w:color="auto" w:fill="DBDFEA"/>
          </w:tcPr>
          <w:p>
            <w:pPr>
              <w:spacing w:after="0"/>
              <w:rPr>
                <w:sz w:val="14"/>
                <w:szCs w:val="14"/>
                <w:color w:val="auto"/>
              </w:rPr>
            </w:pPr>
          </w:p>
        </w:tc>
        <w:tc>
          <w:tcPr>
            <w:tcW w:w="600" w:type="dxa"/>
            <w:vAlign w:val="bottom"/>
            <w:tcBorders>
              <w:top w:val="single" w:sz="8" w:color="008861"/>
              <w:bottom w:val="single" w:sz="8" w:color="008861"/>
            </w:tcBorders>
            <w:shd w:val="clear" w:color="auto" w:fill="DBDFEA"/>
          </w:tcPr>
          <w:p>
            <w:pPr>
              <w:ind w:left="44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008861"/>
              <w:bottom w:val="single" w:sz="8" w:color="008861"/>
            </w:tcBorders>
            <w:shd w:val="clear" w:color="auto" w:fill="DBDFEA"/>
          </w:tcPr>
          <w:p>
            <w:pPr>
              <w:jc w:val="right"/>
              <w:ind w:right="82"/>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008861"/>
              <w:bottom w:val="single" w:sz="8" w:color="008861"/>
            </w:tcBorders>
            <w:gridSpan w:val="2"/>
            <w:shd w:val="clear" w:color="auto" w:fill="DBDFEA"/>
          </w:tcPr>
          <w:p>
            <w:pPr>
              <w:jc w:val="right"/>
              <w:spacing w:after="0"/>
              <w:rPr>
                <w:sz w:val="20"/>
                <w:szCs w:val="20"/>
                <w:color w:val="auto"/>
              </w:rPr>
            </w:pPr>
            <w:r>
              <w:rPr>
                <w:rFonts w:ascii="Arial" w:cs="Arial" w:eastAsia="Arial" w:hAnsi="Arial"/>
                <w:sz w:val="12"/>
                <w:szCs w:val="12"/>
                <w:color w:val="auto"/>
              </w:rPr>
              <w:t>40,677</w:t>
            </w:r>
          </w:p>
        </w:tc>
        <w:tc>
          <w:tcPr>
            <w:tcW w:w="780" w:type="dxa"/>
            <w:vAlign w:val="bottom"/>
            <w:tcBorders>
              <w:top w:val="single" w:sz="8" w:color="008861"/>
              <w:bottom w:val="single" w:sz="8" w:color="008861"/>
            </w:tcBorders>
            <w:shd w:val="clear" w:color="auto" w:fill="DBDFEA"/>
          </w:tcPr>
          <w:p>
            <w:pPr>
              <w:jc w:val="right"/>
              <w:ind w:right="82"/>
              <w:spacing w:after="0"/>
              <w:rPr>
                <w:sz w:val="20"/>
                <w:szCs w:val="20"/>
                <w:color w:val="auto"/>
              </w:rPr>
            </w:pPr>
            <w:r>
              <w:rPr>
                <w:rFonts w:ascii="Arial" w:cs="Arial" w:eastAsia="Arial" w:hAnsi="Arial"/>
                <w:sz w:val="12"/>
                <w:szCs w:val="12"/>
                <w:color w:val="auto"/>
              </w:rPr>
              <w:t>81,354</w:t>
            </w:r>
          </w:p>
        </w:tc>
        <w:tc>
          <w:tcPr>
            <w:tcW w:w="700" w:type="dxa"/>
            <w:vAlign w:val="bottom"/>
            <w:tcBorders>
              <w:top w:val="single" w:sz="8" w:color="008861"/>
              <w:bottom w:val="single" w:sz="8" w:color="008861"/>
            </w:tcBorders>
            <w:shd w:val="clear" w:color="auto" w:fill="DBDFEA"/>
          </w:tcPr>
          <w:p>
            <w:pPr>
              <w:jc w:val="right"/>
              <w:ind w:right="2"/>
              <w:spacing w:after="0"/>
              <w:rPr>
                <w:sz w:val="20"/>
                <w:szCs w:val="20"/>
                <w:color w:val="auto"/>
              </w:rPr>
            </w:pPr>
            <w:r>
              <w:rPr>
                <w:rFonts w:ascii="Arial" w:cs="Arial" w:eastAsia="Arial" w:hAnsi="Arial"/>
                <w:sz w:val="12"/>
                <w:szCs w:val="12"/>
                <w:color w:val="auto"/>
              </w:rPr>
              <w:t>162,708</w:t>
            </w:r>
          </w:p>
        </w:tc>
        <w:tc>
          <w:tcPr>
            <w:tcW w:w="1060" w:type="dxa"/>
            <w:vAlign w:val="bottom"/>
            <w:tcBorders>
              <w:top w:val="single" w:sz="8" w:color="008861"/>
              <w:bottom w:val="single" w:sz="8" w:color="008861"/>
            </w:tcBorders>
            <w:shd w:val="clear" w:color="auto" w:fill="DBDFEA"/>
          </w:tcPr>
          <w:p>
            <w:pPr>
              <w:jc w:val="right"/>
              <w:ind w:right="22"/>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1,572,573</w:t>
            </w:r>
          </w:p>
        </w:tc>
        <w:tc>
          <w:tcPr>
            <w:tcW w:w="0" w:type="dxa"/>
            <w:vAlign w:val="bottom"/>
          </w:tcPr>
          <w:p>
            <w:pPr>
              <w:spacing w:after="0"/>
              <w:rPr>
                <w:sz w:val="1"/>
                <w:szCs w:val="1"/>
                <w:color w:val="auto"/>
              </w:rPr>
            </w:pPr>
          </w:p>
        </w:tc>
      </w:tr>
      <w:tr>
        <w:trPr>
          <w:trHeight w:val="169"/>
        </w:trPr>
        <w:tc>
          <w:tcPr>
            <w:tcW w:w="1860" w:type="dxa"/>
            <w:vAlign w:val="bottom"/>
            <w:tcBorders>
              <w:bottom w:val="single" w:sz="8" w:color="001544"/>
            </w:tcBorders>
            <w:shd w:val="clear" w:color="auto" w:fill="DBDFEA"/>
          </w:tcPr>
          <w:p>
            <w:pPr>
              <w:spacing w:after="0"/>
              <w:rPr>
                <w:sz w:val="14"/>
                <w:szCs w:val="14"/>
                <w:color w:val="auto"/>
              </w:rPr>
            </w:pPr>
          </w:p>
        </w:tc>
        <w:tc>
          <w:tcPr>
            <w:tcW w:w="100" w:type="dxa"/>
            <w:vAlign w:val="bottom"/>
            <w:tcBorders>
              <w:bottom w:val="single" w:sz="8" w:color="001544"/>
            </w:tcBorders>
            <w:shd w:val="clear" w:color="auto" w:fill="DBDFEA"/>
          </w:tcPr>
          <w:p>
            <w:pPr>
              <w:spacing w:after="0"/>
              <w:rPr>
                <w:sz w:val="14"/>
                <w:szCs w:val="14"/>
                <w:color w:val="auto"/>
              </w:rPr>
            </w:pPr>
          </w:p>
        </w:tc>
        <w:tc>
          <w:tcPr>
            <w:tcW w:w="640" w:type="dxa"/>
            <w:vAlign w:val="bottom"/>
            <w:tcBorders>
              <w:bottom w:val="single" w:sz="8" w:color="001544"/>
            </w:tcBorders>
            <w:shd w:val="clear" w:color="auto" w:fill="DBDFEA"/>
          </w:tcPr>
          <w:p>
            <w:pPr>
              <w:jc w:val="center"/>
              <w:spacing w:after="0"/>
              <w:rPr>
                <w:sz w:val="20"/>
                <w:szCs w:val="20"/>
                <w:color w:val="auto"/>
              </w:rPr>
            </w:pPr>
            <w:r>
              <w:rPr>
                <w:rFonts w:ascii="Arial" w:cs="Arial" w:eastAsia="Arial" w:hAnsi="Arial"/>
                <w:sz w:val="12"/>
                <w:szCs w:val="12"/>
                <w:color w:val="auto"/>
                <w:w w:val="98"/>
              </w:rPr>
              <w:t>3/7/2024</w:t>
            </w:r>
          </w:p>
        </w:tc>
        <w:tc>
          <w:tcPr>
            <w:tcW w:w="720" w:type="dxa"/>
            <w:vAlign w:val="bottom"/>
            <w:tcBorders>
              <w:bottom w:val="single" w:sz="8" w:color="001544"/>
            </w:tcBorders>
            <w:gridSpan w:val="2"/>
            <w:shd w:val="clear" w:color="auto" w:fill="DBDFEA"/>
          </w:tcPr>
          <w:p>
            <w:pPr>
              <w:jc w:val="center"/>
              <w:ind w:left="1"/>
              <w:spacing w:after="0"/>
              <w:rPr>
                <w:sz w:val="20"/>
                <w:szCs w:val="20"/>
                <w:color w:val="auto"/>
              </w:rPr>
            </w:pPr>
            <w:r>
              <w:rPr>
                <w:rFonts w:ascii="Arial" w:cs="Arial" w:eastAsia="Arial" w:hAnsi="Arial"/>
                <w:sz w:val="12"/>
                <w:szCs w:val="12"/>
                <w:color w:val="auto"/>
                <w:w w:val="98"/>
              </w:rPr>
              <w:t>3/7/2024</w:t>
            </w:r>
          </w:p>
        </w:tc>
        <w:tc>
          <w:tcPr>
            <w:tcW w:w="100" w:type="dxa"/>
            <w:vAlign w:val="bottom"/>
            <w:tcBorders>
              <w:bottom w:val="single" w:sz="8" w:color="001544"/>
            </w:tcBorders>
            <w:shd w:val="clear" w:color="auto" w:fill="DBDFEA"/>
          </w:tcPr>
          <w:p>
            <w:pPr>
              <w:spacing w:after="0"/>
              <w:rPr>
                <w:sz w:val="14"/>
                <w:szCs w:val="14"/>
                <w:color w:val="auto"/>
              </w:rPr>
            </w:pPr>
          </w:p>
        </w:tc>
        <w:tc>
          <w:tcPr>
            <w:tcW w:w="600" w:type="dxa"/>
            <w:vAlign w:val="bottom"/>
            <w:tcBorders>
              <w:bottom w:val="single" w:sz="8" w:color="001544"/>
            </w:tcBorders>
            <w:shd w:val="clear" w:color="auto" w:fill="DBDFEA"/>
          </w:tcPr>
          <w:p>
            <w:pPr>
              <w:ind w:left="44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001544"/>
            </w:tcBorders>
            <w:shd w:val="clear" w:color="auto" w:fill="DBDFEA"/>
          </w:tcPr>
          <w:p>
            <w:pPr>
              <w:jc w:val="right"/>
              <w:ind w:right="82"/>
              <w:spacing w:after="0"/>
              <w:rPr>
                <w:sz w:val="20"/>
                <w:szCs w:val="20"/>
                <w:color w:val="auto"/>
              </w:rPr>
            </w:pPr>
            <w:r>
              <w:rPr>
                <w:rFonts w:ascii="Arial" w:cs="Arial" w:eastAsia="Arial" w:hAnsi="Arial"/>
                <w:sz w:val="12"/>
                <w:szCs w:val="12"/>
                <w:color w:val="auto"/>
              </w:rPr>
              <w:t>1,440,000</w:t>
            </w:r>
          </w:p>
        </w:tc>
        <w:tc>
          <w:tcPr>
            <w:tcW w:w="6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2,880,000</w:t>
            </w:r>
          </w:p>
        </w:tc>
        <w:tc>
          <w:tcPr>
            <w:tcW w:w="100" w:type="dxa"/>
            <w:vAlign w:val="bottom"/>
            <w:tcBorders>
              <w:bottom w:val="single" w:sz="8" w:color="001544"/>
            </w:tcBorders>
            <w:shd w:val="clear" w:color="auto" w:fill="DBDFEA"/>
          </w:tcPr>
          <w:p>
            <w:pPr>
              <w:spacing w:after="0"/>
              <w:rPr>
                <w:sz w:val="14"/>
                <w:szCs w:val="14"/>
                <w:color w:val="auto"/>
              </w:rPr>
            </w:pPr>
          </w:p>
        </w:tc>
        <w:tc>
          <w:tcPr>
            <w:tcW w:w="6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001544"/>
            </w:tcBorders>
            <w:shd w:val="clear" w:color="auto" w:fill="DBDFEA"/>
          </w:tcPr>
          <w:p>
            <w:pPr>
              <w:jc w:val="right"/>
              <w:ind w:right="8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001544"/>
            </w:tcBorders>
            <w:shd w:val="clear" w:color="auto" w:fill="DBDFEA"/>
          </w:tcPr>
          <w:p>
            <w:pPr>
              <w:jc w:val="right"/>
              <w:ind w:right="2"/>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001544"/>
            </w:tcBorders>
            <w:shd w:val="clear" w:color="auto" w:fill="DBDFEA"/>
          </w:tcPr>
          <w:p>
            <w:pPr>
              <w:jc w:val="right"/>
              <w:ind w:right="2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3"/>
        </w:trPr>
        <w:tc>
          <w:tcPr>
            <w:tcW w:w="186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2"/>
                <w:szCs w:val="12"/>
                <w:b w:val="1"/>
                <w:bCs w:val="1"/>
                <w:color w:val="auto"/>
              </w:rPr>
              <w:t>Benjamin J. Jenkins</w:t>
            </w:r>
          </w:p>
        </w:tc>
        <w:tc>
          <w:tcPr>
            <w:tcW w:w="100" w:type="dxa"/>
            <w:vAlign w:val="bottom"/>
            <w:tcBorders>
              <w:bottom w:val="single" w:sz="8" w:color="DBDFEA"/>
            </w:tcBorders>
            <w:shd w:val="clear" w:color="auto" w:fill="DBDFEA"/>
          </w:tcPr>
          <w:p>
            <w:pPr>
              <w:spacing w:after="0"/>
              <w:rPr>
                <w:sz w:val="16"/>
                <w:szCs w:val="16"/>
                <w:color w:val="auto"/>
              </w:rPr>
            </w:pPr>
          </w:p>
        </w:tc>
        <w:tc>
          <w:tcPr>
            <w:tcW w:w="640" w:type="dxa"/>
            <w:vAlign w:val="bottom"/>
            <w:tcBorders>
              <w:bottom w:val="single" w:sz="8" w:color="DBDFEA"/>
            </w:tcBorders>
            <w:shd w:val="clear" w:color="auto" w:fill="DBDFEA"/>
          </w:tcPr>
          <w:p>
            <w:pPr>
              <w:jc w:val="center"/>
              <w:spacing w:after="0"/>
              <w:rPr>
                <w:sz w:val="20"/>
                <w:szCs w:val="20"/>
                <w:color w:val="auto"/>
              </w:rPr>
            </w:pPr>
            <w:r>
              <w:rPr>
                <w:rFonts w:ascii="Arial" w:cs="Arial" w:eastAsia="Arial" w:hAnsi="Arial"/>
                <w:sz w:val="12"/>
                <w:szCs w:val="12"/>
                <w:color w:val="auto"/>
                <w:w w:val="97"/>
              </w:rPr>
              <w:t>2/15/2024</w:t>
            </w:r>
          </w:p>
        </w:tc>
        <w:tc>
          <w:tcPr>
            <w:tcW w:w="60" w:type="dxa"/>
            <w:vAlign w:val="bottom"/>
            <w:tcBorders>
              <w:bottom w:val="single" w:sz="8" w:color="DBDFEA"/>
            </w:tcBorders>
            <w:shd w:val="clear" w:color="auto" w:fill="DBDFEA"/>
          </w:tcPr>
          <w:p>
            <w:pPr>
              <w:spacing w:after="0"/>
              <w:rPr>
                <w:sz w:val="16"/>
                <w:szCs w:val="16"/>
                <w:color w:val="auto"/>
              </w:rPr>
            </w:pPr>
          </w:p>
        </w:tc>
        <w:tc>
          <w:tcPr>
            <w:tcW w:w="660" w:type="dxa"/>
            <w:vAlign w:val="bottom"/>
            <w:tcBorders>
              <w:bottom w:val="single" w:sz="8" w:color="DBDFEA"/>
            </w:tcBorders>
            <w:shd w:val="clear" w:color="auto" w:fill="DBDFEA"/>
          </w:tcPr>
          <w:p>
            <w:pPr>
              <w:jc w:val="center"/>
              <w:spacing w:after="0"/>
              <w:rPr>
                <w:sz w:val="20"/>
                <w:szCs w:val="20"/>
                <w:color w:val="auto"/>
              </w:rPr>
            </w:pPr>
            <w:r>
              <w:rPr>
                <w:rFonts w:ascii="Arial" w:cs="Arial" w:eastAsia="Arial" w:hAnsi="Arial"/>
                <w:sz w:val="12"/>
                <w:szCs w:val="12"/>
                <w:color w:val="auto"/>
                <w:w w:val="97"/>
              </w:rPr>
              <w:t>3/15/2024</w:t>
            </w:r>
          </w:p>
        </w:tc>
        <w:tc>
          <w:tcPr>
            <w:tcW w:w="100" w:type="dxa"/>
            <w:vAlign w:val="bottom"/>
            <w:tcBorders>
              <w:bottom w:val="single" w:sz="8" w:color="DBDFEA"/>
            </w:tcBorders>
            <w:shd w:val="clear" w:color="auto" w:fill="DBDFEA"/>
          </w:tcPr>
          <w:p>
            <w:pPr>
              <w:spacing w:after="0"/>
              <w:rPr>
                <w:sz w:val="16"/>
                <w:szCs w:val="16"/>
                <w:color w:val="auto"/>
              </w:rPr>
            </w:pPr>
          </w:p>
        </w:tc>
        <w:tc>
          <w:tcPr>
            <w:tcW w:w="600" w:type="dxa"/>
            <w:vAlign w:val="bottom"/>
            <w:tcBorders>
              <w:bottom w:val="single" w:sz="8" w:color="DBDFEA"/>
            </w:tcBorders>
            <w:shd w:val="clear" w:color="auto" w:fill="DBDFEA"/>
          </w:tcPr>
          <w:p>
            <w:pPr>
              <w:ind w:left="44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DBDFEA"/>
            </w:tcBorders>
            <w:shd w:val="clear" w:color="auto" w:fill="DBDFEA"/>
          </w:tcPr>
          <w:p>
            <w:pPr>
              <w:jc w:val="right"/>
              <w:ind w:right="82"/>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FEA"/>
            </w:tcBorders>
            <w:shd w:val="clear" w:color="auto" w:fill="DBDFEA"/>
          </w:tcPr>
          <w:p>
            <w:pPr>
              <w:spacing w:after="0"/>
              <w:rPr>
                <w:sz w:val="16"/>
                <w:szCs w:val="16"/>
                <w:color w:val="auto"/>
              </w:rPr>
            </w:pPr>
          </w:p>
        </w:tc>
        <w:tc>
          <w:tcPr>
            <w:tcW w:w="6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DBDFEA"/>
            </w:tcBorders>
            <w:shd w:val="clear" w:color="auto" w:fill="DBDFEA"/>
          </w:tcPr>
          <w:p>
            <w:pPr>
              <w:jc w:val="right"/>
              <w:ind w:right="8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DBDFEA"/>
            </w:tcBorders>
            <w:shd w:val="clear" w:color="auto" w:fill="DBDFEA"/>
          </w:tcPr>
          <w:p>
            <w:pPr>
              <w:jc w:val="right"/>
              <w:ind w:right="2"/>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DBDFEA"/>
            </w:tcBorders>
            <w:shd w:val="clear" w:color="auto" w:fill="DBDFEA"/>
          </w:tcPr>
          <w:p>
            <w:pPr>
              <w:jc w:val="right"/>
              <w:ind w:right="22"/>
              <w:spacing w:after="0"/>
              <w:rPr>
                <w:sz w:val="20"/>
                <w:szCs w:val="20"/>
                <w:color w:val="auto"/>
              </w:rPr>
            </w:pPr>
            <w:r>
              <w:rPr>
                <w:rFonts w:ascii="Arial" w:cs="Arial" w:eastAsia="Arial" w:hAnsi="Arial"/>
                <w:sz w:val="12"/>
                <w:szCs w:val="12"/>
                <w:color w:val="auto"/>
              </w:rPr>
              <w:t>44,904</w:t>
            </w:r>
          </w:p>
        </w:tc>
        <w:tc>
          <w:tcPr>
            <w:tcW w:w="7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829,826</w:t>
            </w:r>
          </w:p>
        </w:tc>
        <w:tc>
          <w:tcPr>
            <w:tcW w:w="0" w:type="dxa"/>
            <w:vAlign w:val="bottom"/>
          </w:tcPr>
          <w:p>
            <w:pPr>
              <w:spacing w:after="0"/>
              <w:rPr>
                <w:sz w:val="1"/>
                <w:szCs w:val="1"/>
                <w:color w:val="auto"/>
              </w:rPr>
            </w:pPr>
          </w:p>
        </w:tc>
      </w:tr>
      <w:tr>
        <w:trPr>
          <w:trHeight w:val="161"/>
        </w:trPr>
        <w:tc>
          <w:tcPr>
            <w:tcW w:w="1860" w:type="dxa"/>
            <w:vAlign w:val="bottom"/>
            <w:tcBorders>
              <w:top w:val="single" w:sz="8" w:color="DBDFEA"/>
              <w:bottom w:val="single" w:sz="8" w:color="DBDFEA"/>
            </w:tcBorders>
            <w:shd w:val="clear" w:color="auto" w:fill="DBDFEA"/>
          </w:tcPr>
          <w:p>
            <w:pPr>
              <w:spacing w:after="0"/>
              <w:rPr>
                <w:sz w:val="14"/>
                <w:szCs w:val="14"/>
                <w:color w:val="auto"/>
              </w:rPr>
            </w:pPr>
          </w:p>
        </w:tc>
        <w:tc>
          <w:tcPr>
            <w:tcW w:w="100" w:type="dxa"/>
            <w:vAlign w:val="bottom"/>
            <w:tcBorders>
              <w:top w:val="single" w:sz="8" w:color="DBDFEA"/>
              <w:bottom w:val="single" w:sz="8" w:color="DBDFEA"/>
            </w:tcBorders>
            <w:shd w:val="clear" w:color="auto" w:fill="DBDFEA"/>
          </w:tcPr>
          <w:p>
            <w:pPr>
              <w:spacing w:after="0"/>
              <w:rPr>
                <w:sz w:val="14"/>
                <w:szCs w:val="14"/>
                <w:color w:val="auto"/>
              </w:rPr>
            </w:pPr>
          </w:p>
        </w:tc>
        <w:tc>
          <w:tcPr>
            <w:tcW w:w="640" w:type="dxa"/>
            <w:vAlign w:val="bottom"/>
            <w:tcBorders>
              <w:top w:val="single" w:sz="8" w:color="DBDFEA"/>
              <w:bottom w:val="single" w:sz="8" w:color="DBDFEA"/>
            </w:tcBorders>
            <w:shd w:val="clear" w:color="auto" w:fill="DBDFEA"/>
          </w:tcPr>
          <w:p>
            <w:pPr>
              <w:jc w:val="center"/>
              <w:spacing w:after="0"/>
              <w:rPr>
                <w:sz w:val="20"/>
                <w:szCs w:val="20"/>
                <w:color w:val="auto"/>
              </w:rPr>
            </w:pPr>
            <w:r>
              <w:rPr>
                <w:rFonts w:ascii="Arial" w:cs="Arial" w:eastAsia="Arial" w:hAnsi="Arial"/>
                <w:sz w:val="12"/>
                <w:szCs w:val="12"/>
                <w:color w:val="auto"/>
                <w:w w:val="97"/>
              </w:rPr>
              <w:t>2/15/2024</w:t>
            </w:r>
          </w:p>
        </w:tc>
        <w:tc>
          <w:tcPr>
            <w:tcW w:w="60" w:type="dxa"/>
            <w:vAlign w:val="bottom"/>
            <w:tcBorders>
              <w:top w:val="single" w:sz="8" w:color="008861"/>
              <w:bottom w:val="single" w:sz="8" w:color="008861"/>
            </w:tcBorders>
            <w:shd w:val="clear" w:color="auto" w:fill="DBDFEA"/>
          </w:tcPr>
          <w:p>
            <w:pPr>
              <w:spacing w:after="0"/>
              <w:rPr>
                <w:sz w:val="14"/>
                <w:szCs w:val="14"/>
                <w:color w:val="auto"/>
              </w:rPr>
            </w:pPr>
          </w:p>
        </w:tc>
        <w:tc>
          <w:tcPr>
            <w:tcW w:w="660" w:type="dxa"/>
            <w:vAlign w:val="bottom"/>
            <w:tcBorders>
              <w:top w:val="single" w:sz="8" w:color="008861"/>
              <w:bottom w:val="single" w:sz="8" w:color="008861"/>
            </w:tcBorders>
            <w:shd w:val="clear" w:color="auto" w:fill="DBDFEA"/>
          </w:tcPr>
          <w:p>
            <w:pPr>
              <w:jc w:val="center"/>
              <w:spacing w:after="0"/>
              <w:rPr>
                <w:sz w:val="20"/>
                <w:szCs w:val="20"/>
                <w:color w:val="auto"/>
              </w:rPr>
            </w:pPr>
            <w:r>
              <w:rPr>
                <w:rFonts w:ascii="Arial" w:cs="Arial" w:eastAsia="Arial" w:hAnsi="Arial"/>
                <w:sz w:val="12"/>
                <w:szCs w:val="12"/>
                <w:color w:val="auto"/>
                <w:w w:val="97"/>
              </w:rPr>
              <w:t>3/15/2024</w:t>
            </w:r>
          </w:p>
        </w:tc>
        <w:tc>
          <w:tcPr>
            <w:tcW w:w="100" w:type="dxa"/>
            <w:vAlign w:val="bottom"/>
            <w:tcBorders>
              <w:top w:val="single" w:sz="8" w:color="008861"/>
              <w:bottom w:val="single" w:sz="8" w:color="008861"/>
            </w:tcBorders>
            <w:shd w:val="clear" w:color="auto" w:fill="DBDFEA"/>
          </w:tcPr>
          <w:p>
            <w:pPr>
              <w:spacing w:after="0"/>
              <w:rPr>
                <w:sz w:val="14"/>
                <w:szCs w:val="14"/>
                <w:color w:val="auto"/>
              </w:rPr>
            </w:pPr>
          </w:p>
        </w:tc>
        <w:tc>
          <w:tcPr>
            <w:tcW w:w="600" w:type="dxa"/>
            <w:vAlign w:val="bottom"/>
            <w:tcBorders>
              <w:top w:val="single" w:sz="8" w:color="008861"/>
              <w:bottom w:val="single" w:sz="8" w:color="008861"/>
            </w:tcBorders>
            <w:shd w:val="clear" w:color="auto" w:fill="DBDFEA"/>
          </w:tcPr>
          <w:p>
            <w:pPr>
              <w:ind w:left="44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008861"/>
              <w:bottom w:val="single" w:sz="8" w:color="008861"/>
            </w:tcBorders>
            <w:shd w:val="clear" w:color="auto" w:fill="DBDFEA"/>
          </w:tcPr>
          <w:p>
            <w:pPr>
              <w:jc w:val="right"/>
              <w:ind w:right="82"/>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008861"/>
              <w:bottom w:val="single" w:sz="8" w:color="008861"/>
            </w:tcBorders>
            <w:gridSpan w:val="2"/>
            <w:shd w:val="clear" w:color="auto" w:fill="DBDFEA"/>
          </w:tcPr>
          <w:p>
            <w:pPr>
              <w:jc w:val="right"/>
              <w:spacing w:after="0"/>
              <w:rPr>
                <w:sz w:val="20"/>
                <w:szCs w:val="20"/>
                <w:color w:val="auto"/>
              </w:rPr>
            </w:pPr>
            <w:r>
              <w:rPr>
                <w:rFonts w:ascii="Arial" w:cs="Arial" w:eastAsia="Arial" w:hAnsi="Arial"/>
                <w:sz w:val="12"/>
                <w:szCs w:val="12"/>
                <w:color w:val="auto"/>
              </w:rPr>
              <w:t>22,452</w:t>
            </w:r>
          </w:p>
        </w:tc>
        <w:tc>
          <w:tcPr>
            <w:tcW w:w="780" w:type="dxa"/>
            <w:vAlign w:val="bottom"/>
            <w:tcBorders>
              <w:top w:val="single" w:sz="8" w:color="008861"/>
              <w:bottom w:val="single" w:sz="8" w:color="008861"/>
            </w:tcBorders>
            <w:shd w:val="clear" w:color="auto" w:fill="DBDFEA"/>
          </w:tcPr>
          <w:p>
            <w:pPr>
              <w:jc w:val="right"/>
              <w:ind w:right="82"/>
              <w:spacing w:after="0"/>
              <w:rPr>
                <w:sz w:val="20"/>
                <w:szCs w:val="20"/>
                <w:color w:val="auto"/>
              </w:rPr>
            </w:pPr>
            <w:r>
              <w:rPr>
                <w:rFonts w:ascii="Arial" w:cs="Arial" w:eastAsia="Arial" w:hAnsi="Arial"/>
                <w:sz w:val="12"/>
                <w:szCs w:val="12"/>
                <w:color w:val="auto"/>
              </w:rPr>
              <w:t>44,904</w:t>
            </w:r>
          </w:p>
        </w:tc>
        <w:tc>
          <w:tcPr>
            <w:tcW w:w="700" w:type="dxa"/>
            <w:vAlign w:val="bottom"/>
            <w:tcBorders>
              <w:top w:val="single" w:sz="8" w:color="008861"/>
              <w:bottom w:val="single" w:sz="8" w:color="008861"/>
            </w:tcBorders>
            <w:shd w:val="clear" w:color="auto" w:fill="DBDFEA"/>
          </w:tcPr>
          <w:p>
            <w:pPr>
              <w:jc w:val="right"/>
              <w:ind w:right="2"/>
              <w:spacing w:after="0"/>
              <w:rPr>
                <w:sz w:val="20"/>
                <w:szCs w:val="20"/>
                <w:color w:val="auto"/>
              </w:rPr>
            </w:pPr>
            <w:r>
              <w:rPr>
                <w:rFonts w:ascii="Arial" w:cs="Arial" w:eastAsia="Arial" w:hAnsi="Arial"/>
                <w:sz w:val="12"/>
                <w:szCs w:val="12"/>
                <w:color w:val="auto"/>
              </w:rPr>
              <w:t>89,808</w:t>
            </w:r>
          </w:p>
        </w:tc>
        <w:tc>
          <w:tcPr>
            <w:tcW w:w="1060" w:type="dxa"/>
            <w:vAlign w:val="bottom"/>
            <w:tcBorders>
              <w:top w:val="single" w:sz="8" w:color="008861"/>
              <w:bottom w:val="single" w:sz="8" w:color="008861"/>
            </w:tcBorders>
            <w:shd w:val="clear" w:color="auto" w:fill="DBDFEA"/>
          </w:tcPr>
          <w:p>
            <w:pPr>
              <w:jc w:val="right"/>
              <w:ind w:right="22"/>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867,994</w:t>
            </w:r>
          </w:p>
        </w:tc>
        <w:tc>
          <w:tcPr>
            <w:tcW w:w="0" w:type="dxa"/>
            <w:vAlign w:val="bottom"/>
          </w:tcPr>
          <w:p>
            <w:pPr>
              <w:spacing w:after="0"/>
              <w:rPr>
                <w:sz w:val="1"/>
                <w:szCs w:val="1"/>
                <w:color w:val="auto"/>
              </w:rPr>
            </w:pPr>
          </w:p>
        </w:tc>
      </w:tr>
      <w:tr>
        <w:trPr>
          <w:trHeight w:val="169"/>
        </w:trPr>
        <w:tc>
          <w:tcPr>
            <w:tcW w:w="1860" w:type="dxa"/>
            <w:vAlign w:val="bottom"/>
            <w:tcBorders>
              <w:bottom w:val="single" w:sz="8" w:color="001544"/>
            </w:tcBorders>
            <w:shd w:val="clear" w:color="auto" w:fill="DBDFEA"/>
          </w:tcPr>
          <w:p>
            <w:pPr>
              <w:spacing w:after="0"/>
              <w:rPr>
                <w:sz w:val="14"/>
                <w:szCs w:val="14"/>
                <w:color w:val="auto"/>
              </w:rPr>
            </w:pPr>
          </w:p>
        </w:tc>
        <w:tc>
          <w:tcPr>
            <w:tcW w:w="100" w:type="dxa"/>
            <w:vAlign w:val="bottom"/>
            <w:tcBorders>
              <w:bottom w:val="single" w:sz="8" w:color="001544"/>
            </w:tcBorders>
            <w:shd w:val="clear" w:color="auto" w:fill="DBDFEA"/>
          </w:tcPr>
          <w:p>
            <w:pPr>
              <w:spacing w:after="0"/>
              <w:rPr>
                <w:sz w:val="14"/>
                <w:szCs w:val="14"/>
                <w:color w:val="auto"/>
              </w:rPr>
            </w:pPr>
          </w:p>
        </w:tc>
        <w:tc>
          <w:tcPr>
            <w:tcW w:w="640" w:type="dxa"/>
            <w:vAlign w:val="bottom"/>
            <w:tcBorders>
              <w:bottom w:val="single" w:sz="8" w:color="001544"/>
            </w:tcBorders>
            <w:shd w:val="clear" w:color="auto" w:fill="DBDFEA"/>
          </w:tcPr>
          <w:p>
            <w:pPr>
              <w:jc w:val="center"/>
              <w:spacing w:after="0"/>
              <w:rPr>
                <w:sz w:val="20"/>
                <w:szCs w:val="20"/>
                <w:color w:val="auto"/>
              </w:rPr>
            </w:pPr>
            <w:r>
              <w:rPr>
                <w:rFonts w:ascii="Arial" w:cs="Arial" w:eastAsia="Arial" w:hAnsi="Arial"/>
                <w:sz w:val="12"/>
                <w:szCs w:val="12"/>
                <w:color w:val="auto"/>
                <w:w w:val="98"/>
              </w:rPr>
              <w:t>3/7/2024</w:t>
            </w:r>
          </w:p>
        </w:tc>
        <w:tc>
          <w:tcPr>
            <w:tcW w:w="60" w:type="dxa"/>
            <w:vAlign w:val="bottom"/>
            <w:tcBorders>
              <w:bottom w:val="single" w:sz="8" w:color="001544"/>
            </w:tcBorders>
            <w:shd w:val="clear" w:color="auto" w:fill="DBDFEA"/>
          </w:tcPr>
          <w:p>
            <w:pPr>
              <w:spacing w:after="0"/>
              <w:rPr>
                <w:sz w:val="14"/>
                <w:szCs w:val="14"/>
                <w:color w:val="auto"/>
              </w:rPr>
            </w:pPr>
          </w:p>
        </w:tc>
        <w:tc>
          <w:tcPr>
            <w:tcW w:w="660" w:type="dxa"/>
            <w:vAlign w:val="bottom"/>
            <w:tcBorders>
              <w:bottom w:val="single" w:sz="8" w:color="001544"/>
            </w:tcBorders>
            <w:shd w:val="clear" w:color="auto" w:fill="DBDFEA"/>
          </w:tcPr>
          <w:p>
            <w:pPr>
              <w:jc w:val="center"/>
              <w:spacing w:after="0"/>
              <w:rPr>
                <w:sz w:val="20"/>
                <w:szCs w:val="20"/>
                <w:color w:val="auto"/>
              </w:rPr>
            </w:pPr>
            <w:r>
              <w:rPr>
                <w:rFonts w:ascii="Arial" w:cs="Arial" w:eastAsia="Arial" w:hAnsi="Arial"/>
                <w:sz w:val="12"/>
                <w:szCs w:val="12"/>
                <w:color w:val="auto"/>
                <w:w w:val="98"/>
              </w:rPr>
              <w:t>3/7/2024</w:t>
            </w:r>
          </w:p>
        </w:tc>
        <w:tc>
          <w:tcPr>
            <w:tcW w:w="100" w:type="dxa"/>
            <w:vAlign w:val="bottom"/>
            <w:tcBorders>
              <w:bottom w:val="single" w:sz="8" w:color="001544"/>
            </w:tcBorders>
            <w:shd w:val="clear" w:color="auto" w:fill="DBDFEA"/>
          </w:tcPr>
          <w:p>
            <w:pPr>
              <w:spacing w:after="0"/>
              <w:rPr>
                <w:sz w:val="14"/>
                <w:szCs w:val="14"/>
                <w:color w:val="auto"/>
              </w:rPr>
            </w:pPr>
          </w:p>
        </w:tc>
        <w:tc>
          <w:tcPr>
            <w:tcW w:w="600" w:type="dxa"/>
            <w:vAlign w:val="bottom"/>
            <w:tcBorders>
              <w:bottom w:val="single" w:sz="8" w:color="001544"/>
            </w:tcBorders>
            <w:shd w:val="clear" w:color="auto" w:fill="DBDFEA"/>
          </w:tcPr>
          <w:p>
            <w:pPr>
              <w:ind w:left="44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001544"/>
            </w:tcBorders>
            <w:shd w:val="clear" w:color="auto" w:fill="DBDFEA"/>
          </w:tcPr>
          <w:p>
            <w:pPr>
              <w:jc w:val="right"/>
              <w:ind w:right="82"/>
              <w:spacing w:after="0"/>
              <w:rPr>
                <w:sz w:val="20"/>
                <w:szCs w:val="20"/>
                <w:color w:val="auto"/>
              </w:rPr>
            </w:pPr>
            <w:r>
              <w:rPr>
                <w:rFonts w:ascii="Arial" w:cs="Arial" w:eastAsia="Arial" w:hAnsi="Arial"/>
                <w:sz w:val="12"/>
                <w:szCs w:val="12"/>
                <w:color w:val="auto"/>
              </w:rPr>
              <w:t>700,000</w:t>
            </w:r>
          </w:p>
        </w:tc>
        <w:tc>
          <w:tcPr>
            <w:tcW w:w="6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1,400,000</w:t>
            </w:r>
          </w:p>
        </w:tc>
        <w:tc>
          <w:tcPr>
            <w:tcW w:w="100" w:type="dxa"/>
            <w:vAlign w:val="bottom"/>
            <w:tcBorders>
              <w:bottom w:val="single" w:sz="8" w:color="001544"/>
            </w:tcBorders>
            <w:shd w:val="clear" w:color="auto" w:fill="DBDFEA"/>
          </w:tcPr>
          <w:p>
            <w:pPr>
              <w:spacing w:after="0"/>
              <w:rPr>
                <w:sz w:val="14"/>
                <w:szCs w:val="14"/>
                <w:color w:val="auto"/>
              </w:rPr>
            </w:pPr>
          </w:p>
        </w:tc>
        <w:tc>
          <w:tcPr>
            <w:tcW w:w="6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001544"/>
            </w:tcBorders>
            <w:shd w:val="clear" w:color="auto" w:fill="DBDFEA"/>
          </w:tcPr>
          <w:p>
            <w:pPr>
              <w:jc w:val="right"/>
              <w:ind w:right="8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001544"/>
            </w:tcBorders>
            <w:shd w:val="clear" w:color="auto" w:fill="DBDFEA"/>
          </w:tcPr>
          <w:p>
            <w:pPr>
              <w:jc w:val="right"/>
              <w:ind w:right="2"/>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001544"/>
            </w:tcBorders>
            <w:shd w:val="clear" w:color="auto" w:fill="DBDFEA"/>
          </w:tcPr>
          <w:p>
            <w:pPr>
              <w:jc w:val="right"/>
              <w:ind w:right="2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3"/>
        </w:trPr>
        <w:tc>
          <w:tcPr>
            <w:tcW w:w="186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2"/>
                <w:szCs w:val="12"/>
                <w:b w:val="1"/>
                <w:bCs w:val="1"/>
                <w:color w:val="auto"/>
              </w:rPr>
              <w:t>Thomas Mayrhofer</w:t>
            </w:r>
          </w:p>
        </w:tc>
        <w:tc>
          <w:tcPr>
            <w:tcW w:w="100" w:type="dxa"/>
            <w:vAlign w:val="bottom"/>
            <w:tcBorders>
              <w:bottom w:val="single" w:sz="8" w:color="DBDFEA"/>
            </w:tcBorders>
            <w:shd w:val="clear" w:color="auto" w:fill="DBDFEA"/>
          </w:tcPr>
          <w:p>
            <w:pPr>
              <w:spacing w:after="0"/>
              <w:rPr>
                <w:sz w:val="16"/>
                <w:szCs w:val="16"/>
                <w:color w:val="auto"/>
              </w:rPr>
            </w:pPr>
          </w:p>
        </w:tc>
        <w:tc>
          <w:tcPr>
            <w:tcW w:w="640" w:type="dxa"/>
            <w:vAlign w:val="bottom"/>
            <w:tcBorders>
              <w:bottom w:val="single" w:sz="8" w:color="DBDFEA"/>
            </w:tcBorders>
            <w:shd w:val="clear" w:color="auto" w:fill="DBDFEA"/>
          </w:tcPr>
          <w:p>
            <w:pPr>
              <w:jc w:val="center"/>
              <w:spacing w:after="0"/>
              <w:rPr>
                <w:sz w:val="20"/>
                <w:szCs w:val="20"/>
                <w:color w:val="auto"/>
              </w:rPr>
            </w:pPr>
            <w:r>
              <w:rPr>
                <w:rFonts w:ascii="Arial" w:cs="Arial" w:eastAsia="Arial" w:hAnsi="Arial"/>
                <w:sz w:val="12"/>
                <w:szCs w:val="12"/>
                <w:color w:val="auto"/>
                <w:w w:val="96"/>
              </w:rPr>
              <w:t>11/27/2023</w:t>
            </w:r>
          </w:p>
        </w:tc>
        <w:tc>
          <w:tcPr>
            <w:tcW w:w="60" w:type="dxa"/>
            <w:vAlign w:val="bottom"/>
            <w:tcBorders>
              <w:bottom w:val="single" w:sz="8" w:color="DBDFEA"/>
            </w:tcBorders>
            <w:shd w:val="clear" w:color="auto" w:fill="DBDFEA"/>
          </w:tcPr>
          <w:p>
            <w:pPr>
              <w:spacing w:after="0"/>
              <w:rPr>
                <w:sz w:val="16"/>
                <w:szCs w:val="16"/>
                <w:color w:val="auto"/>
              </w:rPr>
            </w:pPr>
          </w:p>
        </w:tc>
        <w:tc>
          <w:tcPr>
            <w:tcW w:w="660" w:type="dxa"/>
            <w:vAlign w:val="bottom"/>
            <w:tcBorders>
              <w:bottom w:val="single" w:sz="8" w:color="DBDFEA"/>
            </w:tcBorders>
            <w:shd w:val="clear" w:color="auto" w:fill="DBDFEA"/>
          </w:tcPr>
          <w:p>
            <w:pPr>
              <w:jc w:val="center"/>
              <w:spacing w:after="0"/>
              <w:rPr>
                <w:sz w:val="20"/>
                <w:szCs w:val="20"/>
                <w:color w:val="auto"/>
              </w:rPr>
            </w:pPr>
            <w:r>
              <w:rPr>
                <w:rFonts w:ascii="Arial" w:cs="Arial" w:eastAsia="Arial" w:hAnsi="Arial"/>
                <w:sz w:val="12"/>
                <w:szCs w:val="12"/>
                <w:color w:val="auto"/>
                <w:w w:val="98"/>
              </w:rPr>
              <w:t>1/8/2024</w:t>
            </w:r>
          </w:p>
        </w:tc>
        <w:tc>
          <w:tcPr>
            <w:tcW w:w="100" w:type="dxa"/>
            <w:vAlign w:val="bottom"/>
            <w:tcBorders>
              <w:bottom w:val="single" w:sz="8" w:color="DBDFEA"/>
            </w:tcBorders>
            <w:shd w:val="clear" w:color="auto" w:fill="DBDFEA"/>
          </w:tcPr>
          <w:p>
            <w:pPr>
              <w:spacing w:after="0"/>
              <w:rPr>
                <w:sz w:val="16"/>
                <w:szCs w:val="16"/>
                <w:color w:val="auto"/>
              </w:rPr>
            </w:pPr>
          </w:p>
        </w:tc>
        <w:tc>
          <w:tcPr>
            <w:tcW w:w="600" w:type="dxa"/>
            <w:vAlign w:val="bottom"/>
            <w:tcBorders>
              <w:bottom w:val="single" w:sz="8" w:color="DBDFEA"/>
            </w:tcBorders>
            <w:shd w:val="clear" w:color="auto" w:fill="DBDFEA"/>
          </w:tcPr>
          <w:p>
            <w:pPr>
              <w:ind w:left="44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DBDFEA"/>
            </w:tcBorders>
            <w:shd w:val="clear" w:color="auto" w:fill="DBDFEA"/>
          </w:tcPr>
          <w:p>
            <w:pPr>
              <w:jc w:val="right"/>
              <w:ind w:right="82"/>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FEA"/>
            </w:tcBorders>
            <w:shd w:val="clear" w:color="auto" w:fill="DBDFEA"/>
          </w:tcPr>
          <w:p>
            <w:pPr>
              <w:spacing w:after="0"/>
              <w:rPr>
                <w:sz w:val="16"/>
                <w:szCs w:val="16"/>
                <w:color w:val="auto"/>
              </w:rPr>
            </w:pPr>
          </w:p>
        </w:tc>
        <w:tc>
          <w:tcPr>
            <w:tcW w:w="6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DBDFEA"/>
            </w:tcBorders>
            <w:shd w:val="clear" w:color="auto" w:fill="DBDFEA"/>
          </w:tcPr>
          <w:p>
            <w:pPr>
              <w:jc w:val="right"/>
              <w:ind w:right="8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DBDFEA"/>
            </w:tcBorders>
            <w:shd w:val="clear" w:color="auto" w:fill="DBDFEA"/>
          </w:tcPr>
          <w:p>
            <w:pPr>
              <w:jc w:val="right"/>
              <w:ind w:right="2"/>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DBDFEA"/>
            </w:tcBorders>
            <w:shd w:val="clear" w:color="auto" w:fill="DBDFEA"/>
          </w:tcPr>
          <w:p>
            <w:pPr>
              <w:jc w:val="right"/>
              <w:ind w:right="22"/>
              <w:spacing w:after="0"/>
              <w:rPr>
                <w:sz w:val="20"/>
                <w:szCs w:val="20"/>
                <w:color w:val="auto"/>
              </w:rPr>
            </w:pPr>
            <w:r>
              <w:rPr>
                <w:rFonts w:ascii="Arial" w:cs="Arial" w:eastAsia="Arial" w:hAnsi="Arial"/>
                <w:sz w:val="12"/>
                <w:szCs w:val="12"/>
                <w:color w:val="auto"/>
              </w:rPr>
              <w:t>95,079</w:t>
            </w:r>
          </w:p>
        </w:tc>
        <w:tc>
          <w:tcPr>
            <w:tcW w:w="7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1,700,000</w:t>
            </w:r>
          </w:p>
        </w:tc>
        <w:tc>
          <w:tcPr>
            <w:tcW w:w="0" w:type="dxa"/>
            <w:vAlign w:val="bottom"/>
          </w:tcPr>
          <w:p>
            <w:pPr>
              <w:spacing w:after="0"/>
              <w:rPr>
                <w:sz w:val="1"/>
                <w:szCs w:val="1"/>
                <w:color w:val="auto"/>
              </w:rPr>
            </w:pPr>
          </w:p>
        </w:tc>
      </w:tr>
      <w:tr>
        <w:trPr>
          <w:trHeight w:val="186"/>
        </w:trPr>
        <w:tc>
          <w:tcPr>
            <w:tcW w:w="1860" w:type="dxa"/>
            <w:vAlign w:val="bottom"/>
            <w:tcBorders>
              <w:top w:val="single" w:sz="8" w:color="auto"/>
              <w:bottom w:val="single" w:sz="8" w:color="DBDFEA"/>
            </w:tcBorders>
            <w:shd w:val="clear" w:color="auto" w:fill="DBDFEA"/>
          </w:tcPr>
          <w:p>
            <w:pPr>
              <w:ind w:left="100"/>
              <w:spacing w:after="0"/>
              <w:rPr>
                <w:sz w:val="20"/>
                <w:szCs w:val="20"/>
                <w:color w:val="auto"/>
              </w:rPr>
            </w:pPr>
            <w:r>
              <w:rPr>
                <w:rFonts w:ascii="Arial" w:cs="Arial" w:eastAsia="Arial" w:hAnsi="Arial"/>
                <w:sz w:val="12"/>
                <w:szCs w:val="12"/>
                <w:b w:val="1"/>
                <w:bCs w:val="1"/>
                <w:color w:val="auto"/>
              </w:rPr>
              <w:t>Geoffrey Goldschein</w:t>
            </w:r>
          </w:p>
        </w:tc>
        <w:tc>
          <w:tcPr>
            <w:tcW w:w="100" w:type="dxa"/>
            <w:vAlign w:val="bottom"/>
            <w:tcBorders>
              <w:top w:val="single" w:sz="8" w:color="auto"/>
              <w:bottom w:val="single" w:sz="8" w:color="DBDFEA"/>
            </w:tcBorders>
            <w:shd w:val="clear" w:color="auto" w:fill="DBDFEA"/>
          </w:tcPr>
          <w:p>
            <w:pPr>
              <w:spacing w:after="0"/>
              <w:rPr>
                <w:sz w:val="15"/>
                <w:szCs w:val="15"/>
                <w:color w:val="auto"/>
              </w:rPr>
            </w:pPr>
          </w:p>
        </w:tc>
        <w:tc>
          <w:tcPr>
            <w:tcW w:w="640" w:type="dxa"/>
            <w:vAlign w:val="bottom"/>
            <w:tcBorders>
              <w:top w:val="single" w:sz="8" w:color="auto"/>
              <w:bottom w:val="single" w:sz="8" w:color="DBDFEA"/>
            </w:tcBorders>
            <w:shd w:val="clear" w:color="auto" w:fill="DBDFEA"/>
          </w:tcPr>
          <w:p>
            <w:pPr>
              <w:jc w:val="center"/>
              <w:spacing w:after="0"/>
              <w:rPr>
                <w:sz w:val="20"/>
                <w:szCs w:val="20"/>
                <w:color w:val="auto"/>
              </w:rPr>
            </w:pPr>
            <w:r>
              <w:rPr>
                <w:rFonts w:ascii="Arial" w:cs="Arial" w:eastAsia="Arial" w:hAnsi="Arial"/>
                <w:sz w:val="12"/>
                <w:szCs w:val="12"/>
                <w:color w:val="auto"/>
                <w:w w:val="97"/>
              </w:rPr>
              <w:t>2/15/2024</w:t>
            </w:r>
          </w:p>
        </w:tc>
        <w:tc>
          <w:tcPr>
            <w:tcW w:w="60" w:type="dxa"/>
            <w:vAlign w:val="bottom"/>
            <w:tcBorders>
              <w:top w:val="single" w:sz="8" w:color="auto"/>
              <w:bottom w:val="single" w:sz="8" w:color="DBDFEA"/>
            </w:tcBorders>
            <w:shd w:val="clear" w:color="auto" w:fill="DBDFEA"/>
          </w:tcPr>
          <w:p>
            <w:pPr>
              <w:spacing w:after="0"/>
              <w:rPr>
                <w:sz w:val="15"/>
                <w:szCs w:val="15"/>
                <w:color w:val="auto"/>
              </w:rPr>
            </w:pPr>
          </w:p>
        </w:tc>
        <w:tc>
          <w:tcPr>
            <w:tcW w:w="660" w:type="dxa"/>
            <w:vAlign w:val="bottom"/>
            <w:tcBorders>
              <w:top w:val="single" w:sz="8" w:color="auto"/>
              <w:bottom w:val="single" w:sz="8" w:color="DBDFEA"/>
            </w:tcBorders>
            <w:shd w:val="clear" w:color="auto" w:fill="DBDFEA"/>
          </w:tcPr>
          <w:p>
            <w:pPr>
              <w:jc w:val="center"/>
              <w:spacing w:after="0"/>
              <w:rPr>
                <w:sz w:val="20"/>
                <w:szCs w:val="20"/>
                <w:color w:val="auto"/>
              </w:rPr>
            </w:pPr>
            <w:r>
              <w:rPr>
                <w:rFonts w:ascii="Arial" w:cs="Arial" w:eastAsia="Arial" w:hAnsi="Arial"/>
                <w:sz w:val="12"/>
                <w:szCs w:val="12"/>
                <w:color w:val="auto"/>
                <w:w w:val="97"/>
              </w:rPr>
              <w:t>3/15/2024</w:t>
            </w:r>
          </w:p>
        </w:tc>
        <w:tc>
          <w:tcPr>
            <w:tcW w:w="100" w:type="dxa"/>
            <w:vAlign w:val="bottom"/>
            <w:tcBorders>
              <w:top w:val="single" w:sz="8" w:color="auto"/>
              <w:bottom w:val="single" w:sz="8" w:color="DBDFEA"/>
            </w:tcBorders>
            <w:shd w:val="clear" w:color="auto" w:fill="DBDFEA"/>
          </w:tcPr>
          <w:p>
            <w:pPr>
              <w:spacing w:after="0"/>
              <w:rPr>
                <w:sz w:val="15"/>
                <w:szCs w:val="15"/>
                <w:color w:val="auto"/>
              </w:rPr>
            </w:pPr>
          </w:p>
        </w:tc>
        <w:tc>
          <w:tcPr>
            <w:tcW w:w="600" w:type="dxa"/>
            <w:vAlign w:val="bottom"/>
            <w:tcBorders>
              <w:top w:val="single" w:sz="8" w:color="auto"/>
              <w:bottom w:val="single" w:sz="8" w:color="DBDFEA"/>
            </w:tcBorders>
            <w:shd w:val="clear" w:color="auto" w:fill="DBDFEA"/>
          </w:tcPr>
          <w:p>
            <w:pPr>
              <w:ind w:left="44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bottom w:val="single" w:sz="8" w:color="DBDFEA"/>
            </w:tcBorders>
            <w:shd w:val="clear" w:color="auto" w:fill="DBDFEA"/>
          </w:tcPr>
          <w:p>
            <w:pPr>
              <w:jc w:val="right"/>
              <w:ind w:right="82"/>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auto"/>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bottom w:val="single" w:sz="8" w:color="DBDFEA"/>
            </w:tcBorders>
            <w:shd w:val="clear" w:color="auto" w:fill="DBDFEA"/>
          </w:tcPr>
          <w:p>
            <w:pPr>
              <w:spacing w:after="0"/>
              <w:rPr>
                <w:sz w:val="15"/>
                <w:szCs w:val="15"/>
                <w:color w:val="auto"/>
              </w:rPr>
            </w:pPr>
          </w:p>
        </w:tc>
        <w:tc>
          <w:tcPr>
            <w:tcW w:w="620" w:type="dxa"/>
            <w:vAlign w:val="bottom"/>
            <w:tcBorders>
              <w:top w:val="single" w:sz="8" w:color="auto"/>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DBDFEA"/>
            </w:tcBorders>
            <w:shd w:val="clear" w:color="auto" w:fill="DBDFEA"/>
          </w:tcPr>
          <w:p>
            <w:pPr>
              <w:jc w:val="right"/>
              <w:ind w:right="82"/>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DBDFEA"/>
            </w:tcBorders>
            <w:shd w:val="clear" w:color="auto" w:fill="DBDFEA"/>
          </w:tcPr>
          <w:p>
            <w:pPr>
              <w:jc w:val="right"/>
              <w:ind w:right="2"/>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bottom w:val="single" w:sz="8" w:color="DBDFEA"/>
            </w:tcBorders>
            <w:shd w:val="clear" w:color="auto" w:fill="DBDFEA"/>
          </w:tcPr>
          <w:p>
            <w:pPr>
              <w:jc w:val="right"/>
              <w:ind w:right="22"/>
              <w:spacing w:after="0"/>
              <w:rPr>
                <w:sz w:val="20"/>
                <w:szCs w:val="20"/>
                <w:color w:val="auto"/>
              </w:rPr>
            </w:pPr>
            <w:r>
              <w:rPr>
                <w:rFonts w:ascii="Arial" w:cs="Arial" w:eastAsia="Arial" w:hAnsi="Arial"/>
                <w:sz w:val="12"/>
                <w:szCs w:val="12"/>
                <w:color w:val="auto"/>
              </w:rPr>
              <w:t>27,691</w:t>
            </w:r>
          </w:p>
        </w:tc>
        <w:tc>
          <w:tcPr>
            <w:tcW w:w="720" w:type="dxa"/>
            <w:vAlign w:val="bottom"/>
            <w:tcBorders>
              <w:top w:val="single" w:sz="8" w:color="auto"/>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511,730</w:t>
            </w:r>
          </w:p>
        </w:tc>
        <w:tc>
          <w:tcPr>
            <w:tcW w:w="0" w:type="dxa"/>
            <w:vAlign w:val="bottom"/>
          </w:tcPr>
          <w:p>
            <w:pPr>
              <w:spacing w:after="0"/>
              <w:rPr>
                <w:sz w:val="1"/>
                <w:szCs w:val="1"/>
                <w:color w:val="auto"/>
              </w:rPr>
            </w:pPr>
          </w:p>
        </w:tc>
      </w:tr>
      <w:tr>
        <w:trPr>
          <w:trHeight w:val="161"/>
        </w:trPr>
        <w:tc>
          <w:tcPr>
            <w:tcW w:w="1860" w:type="dxa"/>
            <w:vAlign w:val="bottom"/>
            <w:tcBorders>
              <w:top w:val="single" w:sz="8" w:color="DBDFEA"/>
              <w:bottom w:val="single" w:sz="8" w:color="DBDFEA"/>
            </w:tcBorders>
            <w:shd w:val="clear" w:color="auto" w:fill="DBDFEA"/>
          </w:tcPr>
          <w:p>
            <w:pPr>
              <w:spacing w:after="0"/>
              <w:rPr>
                <w:sz w:val="14"/>
                <w:szCs w:val="14"/>
                <w:color w:val="auto"/>
              </w:rPr>
            </w:pPr>
          </w:p>
        </w:tc>
        <w:tc>
          <w:tcPr>
            <w:tcW w:w="100" w:type="dxa"/>
            <w:vAlign w:val="bottom"/>
            <w:tcBorders>
              <w:top w:val="single" w:sz="8" w:color="DBDFEA"/>
              <w:bottom w:val="single" w:sz="8" w:color="DBDFEA"/>
            </w:tcBorders>
            <w:shd w:val="clear" w:color="auto" w:fill="DBDFEA"/>
          </w:tcPr>
          <w:p>
            <w:pPr>
              <w:spacing w:after="0"/>
              <w:rPr>
                <w:sz w:val="14"/>
                <w:szCs w:val="14"/>
                <w:color w:val="auto"/>
              </w:rPr>
            </w:pPr>
          </w:p>
        </w:tc>
        <w:tc>
          <w:tcPr>
            <w:tcW w:w="640" w:type="dxa"/>
            <w:vAlign w:val="bottom"/>
            <w:tcBorders>
              <w:top w:val="single" w:sz="8" w:color="DBDFEA"/>
              <w:bottom w:val="single" w:sz="8" w:color="DBDFEA"/>
            </w:tcBorders>
            <w:shd w:val="clear" w:color="auto" w:fill="DBDFEA"/>
          </w:tcPr>
          <w:p>
            <w:pPr>
              <w:jc w:val="center"/>
              <w:spacing w:after="0"/>
              <w:rPr>
                <w:sz w:val="20"/>
                <w:szCs w:val="20"/>
                <w:color w:val="auto"/>
              </w:rPr>
            </w:pPr>
            <w:r>
              <w:rPr>
                <w:rFonts w:ascii="Arial" w:cs="Arial" w:eastAsia="Arial" w:hAnsi="Arial"/>
                <w:sz w:val="12"/>
                <w:szCs w:val="12"/>
                <w:color w:val="auto"/>
                <w:w w:val="97"/>
              </w:rPr>
              <w:t>2/15/2024</w:t>
            </w:r>
          </w:p>
        </w:tc>
        <w:tc>
          <w:tcPr>
            <w:tcW w:w="60" w:type="dxa"/>
            <w:vAlign w:val="bottom"/>
            <w:tcBorders>
              <w:top w:val="single" w:sz="8" w:color="008861"/>
              <w:bottom w:val="single" w:sz="8" w:color="008861"/>
            </w:tcBorders>
            <w:shd w:val="clear" w:color="auto" w:fill="DBDFEA"/>
          </w:tcPr>
          <w:p>
            <w:pPr>
              <w:spacing w:after="0"/>
              <w:rPr>
                <w:sz w:val="14"/>
                <w:szCs w:val="14"/>
                <w:color w:val="auto"/>
              </w:rPr>
            </w:pPr>
          </w:p>
        </w:tc>
        <w:tc>
          <w:tcPr>
            <w:tcW w:w="660" w:type="dxa"/>
            <w:vAlign w:val="bottom"/>
            <w:tcBorders>
              <w:top w:val="single" w:sz="8" w:color="008861"/>
              <w:bottom w:val="single" w:sz="8" w:color="008861"/>
            </w:tcBorders>
            <w:shd w:val="clear" w:color="auto" w:fill="DBDFEA"/>
          </w:tcPr>
          <w:p>
            <w:pPr>
              <w:jc w:val="center"/>
              <w:spacing w:after="0"/>
              <w:rPr>
                <w:sz w:val="20"/>
                <w:szCs w:val="20"/>
                <w:color w:val="auto"/>
              </w:rPr>
            </w:pPr>
            <w:r>
              <w:rPr>
                <w:rFonts w:ascii="Arial" w:cs="Arial" w:eastAsia="Arial" w:hAnsi="Arial"/>
                <w:sz w:val="12"/>
                <w:szCs w:val="12"/>
                <w:color w:val="auto"/>
                <w:w w:val="97"/>
              </w:rPr>
              <w:t>3/15/2024</w:t>
            </w:r>
          </w:p>
        </w:tc>
        <w:tc>
          <w:tcPr>
            <w:tcW w:w="100" w:type="dxa"/>
            <w:vAlign w:val="bottom"/>
            <w:tcBorders>
              <w:top w:val="single" w:sz="8" w:color="008861"/>
              <w:bottom w:val="single" w:sz="8" w:color="008861"/>
            </w:tcBorders>
            <w:shd w:val="clear" w:color="auto" w:fill="DBDFEA"/>
          </w:tcPr>
          <w:p>
            <w:pPr>
              <w:spacing w:after="0"/>
              <w:rPr>
                <w:sz w:val="14"/>
                <w:szCs w:val="14"/>
                <w:color w:val="auto"/>
              </w:rPr>
            </w:pPr>
          </w:p>
        </w:tc>
        <w:tc>
          <w:tcPr>
            <w:tcW w:w="600" w:type="dxa"/>
            <w:vAlign w:val="bottom"/>
            <w:tcBorders>
              <w:top w:val="single" w:sz="8" w:color="008861"/>
              <w:bottom w:val="single" w:sz="8" w:color="008861"/>
            </w:tcBorders>
            <w:shd w:val="clear" w:color="auto" w:fill="DBDFEA"/>
          </w:tcPr>
          <w:p>
            <w:pPr>
              <w:ind w:left="44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008861"/>
              <w:bottom w:val="single" w:sz="8" w:color="008861"/>
            </w:tcBorders>
            <w:shd w:val="clear" w:color="auto" w:fill="DBDFEA"/>
          </w:tcPr>
          <w:p>
            <w:pPr>
              <w:jc w:val="right"/>
              <w:ind w:right="82"/>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008861"/>
              <w:bottom w:val="single" w:sz="8" w:color="008861"/>
            </w:tcBorders>
            <w:gridSpan w:val="2"/>
            <w:shd w:val="clear" w:color="auto" w:fill="DBDFEA"/>
          </w:tcPr>
          <w:p>
            <w:pPr>
              <w:jc w:val="right"/>
              <w:spacing w:after="0"/>
              <w:rPr>
                <w:sz w:val="20"/>
                <w:szCs w:val="20"/>
                <w:color w:val="auto"/>
              </w:rPr>
            </w:pPr>
            <w:r>
              <w:rPr>
                <w:rFonts w:ascii="Arial" w:cs="Arial" w:eastAsia="Arial" w:hAnsi="Arial"/>
                <w:sz w:val="12"/>
                <w:szCs w:val="12"/>
                <w:color w:val="auto"/>
              </w:rPr>
              <w:t>13,846</w:t>
            </w:r>
          </w:p>
        </w:tc>
        <w:tc>
          <w:tcPr>
            <w:tcW w:w="780" w:type="dxa"/>
            <w:vAlign w:val="bottom"/>
            <w:tcBorders>
              <w:top w:val="single" w:sz="8" w:color="008861"/>
              <w:bottom w:val="single" w:sz="8" w:color="008861"/>
            </w:tcBorders>
            <w:shd w:val="clear" w:color="auto" w:fill="DBDFEA"/>
          </w:tcPr>
          <w:p>
            <w:pPr>
              <w:jc w:val="right"/>
              <w:ind w:right="82"/>
              <w:spacing w:after="0"/>
              <w:rPr>
                <w:sz w:val="20"/>
                <w:szCs w:val="20"/>
                <w:color w:val="auto"/>
              </w:rPr>
            </w:pPr>
            <w:r>
              <w:rPr>
                <w:rFonts w:ascii="Arial" w:cs="Arial" w:eastAsia="Arial" w:hAnsi="Arial"/>
                <w:sz w:val="12"/>
                <w:szCs w:val="12"/>
                <w:color w:val="auto"/>
              </w:rPr>
              <w:t>27,691</w:t>
            </w:r>
          </w:p>
        </w:tc>
        <w:tc>
          <w:tcPr>
            <w:tcW w:w="700" w:type="dxa"/>
            <w:vAlign w:val="bottom"/>
            <w:tcBorders>
              <w:top w:val="single" w:sz="8" w:color="008861"/>
              <w:bottom w:val="single" w:sz="8" w:color="008861"/>
            </w:tcBorders>
            <w:shd w:val="clear" w:color="auto" w:fill="DBDFEA"/>
          </w:tcPr>
          <w:p>
            <w:pPr>
              <w:jc w:val="right"/>
              <w:ind w:right="2"/>
              <w:spacing w:after="0"/>
              <w:rPr>
                <w:sz w:val="20"/>
                <w:szCs w:val="20"/>
                <w:color w:val="auto"/>
              </w:rPr>
            </w:pPr>
            <w:r>
              <w:rPr>
                <w:rFonts w:ascii="Arial" w:cs="Arial" w:eastAsia="Arial" w:hAnsi="Arial"/>
                <w:sz w:val="12"/>
                <w:szCs w:val="12"/>
                <w:color w:val="auto"/>
              </w:rPr>
              <w:t>55,382</w:t>
            </w:r>
          </w:p>
        </w:tc>
        <w:tc>
          <w:tcPr>
            <w:tcW w:w="1060" w:type="dxa"/>
            <w:vAlign w:val="bottom"/>
            <w:tcBorders>
              <w:top w:val="single" w:sz="8" w:color="008861"/>
              <w:bottom w:val="single" w:sz="8" w:color="008861"/>
            </w:tcBorders>
            <w:shd w:val="clear" w:color="auto" w:fill="DBDFEA"/>
          </w:tcPr>
          <w:p>
            <w:pPr>
              <w:jc w:val="right"/>
              <w:ind w:right="22"/>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9"/>
        </w:trPr>
        <w:tc>
          <w:tcPr>
            <w:tcW w:w="1860" w:type="dxa"/>
            <w:vAlign w:val="bottom"/>
            <w:tcBorders>
              <w:bottom w:val="single" w:sz="8" w:color="001544"/>
            </w:tcBorders>
            <w:shd w:val="clear" w:color="auto" w:fill="DBDFEA"/>
          </w:tcPr>
          <w:p>
            <w:pPr>
              <w:spacing w:after="0"/>
              <w:rPr>
                <w:sz w:val="14"/>
                <w:szCs w:val="14"/>
                <w:color w:val="auto"/>
              </w:rPr>
            </w:pPr>
          </w:p>
        </w:tc>
        <w:tc>
          <w:tcPr>
            <w:tcW w:w="100" w:type="dxa"/>
            <w:vAlign w:val="bottom"/>
            <w:tcBorders>
              <w:bottom w:val="single" w:sz="8" w:color="001544"/>
            </w:tcBorders>
            <w:shd w:val="clear" w:color="auto" w:fill="DBDFEA"/>
          </w:tcPr>
          <w:p>
            <w:pPr>
              <w:spacing w:after="0"/>
              <w:rPr>
                <w:sz w:val="14"/>
                <w:szCs w:val="14"/>
                <w:color w:val="auto"/>
              </w:rPr>
            </w:pPr>
          </w:p>
        </w:tc>
        <w:tc>
          <w:tcPr>
            <w:tcW w:w="640" w:type="dxa"/>
            <w:vAlign w:val="bottom"/>
            <w:tcBorders>
              <w:bottom w:val="single" w:sz="8" w:color="001544"/>
            </w:tcBorders>
            <w:shd w:val="clear" w:color="auto" w:fill="DBDFEA"/>
          </w:tcPr>
          <w:p>
            <w:pPr>
              <w:jc w:val="center"/>
              <w:spacing w:after="0"/>
              <w:rPr>
                <w:sz w:val="20"/>
                <w:szCs w:val="20"/>
                <w:color w:val="auto"/>
              </w:rPr>
            </w:pPr>
            <w:r>
              <w:rPr>
                <w:rFonts w:ascii="Arial" w:cs="Arial" w:eastAsia="Arial" w:hAnsi="Arial"/>
                <w:sz w:val="12"/>
                <w:szCs w:val="12"/>
                <w:color w:val="auto"/>
                <w:w w:val="98"/>
              </w:rPr>
              <w:t>3/7/2024</w:t>
            </w:r>
          </w:p>
        </w:tc>
        <w:tc>
          <w:tcPr>
            <w:tcW w:w="60" w:type="dxa"/>
            <w:vAlign w:val="bottom"/>
            <w:tcBorders>
              <w:bottom w:val="single" w:sz="8" w:color="001544"/>
            </w:tcBorders>
            <w:shd w:val="clear" w:color="auto" w:fill="DBDFEA"/>
          </w:tcPr>
          <w:p>
            <w:pPr>
              <w:spacing w:after="0"/>
              <w:rPr>
                <w:sz w:val="14"/>
                <w:szCs w:val="14"/>
                <w:color w:val="auto"/>
              </w:rPr>
            </w:pPr>
          </w:p>
        </w:tc>
        <w:tc>
          <w:tcPr>
            <w:tcW w:w="660" w:type="dxa"/>
            <w:vAlign w:val="bottom"/>
            <w:tcBorders>
              <w:bottom w:val="single" w:sz="8" w:color="001544"/>
            </w:tcBorders>
            <w:shd w:val="clear" w:color="auto" w:fill="DBDFEA"/>
          </w:tcPr>
          <w:p>
            <w:pPr>
              <w:jc w:val="center"/>
              <w:spacing w:after="0"/>
              <w:rPr>
                <w:sz w:val="20"/>
                <w:szCs w:val="20"/>
                <w:color w:val="auto"/>
              </w:rPr>
            </w:pPr>
            <w:r>
              <w:rPr>
                <w:rFonts w:ascii="Arial" w:cs="Arial" w:eastAsia="Arial" w:hAnsi="Arial"/>
                <w:sz w:val="12"/>
                <w:szCs w:val="12"/>
                <w:color w:val="auto"/>
                <w:w w:val="98"/>
              </w:rPr>
              <w:t>3/7/2024</w:t>
            </w:r>
          </w:p>
        </w:tc>
        <w:tc>
          <w:tcPr>
            <w:tcW w:w="100" w:type="dxa"/>
            <w:vAlign w:val="bottom"/>
            <w:tcBorders>
              <w:bottom w:val="single" w:sz="8" w:color="001544"/>
            </w:tcBorders>
            <w:shd w:val="clear" w:color="auto" w:fill="DBDFEA"/>
          </w:tcPr>
          <w:p>
            <w:pPr>
              <w:spacing w:after="0"/>
              <w:rPr>
                <w:sz w:val="14"/>
                <w:szCs w:val="14"/>
                <w:color w:val="auto"/>
              </w:rPr>
            </w:pPr>
          </w:p>
        </w:tc>
        <w:tc>
          <w:tcPr>
            <w:tcW w:w="600" w:type="dxa"/>
            <w:vAlign w:val="bottom"/>
            <w:tcBorders>
              <w:bottom w:val="single" w:sz="8" w:color="001544"/>
            </w:tcBorders>
            <w:shd w:val="clear" w:color="auto" w:fill="DBDFEA"/>
          </w:tcPr>
          <w:p>
            <w:pPr>
              <w:ind w:left="44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001544"/>
            </w:tcBorders>
            <w:shd w:val="clear" w:color="auto" w:fill="DBDFEA"/>
          </w:tcPr>
          <w:p>
            <w:pPr>
              <w:jc w:val="right"/>
              <w:ind w:right="82"/>
              <w:spacing w:after="0"/>
              <w:rPr>
                <w:sz w:val="20"/>
                <w:szCs w:val="20"/>
                <w:color w:val="auto"/>
              </w:rPr>
            </w:pPr>
            <w:r>
              <w:rPr>
                <w:rFonts w:ascii="Arial" w:cs="Arial" w:eastAsia="Arial" w:hAnsi="Arial"/>
                <w:sz w:val="12"/>
                <w:szCs w:val="12"/>
                <w:color w:val="auto"/>
              </w:rPr>
              <w:t>725,000</w:t>
            </w:r>
          </w:p>
        </w:tc>
        <w:tc>
          <w:tcPr>
            <w:tcW w:w="6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1,450,000</w:t>
            </w:r>
          </w:p>
        </w:tc>
        <w:tc>
          <w:tcPr>
            <w:tcW w:w="100" w:type="dxa"/>
            <w:vAlign w:val="bottom"/>
            <w:tcBorders>
              <w:bottom w:val="single" w:sz="8" w:color="001544"/>
            </w:tcBorders>
            <w:shd w:val="clear" w:color="auto" w:fill="DBDFEA"/>
          </w:tcPr>
          <w:p>
            <w:pPr>
              <w:spacing w:after="0"/>
              <w:rPr>
                <w:sz w:val="14"/>
                <w:szCs w:val="14"/>
                <w:color w:val="auto"/>
              </w:rPr>
            </w:pPr>
          </w:p>
        </w:tc>
        <w:tc>
          <w:tcPr>
            <w:tcW w:w="6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001544"/>
            </w:tcBorders>
            <w:shd w:val="clear" w:color="auto" w:fill="DBDFEA"/>
          </w:tcPr>
          <w:p>
            <w:pPr>
              <w:jc w:val="right"/>
              <w:ind w:right="8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001544"/>
            </w:tcBorders>
            <w:shd w:val="clear" w:color="auto" w:fill="DBDFEA"/>
          </w:tcPr>
          <w:p>
            <w:pPr>
              <w:jc w:val="right"/>
              <w:ind w:right="2"/>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001544"/>
            </w:tcBorders>
            <w:shd w:val="clear" w:color="auto" w:fill="DBDFEA"/>
          </w:tcPr>
          <w:p>
            <w:pPr>
              <w:jc w:val="right"/>
              <w:ind w:right="2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3"/>
        </w:trPr>
        <w:tc>
          <w:tcPr>
            <w:tcW w:w="186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2"/>
                <w:szCs w:val="12"/>
                <w:b w:val="1"/>
                <w:bCs w:val="1"/>
                <w:color w:val="auto"/>
              </w:rPr>
              <w:t>Liam Stewart</w:t>
            </w:r>
          </w:p>
        </w:tc>
        <w:tc>
          <w:tcPr>
            <w:tcW w:w="100" w:type="dxa"/>
            <w:vAlign w:val="bottom"/>
            <w:tcBorders>
              <w:bottom w:val="single" w:sz="8" w:color="DBDFEA"/>
            </w:tcBorders>
            <w:shd w:val="clear" w:color="auto" w:fill="DBDFEA"/>
          </w:tcPr>
          <w:p>
            <w:pPr>
              <w:spacing w:after="0"/>
              <w:rPr>
                <w:sz w:val="16"/>
                <w:szCs w:val="16"/>
                <w:color w:val="auto"/>
              </w:rPr>
            </w:pPr>
          </w:p>
        </w:tc>
        <w:tc>
          <w:tcPr>
            <w:tcW w:w="640" w:type="dxa"/>
            <w:vAlign w:val="bottom"/>
            <w:tcBorders>
              <w:bottom w:val="single" w:sz="8" w:color="DBDFEA"/>
            </w:tcBorders>
            <w:shd w:val="clear" w:color="auto" w:fill="DBDFEA"/>
          </w:tcPr>
          <w:p>
            <w:pPr>
              <w:jc w:val="center"/>
              <w:spacing w:after="0"/>
              <w:rPr>
                <w:sz w:val="20"/>
                <w:szCs w:val="20"/>
                <w:color w:val="auto"/>
              </w:rPr>
            </w:pPr>
            <w:r>
              <w:rPr>
                <w:rFonts w:ascii="Arial" w:cs="Arial" w:eastAsia="Arial" w:hAnsi="Arial"/>
                <w:sz w:val="12"/>
                <w:szCs w:val="12"/>
                <w:color w:val="auto"/>
                <w:w w:val="97"/>
              </w:rPr>
              <w:t>2/15/2024</w:t>
            </w:r>
          </w:p>
        </w:tc>
        <w:tc>
          <w:tcPr>
            <w:tcW w:w="60" w:type="dxa"/>
            <w:vAlign w:val="bottom"/>
            <w:tcBorders>
              <w:bottom w:val="single" w:sz="8" w:color="DBDFEA"/>
            </w:tcBorders>
            <w:shd w:val="clear" w:color="auto" w:fill="DBDFEA"/>
          </w:tcPr>
          <w:p>
            <w:pPr>
              <w:spacing w:after="0"/>
              <w:rPr>
                <w:sz w:val="16"/>
                <w:szCs w:val="16"/>
                <w:color w:val="auto"/>
              </w:rPr>
            </w:pPr>
          </w:p>
        </w:tc>
        <w:tc>
          <w:tcPr>
            <w:tcW w:w="660" w:type="dxa"/>
            <w:vAlign w:val="bottom"/>
            <w:tcBorders>
              <w:bottom w:val="single" w:sz="8" w:color="DBDFEA"/>
            </w:tcBorders>
            <w:shd w:val="clear" w:color="auto" w:fill="DBDFEA"/>
          </w:tcPr>
          <w:p>
            <w:pPr>
              <w:jc w:val="center"/>
              <w:spacing w:after="0"/>
              <w:rPr>
                <w:sz w:val="20"/>
                <w:szCs w:val="20"/>
                <w:color w:val="auto"/>
              </w:rPr>
            </w:pPr>
            <w:r>
              <w:rPr>
                <w:rFonts w:ascii="Arial" w:cs="Arial" w:eastAsia="Arial" w:hAnsi="Arial"/>
                <w:sz w:val="12"/>
                <w:szCs w:val="12"/>
                <w:color w:val="auto"/>
                <w:w w:val="97"/>
              </w:rPr>
              <w:t>3/15/2024</w:t>
            </w:r>
          </w:p>
        </w:tc>
        <w:tc>
          <w:tcPr>
            <w:tcW w:w="100" w:type="dxa"/>
            <w:vAlign w:val="bottom"/>
            <w:tcBorders>
              <w:bottom w:val="single" w:sz="8" w:color="DBDFEA"/>
            </w:tcBorders>
            <w:shd w:val="clear" w:color="auto" w:fill="DBDFEA"/>
          </w:tcPr>
          <w:p>
            <w:pPr>
              <w:spacing w:after="0"/>
              <w:rPr>
                <w:sz w:val="16"/>
                <w:szCs w:val="16"/>
                <w:color w:val="auto"/>
              </w:rPr>
            </w:pPr>
          </w:p>
        </w:tc>
        <w:tc>
          <w:tcPr>
            <w:tcW w:w="600" w:type="dxa"/>
            <w:vAlign w:val="bottom"/>
            <w:tcBorders>
              <w:bottom w:val="single" w:sz="8" w:color="DBDFEA"/>
            </w:tcBorders>
            <w:shd w:val="clear" w:color="auto" w:fill="DBDFEA"/>
          </w:tcPr>
          <w:p>
            <w:pPr>
              <w:ind w:left="44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DBDFEA"/>
            </w:tcBorders>
            <w:shd w:val="clear" w:color="auto" w:fill="DBDFEA"/>
          </w:tcPr>
          <w:p>
            <w:pPr>
              <w:jc w:val="right"/>
              <w:ind w:right="82"/>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FEA"/>
            </w:tcBorders>
            <w:shd w:val="clear" w:color="auto" w:fill="DBDFEA"/>
          </w:tcPr>
          <w:p>
            <w:pPr>
              <w:spacing w:after="0"/>
              <w:rPr>
                <w:sz w:val="16"/>
                <w:szCs w:val="16"/>
                <w:color w:val="auto"/>
              </w:rPr>
            </w:pPr>
          </w:p>
        </w:tc>
        <w:tc>
          <w:tcPr>
            <w:tcW w:w="6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DBDFEA"/>
            </w:tcBorders>
            <w:shd w:val="clear" w:color="auto" w:fill="DBDFEA"/>
          </w:tcPr>
          <w:p>
            <w:pPr>
              <w:jc w:val="right"/>
              <w:ind w:right="8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DBDFEA"/>
            </w:tcBorders>
            <w:shd w:val="clear" w:color="auto" w:fill="DBDFEA"/>
          </w:tcPr>
          <w:p>
            <w:pPr>
              <w:jc w:val="right"/>
              <w:ind w:right="2"/>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DBDFEA"/>
            </w:tcBorders>
            <w:shd w:val="clear" w:color="auto" w:fill="DBDFEA"/>
          </w:tcPr>
          <w:p>
            <w:pPr>
              <w:jc w:val="right"/>
              <w:ind w:right="22"/>
              <w:spacing w:after="0"/>
              <w:rPr>
                <w:sz w:val="20"/>
                <w:szCs w:val="20"/>
                <w:color w:val="auto"/>
              </w:rPr>
            </w:pPr>
            <w:r>
              <w:rPr>
                <w:rFonts w:ascii="Arial" w:cs="Arial" w:eastAsia="Arial" w:hAnsi="Arial"/>
                <w:sz w:val="12"/>
                <w:szCs w:val="12"/>
                <w:color w:val="auto"/>
              </w:rPr>
              <w:t>45,120</w:t>
            </w:r>
          </w:p>
        </w:tc>
        <w:tc>
          <w:tcPr>
            <w:tcW w:w="7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833,818</w:t>
            </w:r>
          </w:p>
        </w:tc>
        <w:tc>
          <w:tcPr>
            <w:tcW w:w="0" w:type="dxa"/>
            <w:vAlign w:val="bottom"/>
          </w:tcPr>
          <w:p>
            <w:pPr>
              <w:spacing w:after="0"/>
              <w:rPr>
                <w:sz w:val="1"/>
                <w:szCs w:val="1"/>
                <w:color w:val="auto"/>
              </w:rPr>
            </w:pPr>
          </w:p>
        </w:tc>
      </w:tr>
      <w:tr>
        <w:trPr>
          <w:trHeight w:val="161"/>
        </w:trPr>
        <w:tc>
          <w:tcPr>
            <w:tcW w:w="1860" w:type="dxa"/>
            <w:vAlign w:val="bottom"/>
            <w:tcBorders>
              <w:top w:val="single" w:sz="8" w:color="DBDFEA"/>
              <w:bottom w:val="single" w:sz="8" w:color="DBDFEA"/>
            </w:tcBorders>
            <w:shd w:val="clear" w:color="auto" w:fill="DBDFEA"/>
          </w:tcPr>
          <w:p>
            <w:pPr>
              <w:spacing w:after="0"/>
              <w:rPr>
                <w:sz w:val="14"/>
                <w:szCs w:val="14"/>
                <w:color w:val="auto"/>
              </w:rPr>
            </w:pPr>
          </w:p>
        </w:tc>
        <w:tc>
          <w:tcPr>
            <w:tcW w:w="100" w:type="dxa"/>
            <w:vAlign w:val="bottom"/>
            <w:tcBorders>
              <w:top w:val="single" w:sz="8" w:color="DBDFEA"/>
              <w:bottom w:val="single" w:sz="8" w:color="DBDFEA"/>
            </w:tcBorders>
            <w:shd w:val="clear" w:color="auto" w:fill="DBDFEA"/>
          </w:tcPr>
          <w:p>
            <w:pPr>
              <w:spacing w:after="0"/>
              <w:rPr>
                <w:sz w:val="14"/>
                <w:szCs w:val="14"/>
                <w:color w:val="auto"/>
              </w:rPr>
            </w:pPr>
          </w:p>
        </w:tc>
        <w:tc>
          <w:tcPr>
            <w:tcW w:w="640" w:type="dxa"/>
            <w:vAlign w:val="bottom"/>
            <w:tcBorders>
              <w:top w:val="single" w:sz="8" w:color="DBDFEA"/>
              <w:bottom w:val="single" w:sz="8" w:color="DBDFEA"/>
            </w:tcBorders>
            <w:shd w:val="clear" w:color="auto" w:fill="DBDFEA"/>
          </w:tcPr>
          <w:p>
            <w:pPr>
              <w:jc w:val="center"/>
              <w:spacing w:after="0"/>
              <w:rPr>
                <w:sz w:val="20"/>
                <w:szCs w:val="20"/>
                <w:color w:val="auto"/>
              </w:rPr>
            </w:pPr>
            <w:r>
              <w:rPr>
                <w:rFonts w:ascii="Arial" w:cs="Arial" w:eastAsia="Arial" w:hAnsi="Arial"/>
                <w:sz w:val="12"/>
                <w:szCs w:val="12"/>
                <w:color w:val="auto"/>
                <w:w w:val="97"/>
              </w:rPr>
              <w:t>2/15/2024</w:t>
            </w:r>
          </w:p>
        </w:tc>
        <w:tc>
          <w:tcPr>
            <w:tcW w:w="60" w:type="dxa"/>
            <w:vAlign w:val="bottom"/>
            <w:tcBorders>
              <w:top w:val="single" w:sz="8" w:color="008861"/>
              <w:bottom w:val="single" w:sz="8" w:color="008861"/>
            </w:tcBorders>
            <w:shd w:val="clear" w:color="auto" w:fill="DBDFEA"/>
          </w:tcPr>
          <w:p>
            <w:pPr>
              <w:spacing w:after="0"/>
              <w:rPr>
                <w:sz w:val="14"/>
                <w:szCs w:val="14"/>
                <w:color w:val="auto"/>
              </w:rPr>
            </w:pPr>
          </w:p>
        </w:tc>
        <w:tc>
          <w:tcPr>
            <w:tcW w:w="660" w:type="dxa"/>
            <w:vAlign w:val="bottom"/>
            <w:tcBorders>
              <w:top w:val="single" w:sz="8" w:color="008861"/>
              <w:bottom w:val="single" w:sz="8" w:color="008861"/>
            </w:tcBorders>
            <w:shd w:val="clear" w:color="auto" w:fill="DBDFEA"/>
          </w:tcPr>
          <w:p>
            <w:pPr>
              <w:jc w:val="center"/>
              <w:spacing w:after="0"/>
              <w:rPr>
                <w:sz w:val="20"/>
                <w:szCs w:val="20"/>
                <w:color w:val="auto"/>
              </w:rPr>
            </w:pPr>
            <w:r>
              <w:rPr>
                <w:rFonts w:ascii="Arial" w:cs="Arial" w:eastAsia="Arial" w:hAnsi="Arial"/>
                <w:sz w:val="12"/>
                <w:szCs w:val="12"/>
                <w:color w:val="auto"/>
                <w:w w:val="97"/>
              </w:rPr>
              <w:t>3/15/2024</w:t>
            </w:r>
          </w:p>
        </w:tc>
        <w:tc>
          <w:tcPr>
            <w:tcW w:w="100" w:type="dxa"/>
            <w:vAlign w:val="bottom"/>
            <w:tcBorders>
              <w:top w:val="single" w:sz="8" w:color="008861"/>
              <w:bottom w:val="single" w:sz="8" w:color="008861"/>
            </w:tcBorders>
            <w:shd w:val="clear" w:color="auto" w:fill="DBDFEA"/>
          </w:tcPr>
          <w:p>
            <w:pPr>
              <w:spacing w:after="0"/>
              <w:rPr>
                <w:sz w:val="14"/>
                <w:szCs w:val="14"/>
                <w:color w:val="auto"/>
              </w:rPr>
            </w:pPr>
          </w:p>
        </w:tc>
        <w:tc>
          <w:tcPr>
            <w:tcW w:w="600" w:type="dxa"/>
            <w:vAlign w:val="bottom"/>
            <w:tcBorders>
              <w:top w:val="single" w:sz="8" w:color="008861"/>
              <w:bottom w:val="single" w:sz="8" w:color="008861"/>
            </w:tcBorders>
            <w:shd w:val="clear" w:color="auto" w:fill="DBDFEA"/>
          </w:tcPr>
          <w:p>
            <w:pPr>
              <w:ind w:left="44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008861"/>
              <w:bottom w:val="single" w:sz="8" w:color="008861"/>
            </w:tcBorders>
            <w:shd w:val="clear" w:color="auto" w:fill="DBDFEA"/>
          </w:tcPr>
          <w:p>
            <w:pPr>
              <w:jc w:val="right"/>
              <w:ind w:right="82"/>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008861"/>
              <w:bottom w:val="single" w:sz="8" w:color="008861"/>
            </w:tcBorders>
            <w:shd w:val="clear" w:color="auto" w:fill="DBDFEA"/>
          </w:tcPr>
          <w:p>
            <w:pPr>
              <w:spacing w:after="0"/>
              <w:rPr>
                <w:sz w:val="14"/>
                <w:szCs w:val="14"/>
                <w:color w:val="auto"/>
              </w:rPr>
            </w:pPr>
          </w:p>
        </w:tc>
        <w:tc>
          <w:tcPr>
            <w:tcW w:w="62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22,560</w:t>
            </w:r>
          </w:p>
        </w:tc>
        <w:tc>
          <w:tcPr>
            <w:tcW w:w="780" w:type="dxa"/>
            <w:vAlign w:val="bottom"/>
            <w:tcBorders>
              <w:top w:val="single" w:sz="8" w:color="008861"/>
              <w:bottom w:val="single" w:sz="8" w:color="008861"/>
            </w:tcBorders>
            <w:shd w:val="clear" w:color="auto" w:fill="DBDFEA"/>
          </w:tcPr>
          <w:p>
            <w:pPr>
              <w:jc w:val="right"/>
              <w:ind w:right="82"/>
              <w:spacing w:after="0"/>
              <w:rPr>
                <w:sz w:val="20"/>
                <w:szCs w:val="20"/>
                <w:color w:val="auto"/>
              </w:rPr>
            </w:pPr>
            <w:r>
              <w:rPr>
                <w:rFonts w:ascii="Arial" w:cs="Arial" w:eastAsia="Arial" w:hAnsi="Arial"/>
                <w:sz w:val="12"/>
                <w:szCs w:val="12"/>
                <w:color w:val="auto"/>
              </w:rPr>
              <w:t>45,120</w:t>
            </w:r>
          </w:p>
        </w:tc>
        <w:tc>
          <w:tcPr>
            <w:tcW w:w="700" w:type="dxa"/>
            <w:vAlign w:val="bottom"/>
            <w:tcBorders>
              <w:top w:val="single" w:sz="8" w:color="008861"/>
              <w:bottom w:val="single" w:sz="8" w:color="008861"/>
            </w:tcBorders>
            <w:shd w:val="clear" w:color="auto" w:fill="DBDFEA"/>
          </w:tcPr>
          <w:p>
            <w:pPr>
              <w:jc w:val="right"/>
              <w:ind w:right="2"/>
              <w:spacing w:after="0"/>
              <w:rPr>
                <w:sz w:val="20"/>
                <w:szCs w:val="20"/>
                <w:color w:val="auto"/>
              </w:rPr>
            </w:pPr>
            <w:r>
              <w:rPr>
                <w:rFonts w:ascii="Arial" w:cs="Arial" w:eastAsia="Arial" w:hAnsi="Arial"/>
                <w:sz w:val="12"/>
                <w:szCs w:val="12"/>
                <w:color w:val="auto"/>
              </w:rPr>
              <w:t>90,240</w:t>
            </w:r>
          </w:p>
        </w:tc>
        <w:tc>
          <w:tcPr>
            <w:tcW w:w="1060" w:type="dxa"/>
            <w:vAlign w:val="bottom"/>
            <w:tcBorders>
              <w:top w:val="single" w:sz="8" w:color="008861"/>
              <w:bottom w:val="single" w:sz="8" w:color="008861"/>
            </w:tcBorders>
            <w:shd w:val="clear" w:color="auto" w:fill="DBDFEA"/>
          </w:tcPr>
          <w:p>
            <w:pPr>
              <w:jc w:val="right"/>
              <w:ind w:right="22"/>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872,170</w:t>
            </w:r>
          </w:p>
        </w:tc>
        <w:tc>
          <w:tcPr>
            <w:tcW w:w="0" w:type="dxa"/>
            <w:vAlign w:val="bottom"/>
          </w:tcPr>
          <w:p>
            <w:pPr>
              <w:spacing w:after="0"/>
              <w:rPr>
                <w:sz w:val="1"/>
                <w:szCs w:val="1"/>
                <w:color w:val="auto"/>
              </w:rPr>
            </w:pPr>
          </w:p>
        </w:tc>
      </w:tr>
      <w:tr>
        <w:trPr>
          <w:trHeight w:val="169"/>
        </w:trPr>
        <w:tc>
          <w:tcPr>
            <w:tcW w:w="1860" w:type="dxa"/>
            <w:vAlign w:val="bottom"/>
            <w:tcBorders>
              <w:bottom w:val="single" w:sz="8" w:color="001544"/>
            </w:tcBorders>
            <w:shd w:val="clear" w:color="auto" w:fill="DBDFEA"/>
          </w:tcPr>
          <w:p>
            <w:pPr>
              <w:spacing w:after="0"/>
              <w:rPr>
                <w:sz w:val="14"/>
                <w:szCs w:val="14"/>
                <w:color w:val="auto"/>
              </w:rPr>
            </w:pPr>
          </w:p>
        </w:tc>
        <w:tc>
          <w:tcPr>
            <w:tcW w:w="100" w:type="dxa"/>
            <w:vAlign w:val="bottom"/>
            <w:tcBorders>
              <w:bottom w:val="single" w:sz="8" w:color="001544"/>
            </w:tcBorders>
            <w:shd w:val="clear" w:color="auto" w:fill="DBDFEA"/>
          </w:tcPr>
          <w:p>
            <w:pPr>
              <w:spacing w:after="0"/>
              <w:rPr>
                <w:sz w:val="14"/>
                <w:szCs w:val="14"/>
                <w:color w:val="auto"/>
              </w:rPr>
            </w:pPr>
          </w:p>
        </w:tc>
        <w:tc>
          <w:tcPr>
            <w:tcW w:w="640" w:type="dxa"/>
            <w:vAlign w:val="bottom"/>
            <w:tcBorders>
              <w:bottom w:val="single" w:sz="8" w:color="001544"/>
            </w:tcBorders>
            <w:shd w:val="clear" w:color="auto" w:fill="DBDFEA"/>
          </w:tcPr>
          <w:p>
            <w:pPr>
              <w:jc w:val="center"/>
              <w:spacing w:after="0"/>
              <w:rPr>
                <w:sz w:val="20"/>
                <w:szCs w:val="20"/>
                <w:color w:val="auto"/>
              </w:rPr>
            </w:pPr>
            <w:r>
              <w:rPr>
                <w:rFonts w:ascii="Arial" w:cs="Arial" w:eastAsia="Arial" w:hAnsi="Arial"/>
                <w:sz w:val="12"/>
                <w:szCs w:val="12"/>
                <w:color w:val="auto"/>
                <w:w w:val="98"/>
              </w:rPr>
              <w:t>3/7/2024</w:t>
            </w:r>
          </w:p>
        </w:tc>
        <w:tc>
          <w:tcPr>
            <w:tcW w:w="60" w:type="dxa"/>
            <w:vAlign w:val="bottom"/>
            <w:tcBorders>
              <w:bottom w:val="single" w:sz="8" w:color="001544"/>
            </w:tcBorders>
            <w:shd w:val="clear" w:color="auto" w:fill="DBDFEA"/>
          </w:tcPr>
          <w:p>
            <w:pPr>
              <w:spacing w:after="0"/>
              <w:rPr>
                <w:sz w:val="14"/>
                <w:szCs w:val="14"/>
                <w:color w:val="auto"/>
              </w:rPr>
            </w:pPr>
          </w:p>
        </w:tc>
        <w:tc>
          <w:tcPr>
            <w:tcW w:w="660" w:type="dxa"/>
            <w:vAlign w:val="bottom"/>
            <w:tcBorders>
              <w:bottom w:val="single" w:sz="8" w:color="001544"/>
            </w:tcBorders>
            <w:shd w:val="clear" w:color="auto" w:fill="DBDFEA"/>
          </w:tcPr>
          <w:p>
            <w:pPr>
              <w:jc w:val="center"/>
              <w:spacing w:after="0"/>
              <w:rPr>
                <w:sz w:val="20"/>
                <w:szCs w:val="20"/>
                <w:color w:val="auto"/>
              </w:rPr>
            </w:pPr>
            <w:r>
              <w:rPr>
                <w:rFonts w:ascii="Arial" w:cs="Arial" w:eastAsia="Arial" w:hAnsi="Arial"/>
                <w:sz w:val="12"/>
                <w:szCs w:val="12"/>
                <w:color w:val="auto"/>
                <w:w w:val="98"/>
              </w:rPr>
              <w:t>3/7/2024</w:t>
            </w:r>
          </w:p>
        </w:tc>
        <w:tc>
          <w:tcPr>
            <w:tcW w:w="100" w:type="dxa"/>
            <w:vAlign w:val="bottom"/>
            <w:tcBorders>
              <w:bottom w:val="single" w:sz="8" w:color="001544"/>
            </w:tcBorders>
            <w:shd w:val="clear" w:color="auto" w:fill="DBDFEA"/>
          </w:tcPr>
          <w:p>
            <w:pPr>
              <w:spacing w:after="0"/>
              <w:rPr>
                <w:sz w:val="14"/>
                <w:szCs w:val="14"/>
                <w:color w:val="auto"/>
              </w:rPr>
            </w:pPr>
          </w:p>
        </w:tc>
        <w:tc>
          <w:tcPr>
            <w:tcW w:w="600" w:type="dxa"/>
            <w:vAlign w:val="bottom"/>
            <w:tcBorders>
              <w:bottom w:val="single" w:sz="8" w:color="001544"/>
            </w:tcBorders>
            <w:shd w:val="clear" w:color="auto" w:fill="DBDFEA"/>
          </w:tcPr>
          <w:p>
            <w:pPr>
              <w:ind w:left="44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001544"/>
            </w:tcBorders>
            <w:shd w:val="clear" w:color="auto" w:fill="DBDFEA"/>
          </w:tcPr>
          <w:p>
            <w:pPr>
              <w:jc w:val="right"/>
              <w:ind w:right="82"/>
              <w:spacing w:after="0"/>
              <w:rPr>
                <w:sz w:val="20"/>
                <w:szCs w:val="20"/>
                <w:color w:val="auto"/>
              </w:rPr>
            </w:pPr>
            <w:r>
              <w:rPr>
                <w:rFonts w:ascii="Arial" w:cs="Arial" w:eastAsia="Arial" w:hAnsi="Arial"/>
                <w:sz w:val="12"/>
                <w:szCs w:val="12"/>
                <w:color w:val="auto"/>
              </w:rPr>
              <w:t>765,000</w:t>
            </w:r>
          </w:p>
        </w:tc>
        <w:tc>
          <w:tcPr>
            <w:tcW w:w="6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1,530,000</w:t>
            </w:r>
          </w:p>
        </w:tc>
        <w:tc>
          <w:tcPr>
            <w:tcW w:w="100" w:type="dxa"/>
            <w:vAlign w:val="bottom"/>
            <w:tcBorders>
              <w:bottom w:val="single" w:sz="8" w:color="001544"/>
            </w:tcBorders>
            <w:shd w:val="clear" w:color="auto" w:fill="DBDFEA"/>
          </w:tcPr>
          <w:p>
            <w:pPr>
              <w:spacing w:after="0"/>
              <w:rPr>
                <w:sz w:val="14"/>
                <w:szCs w:val="14"/>
                <w:color w:val="auto"/>
              </w:rPr>
            </w:pPr>
          </w:p>
        </w:tc>
        <w:tc>
          <w:tcPr>
            <w:tcW w:w="6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001544"/>
            </w:tcBorders>
            <w:shd w:val="clear" w:color="auto" w:fill="DBDFEA"/>
          </w:tcPr>
          <w:p>
            <w:pPr>
              <w:jc w:val="right"/>
              <w:ind w:right="8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001544"/>
            </w:tcBorders>
            <w:shd w:val="clear" w:color="auto" w:fill="DBDFEA"/>
          </w:tcPr>
          <w:p>
            <w:pPr>
              <w:jc w:val="right"/>
              <w:ind w:right="2"/>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001544"/>
            </w:tcBorders>
            <w:shd w:val="clear" w:color="auto" w:fill="DBDFEA"/>
          </w:tcPr>
          <w:p>
            <w:pPr>
              <w:jc w:val="right"/>
              <w:ind w:right="2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186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2"/>
                <w:szCs w:val="12"/>
                <w:b w:val="1"/>
                <w:bCs w:val="1"/>
                <w:color w:val="auto"/>
              </w:rPr>
              <w:t>Jacky Wu</w:t>
            </w:r>
          </w:p>
        </w:tc>
        <w:tc>
          <w:tcPr>
            <w:tcW w:w="100" w:type="dxa"/>
            <w:vAlign w:val="bottom"/>
            <w:tcBorders>
              <w:bottom w:val="single" w:sz="8" w:color="DBDFEA"/>
            </w:tcBorders>
            <w:shd w:val="clear" w:color="auto" w:fill="DBDFEA"/>
          </w:tcPr>
          <w:p>
            <w:pPr>
              <w:spacing w:after="0"/>
              <w:rPr>
                <w:sz w:val="14"/>
                <w:szCs w:val="14"/>
                <w:color w:val="auto"/>
              </w:rPr>
            </w:pPr>
          </w:p>
        </w:tc>
        <w:tc>
          <w:tcPr>
            <w:tcW w:w="640" w:type="dxa"/>
            <w:vAlign w:val="bottom"/>
            <w:tcBorders>
              <w:bottom w:val="single" w:sz="8" w:color="DBDFEA"/>
            </w:tcBorders>
            <w:shd w:val="clear" w:color="auto" w:fill="DBDFEA"/>
          </w:tcPr>
          <w:p>
            <w:pPr>
              <w:jc w:val="center"/>
              <w:spacing w:after="0"/>
              <w:rPr>
                <w:sz w:val="20"/>
                <w:szCs w:val="20"/>
                <w:color w:val="auto"/>
              </w:rPr>
            </w:pPr>
            <w:r>
              <w:rPr>
                <w:rFonts w:ascii="Arial" w:cs="Arial" w:eastAsia="Arial" w:hAnsi="Arial"/>
                <w:sz w:val="12"/>
                <w:szCs w:val="12"/>
                <w:color w:val="auto"/>
                <w:w w:val="97"/>
              </w:rPr>
              <w:t>2/15/2024</w:t>
            </w:r>
          </w:p>
        </w:tc>
        <w:tc>
          <w:tcPr>
            <w:tcW w:w="60" w:type="dxa"/>
            <w:vAlign w:val="bottom"/>
            <w:tcBorders>
              <w:bottom w:val="single" w:sz="8" w:color="DBDFEA"/>
            </w:tcBorders>
            <w:shd w:val="clear" w:color="auto" w:fill="DBDFEA"/>
          </w:tcPr>
          <w:p>
            <w:pPr>
              <w:spacing w:after="0"/>
              <w:rPr>
                <w:sz w:val="14"/>
                <w:szCs w:val="14"/>
                <w:color w:val="auto"/>
              </w:rPr>
            </w:pPr>
          </w:p>
        </w:tc>
        <w:tc>
          <w:tcPr>
            <w:tcW w:w="660" w:type="dxa"/>
            <w:vAlign w:val="bottom"/>
            <w:tcBorders>
              <w:bottom w:val="single" w:sz="8" w:color="DBDFEA"/>
            </w:tcBorders>
            <w:shd w:val="clear" w:color="auto" w:fill="DBDFEA"/>
          </w:tcPr>
          <w:p>
            <w:pPr>
              <w:jc w:val="center"/>
              <w:spacing w:after="0"/>
              <w:rPr>
                <w:sz w:val="20"/>
                <w:szCs w:val="20"/>
                <w:color w:val="auto"/>
              </w:rPr>
            </w:pPr>
            <w:r>
              <w:rPr>
                <w:rFonts w:ascii="Arial" w:cs="Arial" w:eastAsia="Arial" w:hAnsi="Arial"/>
                <w:sz w:val="12"/>
                <w:szCs w:val="12"/>
                <w:color w:val="auto"/>
                <w:w w:val="97"/>
              </w:rPr>
              <w:t>3/15/2024</w:t>
            </w:r>
          </w:p>
        </w:tc>
        <w:tc>
          <w:tcPr>
            <w:tcW w:w="100" w:type="dxa"/>
            <w:vAlign w:val="bottom"/>
            <w:tcBorders>
              <w:bottom w:val="single" w:sz="8" w:color="DBDFEA"/>
            </w:tcBorders>
            <w:shd w:val="clear" w:color="auto" w:fill="DBDFEA"/>
          </w:tcPr>
          <w:p>
            <w:pPr>
              <w:spacing w:after="0"/>
              <w:rPr>
                <w:sz w:val="14"/>
                <w:szCs w:val="14"/>
                <w:color w:val="auto"/>
              </w:rPr>
            </w:pPr>
          </w:p>
        </w:tc>
        <w:tc>
          <w:tcPr>
            <w:tcW w:w="600" w:type="dxa"/>
            <w:vAlign w:val="bottom"/>
            <w:tcBorders>
              <w:bottom w:val="single" w:sz="8" w:color="DBDFEA"/>
            </w:tcBorders>
            <w:shd w:val="clear" w:color="auto" w:fill="DBDFEA"/>
          </w:tcPr>
          <w:p>
            <w:pPr>
              <w:ind w:left="44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DBDFEA"/>
            </w:tcBorders>
            <w:shd w:val="clear" w:color="auto" w:fill="DBDFEA"/>
          </w:tcPr>
          <w:p>
            <w:pPr>
              <w:jc w:val="right"/>
              <w:ind w:right="82"/>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FEA"/>
            </w:tcBorders>
            <w:shd w:val="clear" w:color="auto" w:fill="DBDFEA"/>
          </w:tcPr>
          <w:p>
            <w:pPr>
              <w:spacing w:after="0"/>
              <w:rPr>
                <w:sz w:val="14"/>
                <w:szCs w:val="14"/>
                <w:color w:val="auto"/>
              </w:rPr>
            </w:pPr>
          </w:p>
        </w:tc>
        <w:tc>
          <w:tcPr>
            <w:tcW w:w="6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DBDFEA"/>
            </w:tcBorders>
            <w:shd w:val="clear" w:color="auto" w:fill="DBDFEA"/>
          </w:tcPr>
          <w:p>
            <w:pPr>
              <w:jc w:val="right"/>
              <w:ind w:right="8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DBDFEA"/>
            </w:tcBorders>
            <w:shd w:val="clear" w:color="auto" w:fill="DBDFEA"/>
          </w:tcPr>
          <w:p>
            <w:pPr>
              <w:jc w:val="right"/>
              <w:ind w:right="2"/>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DBDFEA"/>
            </w:tcBorders>
            <w:shd w:val="clear" w:color="auto" w:fill="DBDFEA"/>
          </w:tcPr>
          <w:p>
            <w:pPr>
              <w:jc w:val="right"/>
              <w:ind w:right="22"/>
              <w:spacing w:after="0"/>
              <w:rPr>
                <w:sz w:val="20"/>
                <w:szCs w:val="20"/>
                <w:color w:val="auto"/>
              </w:rPr>
            </w:pPr>
            <w:r>
              <w:rPr>
                <w:rFonts w:ascii="Arial" w:cs="Arial" w:eastAsia="Arial" w:hAnsi="Arial"/>
                <w:sz w:val="12"/>
                <w:szCs w:val="12"/>
                <w:color w:val="auto"/>
              </w:rPr>
              <w:t>112,427</w:t>
            </w:r>
          </w:p>
        </w:tc>
        <w:tc>
          <w:tcPr>
            <w:tcW w:w="7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2,077,651</w:t>
            </w: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00" w:right="60" w:hanging="293"/>
        <w:spacing w:after="0" w:line="253" w:lineRule="auto"/>
        <w:tabs>
          <w:tab w:leader="none" w:pos="3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Represents the target cash bonuses approved by the Compensation Committee on March 7, 2024 under the 2024 Annual Incentive Plan for our NEOs. For information about the cash bonus amounts actually earned by each of our NEOs, please refer to the “Non-Equity Incentive Plan Compensation” column of the Summary Compensation Table above. Amounts are considered earned in fiscal year 2024, although they were not payable or paid, as applicable, until 2025. For additional information about the 2024 Annual Incentive Plan, see “Compensation Discussion and Analysis—Elements of Compensation—Annual Cash Bonus.”</w:t>
      </w:r>
    </w:p>
    <w:p>
      <w:pPr>
        <w:spacing w:after="0" w:line="33" w:lineRule="exact"/>
        <w:rPr>
          <w:rFonts w:ascii="Arial" w:cs="Arial" w:eastAsia="Arial" w:hAnsi="Arial"/>
          <w:sz w:val="15"/>
          <w:szCs w:val="15"/>
          <w:color w:val="auto"/>
        </w:rPr>
      </w:pPr>
    </w:p>
    <w:p>
      <w:pPr>
        <w:ind w:left="300" w:right="40" w:hanging="293"/>
        <w:spacing w:after="0" w:line="250" w:lineRule="auto"/>
        <w:tabs>
          <w:tab w:leader="none" w:pos="3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Represents awards of restricted stock units, which are subject to vesting based on the achievement of performance goals for the three-year period ending March 14, 2027 and are generally subject to continued employment through such date. Dividends (if any) are accrued with respect to these equity awards, and are paid only if and when the restricted stock units are earned. For additional information about the 2024 performance-based awards, see “Compensation Discussion and Analysis—Elements of Compensation—Long—Term Incentive Equity Awards.” Other than with respect to Messrs. Mayrhofer and Wu, who each received only time-based restricted stock awards pursuant to their respective employment agreements, represents 50% of the long-term incentive equity award for 2024 granted by the Company to our NEOs.</w:t>
      </w:r>
    </w:p>
    <w:p>
      <w:pPr>
        <w:spacing w:after="0" w:line="49" w:lineRule="exact"/>
        <w:rPr>
          <w:rFonts w:ascii="Arial" w:cs="Arial" w:eastAsia="Arial" w:hAnsi="Arial"/>
          <w:sz w:val="15"/>
          <w:szCs w:val="15"/>
          <w:color w:val="auto"/>
        </w:rPr>
      </w:pPr>
    </w:p>
    <w:p>
      <w:pPr>
        <w:ind w:left="300" w:right="140" w:hanging="293"/>
        <w:spacing w:after="0" w:line="252" w:lineRule="auto"/>
        <w:tabs>
          <w:tab w:leader="none" w:pos="3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Represents awards of restricted shares of our Class A common stock, which are subject to time-based vesting in three equal annual installments beginning on the first anniversary of the grant date and, except with respect to Mr. Wu (see “Employment Agreements with Other Named Executive Officers—Jacky Wu”), are generally subject to continued employment. Dividends (if any) are paid currently with respect to these equity awards prior to vesting, including all dividends with a record date on or after the grant date. Other than with respect to Messrs. Mayrhofer and Wu, who each received only time-based restricted stock awards pursuant to their respective employment agreements, represents 50% of the long-term equity incentive award for 2024 granted by the Company to our NEOs.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158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5800"/>
        <w:spacing w:after="0"/>
        <w:rPr>
          <w:sz w:val="20"/>
          <w:szCs w:val="20"/>
          <w:color w:val="auto"/>
        </w:rPr>
      </w:pPr>
      <w:r>
        <w:rPr>
          <w:rFonts w:ascii="Arial" w:cs="Arial" w:eastAsia="Arial" w:hAnsi="Arial"/>
          <w:sz w:val="16"/>
          <w:szCs w:val="16"/>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60090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77" w:lineRule="exact"/>
        <w:rPr>
          <w:sz w:val="20"/>
          <w:szCs w:val="20"/>
          <w:color w:val="auto"/>
        </w:rPr>
      </w:pPr>
    </w:p>
    <w:p>
      <w:pPr>
        <w:ind w:right="1180"/>
        <w:spacing w:after="0" w:line="277" w:lineRule="auto"/>
        <w:rPr>
          <w:sz w:val="20"/>
          <w:szCs w:val="20"/>
          <w:color w:val="auto"/>
        </w:rPr>
      </w:pPr>
      <w:r>
        <w:rPr>
          <w:rFonts w:ascii="Arial" w:cs="Arial" w:eastAsia="Arial" w:hAnsi="Arial"/>
          <w:sz w:val="35"/>
          <w:szCs w:val="35"/>
          <w:color w:val="001544"/>
        </w:rPr>
        <w:t>Discussion of Summary Compensation and Grants of Plan-Based Awards Tables</w:t>
      </w:r>
    </w:p>
    <w:p>
      <w:pPr>
        <w:spacing w:after="0" w:line="103"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terms of the awards set forth in the 2024 Grants of Plan-Based Awards Table relating to the manner in which these awards are treated in connection with a termination of employment or change of control are described below in “Compensation Tables and Related Narrative—Potential Payments on Termination or Change of Control.”</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Outstanding Equity Awards at Fiscal Year End 2024</w:t>
      </w:r>
    </w:p>
    <w:p>
      <w:pPr>
        <w:spacing w:after="0" w:line="21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 sets forth certain information with respect to outstanding equity awards as of December 31, 2024 with respect to our NEOs. No option awards were outstanding as of December 31, 2024.</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Borders>
              <w:bottom w:val="single" w:sz="8" w:color="001544"/>
            </w:tcBorders>
          </w:tcPr>
          <w:p>
            <w:pPr>
              <w:spacing w:after="0"/>
              <w:rPr>
                <w:sz w:val="13"/>
                <w:szCs w:val="13"/>
                <w:color w:val="auto"/>
              </w:rPr>
            </w:pPr>
          </w:p>
        </w:tc>
        <w:tc>
          <w:tcPr>
            <w:tcW w:w="3680" w:type="dxa"/>
            <w:vAlign w:val="bottom"/>
            <w:tcBorders>
              <w:bottom w:val="single" w:sz="8" w:color="001544"/>
            </w:tcBorders>
            <w:gridSpan w:val="2"/>
          </w:tcPr>
          <w:p>
            <w:pPr>
              <w:jc w:val="right"/>
              <w:ind w:right="1113"/>
              <w:spacing w:after="0"/>
              <w:rPr>
                <w:sz w:val="20"/>
                <w:szCs w:val="20"/>
                <w:color w:val="auto"/>
              </w:rPr>
            </w:pPr>
            <w:r>
              <w:rPr>
                <w:rFonts w:ascii="Arial" w:cs="Arial" w:eastAsia="Arial" w:hAnsi="Arial"/>
                <w:sz w:val="13"/>
                <w:szCs w:val="13"/>
                <w:b w:val="1"/>
                <w:bCs w:val="1"/>
                <w:color w:val="001544"/>
              </w:rPr>
              <w:t>Stock Awards</w:t>
            </w:r>
          </w:p>
        </w:tc>
        <w:tc>
          <w:tcPr>
            <w:tcW w:w="1900" w:type="dxa"/>
            <w:vAlign w:val="bottom"/>
            <w:tcBorders>
              <w:bottom w:val="single" w:sz="8" w:color="001544"/>
            </w:tcBorders>
          </w:tcPr>
          <w:p>
            <w:pPr>
              <w:spacing w:after="0"/>
              <w:rPr>
                <w:sz w:val="13"/>
                <w:szCs w:val="13"/>
                <w:color w:val="auto"/>
              </w:rPr>
            </w:pPr>
          </w:p>
        </w:tc>
      </w:tr>
      <w:tr>
        <w:trPr>
          <w:trHeight w:val="134"/>
        </w:trPr>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900" w:type="dxa"/>
            <w:vAlign w:val="bottom"/>
          </w:tcPr>
          <w:p>
            <w:pPr>
              <w:jc w:val="center"/>
              <w:spacing w:after="0" w:line="134" w:lineRule="exact"/>
              <w:rPr>
                <w:sz w:val="20"/>
                <w:szCs w:val="20"/>
                <w:color w:val="auto"/>
              </w:rPr>
            </w:pPr>
            <w:r>
              <w:rPr>
                <w:rFonts w:ascii="Arial" w:cs="Arial" w:eastAsia="Arial" w:hAnsi="Arial"/>
                <w:sz w:val="13"/>
                <w:szCs w:val="13"/>
                <w:b w:val="1"/>
                <w:bCs w:val="1"/>
                <w:color w:val="001544"/>
              </w:rPr>
              <w:t>Equity Incentive</w:t>
            </w:r>
          </w:p>
        </w:tc>
      </w:tr>
      <w:tr>
        <w:trPr>
          <w:trHeight w:val="151"/>
        </w:trPr>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001544"/>
              </w:rPr>
              <w:t>Equity Incentive Plan</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001544"/>
              </w:rPr>
              <w:t>Plan Awards:</w:t>
            </w:r>
          </w:p>
        </w:tc>
      </w:tr>
      <w:tr>
        <w:trPr>
          <w:trHeight w:val="151"/>
        </w:trPr>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001544"/>
              </w:rPr>
              <w:t>Awards: Number of</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001544"/>
              </w:rPr>
              <w:t>Market or Payout Value of</w:t>
            </w:r>
          </w:p>
        </w:tc>
      </w:tr>
      <w:tr>
        <w:trPr>
          <w:trHeight w:val="151"/>
        </w:trPr>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001544"/>
              </w:rPr>
              <w:t>Number of Shares or</w:t>
            </w:r>
          </w:p>
        </w:tc>
        <w:tc>
          <w:tcPr>
            <w:tcW w:w="1880" w:type="dxa"/>
            <w:vAlign w:val="bottom"/>
          </w:tcPr>
          <w:p>
            <w:pPr>
              <w:jc w:val="center"/>
              <w:ind w:left="13"/>
              <w:spacing w:after="0"/>
              <w:rPr>
                <w:sz w:val="20"/>
                <w:szCs w:val="20"/>
                <w:color w:val="auto"/>
              </w:rPr>
            </w:pPr>
            <w:r>
              <w:rPr>
                <w:rFonts w:ascii="Arial" w:cs="Arial" w:eastAsia="Arial" w:hAnsi="Arial"/>
                <w:sz w:val="13"/>
                <w:szCs w:val="13"/>
                <w:b w:val="1"/>
                <w:bCs w:val="1"/>
                <w:color w:val="001544"/>
              </w:rPr>
              <w:t>Market Value of Shares or</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001544"/>
              </w:rPr>
              <w:t>Unearned Shares, Units</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001544"/>
              </w:rPr>
              <w:t>Unearned Shares, Units or</w:t>
            </w:r>
          </w:p>
        </w:tc>
      </w:tr>
      <w:tr>
        <w:trPr>
          <w:trHeight w:val="135"/>
        </w:trPr>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center"/>
              <w:spacing w:after="0" w:line="136" w:lineRule="exact"/>
              <w:rPr>
                <w:sz w:val="20"/>
                <w:szCs w:val="20"/>
                <w:color w:val="auto"/>
              </w:rPr>
            </w:pPr>
            <w:r>
              <w:rPr>
                <w:rFonts w:ascii="Arial" w:cs="Arial" w:eastAsia="Arial" w:hAnsi="Arial"/>
                <w:sz w:val="13"/>
                <w:szCs w:val="13"/>
                <w:b w:val="1"/>
                <w:bCs w:val="1"/>
                <w:color w:val="001544"/>
              </w:rPr>
              <w:t>Units of Stock that</w:t>
            </w:r>
          </w:p>
        </w:tc>
        <w:tc>
          <w:tcPr>
            <w:tcW w:w="1880" w:type="dxa"/>
            <w:vAlign w:val="bottom"/>
          </w:tcPr>
          <w:p>
            <w:pPr>
              <w:jc w:val="center"/>
              <w:spacing w:after="0" w:line="136" w:lineRule="exact"/>
              <w:rPr>
                <w:sz w:val="20"/>
                <w:szCs w:val="20"/>
                <w:color w:val="auto"/>
              </w:rPr>
            </w:pPr>
            <w:r>
              <w:rPr>
                <w:rFonts w:ascii="Arial" w:cs="Arial" w:eastAsia="Arial" w:hAnsi="Arial"/>
                <w:sz w:val="13"/>
                <w:szCs w:val="13"/>
                <w:b w:val="1"/>
                <w:bCs w:val="1"/>
                <w:color w:val="001544"/>
              </w:rPr>
              <w:t>Units of Stock that Have</w:t>
            </w:r>
          </w:p>
        </w:tc>
        <w:tc>
          <w:tcPr>
            <w:tcW w:w="1800" w:type="dxa"/>
            <w:vAlign w:val="bottom"/>
          </w:tcPr>
          <w:p>
            <w:pPr>
              <w:jc w:val="center"/>
              <w:spacing w:after="0" w:line="136" w:lineRule="exact"/>
              <w:rPr>
                <w:sz w:val="20"/>
                <w:szCs w:val="20"/>
                <w:color w:val="auto"/>
              </w:rPr>
            </w:pPr>
            <w:r>
              <w:rPr>
                <w:rFonts w:ascii="Arial" w:cs="Arial" w:eastAsia="Arial" w:hAnsi="Arial"/>
                <w:sz w:val="13"/>
                <w:szCs w:val="13"/>
                <w:b w:val="1"/>
                <w:bCs w:val="1"/>
                <w:color w:val="001544"/>
              </w:rPr>
              <w:t>or Other Rights that</w:t>
            </w:r>
          </w:p>
        </w:tc>
        <w:tc>
          <w:tcPr>
            <w:tcW w:w="1900" w:type="dxa"/>
            <w:vAlign w:val="bottom"/>
          </w:tcPr>
          <w:p>
            <w:pPr>
              <w:jc w:val="center"/>
              <w:spacing w:after="0" w:line="136" w:lineRule="exact"/>
              <w:rPr>
                <w:sz w:val="20"/>
                <w:szCs w:val="20"/>
                <w:color w:val="auto"/>
              </w:rPr>
            </w:pPr>
            <w:r>
              <w:rPr>
                <w:rFonts w:ascii="Arial" w:cs="Arial" w:eastAsia="Arial" w:hAnsi="Arial"/>
                <w:sz w:val="13"/>
                <w:szCs w:val="13"/>
                <w:b w:val="1"/>
                <w:bCs w:val="1"/>
                <w:color w:val="001544"/>
              </w:rPr>
              <w:t>Other Rights that Have Not</w:t>
            </w:r>
          </w:p>
        </w:tc>
      </w:tr>
      <w:tr>
        <w:trPr>
          <w:trHeight w:val="166"/>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spacing w:after="0" w:line="166" w:lineRule="exact"/>
              <w:rPr>
                <w:sz w:val="20"/>
                <w:szCs w:val="20"/>
                <w:color w:val="auto"/>
              </w:rPr>
            </w:pPr>
            <w:r>
              <w:rPr>
                <w:rFonts w:ascii="Arial" w:cs="Arial" w:eastAsia="Arial" w:hAnsi="Arial"/>
                <w:sz w:val="13"/>
                <w:szCs w:val="13"/>
                <w:b w:val="1"/>
                <w:bCs w:val="1"/>
                <w:color w:val="001544"/>
                <w:w w:val="99"/>
              </w:rPr>
              <w:t>Have Not Vested</w:t>
            </w:r>
            <w:r>
              <w:rPr>
                <w:rFonts w:ascii="Arial" w:cs="Arial" w:eastAsia="Arial" w:hAnsi="Arial"/>
                <w:sz w:val="19"/>
                <w:szCs w:val="19"/>
                <w:b w:val="1"/>
                <w:bCs w:val="1"/>
                <w:color w:val="001544"/>
                <w:w w:val="99"/>
                <w:vertAlign w:val="superscript"/>
              </w:rPr>
              <w:t>(1)</w:t>
            </w:r>
          </w:p>
        </w:tc>
        <w:tc>
          <w:tcPr>
            <w:tcW w:w="1880" w:type="dxa"/>
            <w:vAlign w:val="bottom"/>
          </w:tcPr>
          <w:p>
            <w:pPr>
              <w:jc w:val="center"/>
              <w:spacing w:after="0" w:line="166" w:lineRule="exact"/>
              <w:rPr>
                <w:sz w:val="20"/>
                <w:szCs w:val="20"/>
                <w:color w:val="auto"/>
              </w:rPr>
            </w:pPr>
            <w:r>
              <w:rPr>
                <w:rFonts w:ascii="Arial" w:cs="Arial" w:eastAsia="Arial" w:hAnsi="Arial"/>
                <w:sz w:val="13"/>
                <w:szCs w:val="13"/>
                <w:b w:val="1"/>
                <w:bCs w:val="1"/>
                <w:color w:val="001544"/>
                <w:w w:val="98"/>
              </w:rPr>
              <w:t>Not Vested</w:t>
            </w:r>
            <w:r>
              <w:rPr>
                <w:rFonts w:ascii="Arial" w:cs="Arial" w:eastAsia="Arial" w:hAnsi="Arial"/>
                <w:sz w:val="19"/>
                <w:szCs w:val="19"/>
                <w:b w:val="1"/>
                <w:bCs w:val="1"/>
                <w:color w:val="001544"/>
                <w:w w:val="98"/>
                <w:vertAlign w:val="superscript"/>
              </w:rPr>
              <w:t>(2)</w:t>
            </w:r>
          </w:p>
        </w:tc>
        <w:tc>
          <w:tcPr>
            <w:tcW w:w="1800" w:type="dxa"/>
            <w:vAlign w:val="bottom"/>
          </w:tcPr>
          <w:p>
            <w:pPr>
              <w:jc w:val="center"/>
              <w:spacing w:after="0" w:line="166" w:lineRule="exact"/>
              <w:rPr>
                <w:sz w:val="20"/>
                <w:szCs w:val="20"/>
                <w:color w:val="auto"/>
              </w:rPr>
            </w:pPr>
            <w:r>
              <w:rPr>
                <w:rFonts w:ascii="Arial" w:cs="Arial" w:eastAsia="Arial" w:hAnsi="Arial"/>
                <w:sz w:val="13"/>
                <w:szCs w:val="13"/>
                <w:b w:val="1"/>
                <w:bCs w:val="1"/>
                <w:color w:val="001544"/>
                <w:w w:val="99"/>
              </w:rPr>
              <w:t>Have Not Vested</w:t>
            </w:r>
            <w:r>
              <w:rPr>
                <w:rFonts w:ascii="Arial" w:cs="Arial" w:eastAsia="Arial" w:hAnsi="Arial"/>
                <w:sz w:val="19"/>
                <w:szCs w:val="19"/>
                <w:b w:val="1"/>
                <w:bCs w:val="1"/>
                <w:color w:val="001544"/>
                <w:w w:val="99"/>
                <w:vertAlign w:val="superscript"/>
              </w:rPr>
              <w:t>(3)</w:t>
            </w:r>
          </w:p>
        </w:tc>
        <w:tc>
          <w:tcPr>
            <w:tcW w:w="1900" w:type="dxa"/>
            <w:vAlign w:val="bottom"/>
          </w:tcPr>
          <w:p>
            <w:pPr>
              <w:jc w:val="center"/>
              <w:spacing w:after="0" w:line="166" w:lineRule="exact"/>
              <w:rPr>
                <w:sz w:val="20"/>
                <w:szCs w:val="20"/>
                <w:color w:val="auto"/>
              </w:rPr>
            </w:pPr>
            <w:r>
              <w:rPr>
                <w:rFonts w:ascii="Arial" w:cs="Arial" w:eastAsia="Arial" w:hAnsi="Arial"/>
                <w:sz w:val="13"/>
                <w:szCs w:val="13"/>
                <w:b w:val="1"/>
                <w:bCs w:val="1"/>
                <w:color w:val="001544"/>
                <w:w w:val="96"/>
              </w:rPr>
              <w:t>Vested</w:t>
            </w:r>
            <w:r>
              <w:rPr>
                <w:rFonts w:ascii="Arial" w:cs="Arial" w:eastAsia="Arial" w:hAnsi="Arial"/>
                <w:sz w:val="19"/>
                <w:szCs w:val="19"/>
                <w:b w:val="1"/>
                <w:bCs w:val="1"/>
                <w:color w:val="001544"/>
                <w:w w:val="96"/>
                <w:vertAlign w:val="superscript"/>
              </w:rPr>
              <w:t>(2)</w:t>
            </w:r>
          </w:p>
        </w:tc>
      </w:tr>
      <w:tr>
        <w:trPr>
          <w:trHeight w:val="185"/>
        </w:trPr>
        <w:tc>
          <w:tcPr>
            <w:tcW w:w="2320" w:type="dxa"/>
            <w:vAlign w:val="bottom"/>
          </w:tcPr>
          <w:p>
            <w:pPr>
              <w:ind w:left="100"/>
              <w:spacing w:after="0"/>
              <w:rPr>
                <w:sz w:val="20"/>
                <w:szCs w:val="20"/>
                <w:color w:val="auto"/>
              </w:rPr>
            </w:pPr>
            <w:r>
              <w:rPr>
                <w:rFonts w:ascii="Arial" w:cs="Arial" w:eastAsia="Arial" w:hAnsi="Arial"/>
                <w:sz w:val="13"/>
                <w:szCs w:val="13"/>
                <w:b w:val="1"/>
                <w:bCs w:val="1"/>
                <w:color w:val="001544"/>
              </w:rPr>
              <w:t>Name</w:t>
            </w:r>
          </w:p>
        </w:tc>
        <w:tc>
          <w:tcPr>
            <w:tcW w:w="1560" w:type="dxa"/>
            <w:vAlign w:val="bottom"/>
            <w:gridSpan w:val="2"/>
          </w:tcPr>
          <w:p>
            <w:pPr>
              <w:jc w:val="center"/>
              <w:ind w:left="53"/>
              <w:spacing w:after="0"/>
              <w:rPr>
                <w:sz w:val="20"/>
                <w:szCs w:val="20"/>
                <w:color w:val="auto"/>
              </w:rPr>
            </w:pPr>
            <w:r>
              <w:rPr>
                <w:rFonts w:ascii="Arial" w:cs="Arial" w:eastAsia="Arial" w:hAnsi="Arial"/>
                <w:sz w:val="13"/>
                <w:szCs w:val="13"/>
                <w:b w:val="1"/>
                <w:bCs w:val="1"/>
                <w:color w:val="001544"/>
              </w:rPr>
              <w:t>(#)</w:t>
            </w:r>
          </w:p>
        </w:tc>
        <w:tc>
          <w:tcPr>
            <w:tcW w:w="1880" w:type="dxa"/>
            <w:vAlign w:val="bottom"/>
          </w:tcPr>
          <w:p>
            <w:pPr>
              <w:jc w:val="center"/>
              <w:ind w:left="13"/>
              <w:spacing w:after="0"/>
              <w:rPr>
                <w:sz w:val="20"/>
                <w:szCs w:val="20"/>
                <w:color w:val="auto"/>
              </w:rPr>
            </w:pPr>
            <w:r>
              <w:rPr>
                <w:rFonts w:ascii="Arial" w:cs="Arial" w:eastAsia="Arial" w:hAnsi="Arial"/>
                <w:sz w:val="13"/>
                <w:szCs w:val="13"/>
                <w:b w:val="1"/>
                <w:bCs w:val="1"/>
                <w:color w:val="001544"/>
              </w:rPr>
              <w:t>($)</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001544"/>
              </w:rPr>
              <w:t>(#)</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001544"/>
              </w:rPr>
              <w:t>($)</w:t>
            </w:r>
          </w:p>
        </w:tc>
      </w:tr>
      <w:tr>
        <w:trPr>
          <w:trHeight w:val="25"/>
        </w:trPr>
        <w:tc>
          <w:tcPr>
            <w:tcW w:w="2320" w:type="dxa"/>
            <w:vAlign w:val="bottom"/>
            <w:tcBorders>
              <w:bottom w:val="single" w:sz="8" w:color="001544"/>
            </w:tcBorders>
          </w:tcPr>
          <w:p>
            <w:pPr>
              <w:spacing w:after="0"/>
              <w:rPr>
                <w:sz w:val="2"/>
                <w:szCs w:val="2"/>
                <w:color w:val="auto"/>
              </w:rPr>
            </w:pPr>
          </w:p>
        </w:tc>
        <w:tc>
          <w:tcPr>
            <w:tcW w:w="120" w:type="dxa"/>
            <w:vAlign w:val="bottom"/>
            <w:tcBorders>
              <w:bottom w:val="single" w:sz="8" w:color="001544"/>
            </w:tcBorders>
          </w:tcPr>
          <w:p>
            <w:pPr>
              <w:spacing w:after="0"/>
              <w:rPr>
                <w:sz w:val="2"/>
                <w:szCs w:val="2"/>
                <w:color w:val="auto"/>
              </w:rPr>
            </w:pPr>
          </w:p>
        </w:tc>
        <w:tc>
          <w:tcPr>
            <w:tcW w:w="1440" w:type="dxa"/>
            <w:vAlign w:val="bottom"/>
            <w:tcBorders>
              <w:bottom w:val="single" w:sz="8" w:color="001544"/>
            </w:tcBorders>
          </w:tcPr>
          <w:p>
            <w:pPr>
              <w:spacing w:after="0"/>
              <w:rPr>
                <w:sz w:val="2"/>
                <w:szCs w:val="2"/>
                <w:color w:val="auto"/>
              </w:rPr>
            </w:pPr>
          </w:p>
        </w:tc>
        <w:tc>
          <w:tcPr>
            <w:tcW w:w="1880" w:type="dxa"/>
            <w:vAlign w:val="bottom"/>
            <w:tcBorders>
              <w:bottom w:val="single" w:sz="8" w:color="001544"/>
            </w:tcBorders>
          </w:tcPr>
          <w:p>
            <w:pPr>
              <w:spacing w:after="0"/>
              <w:rPr>
                <w:sz w:val="2"/>
                <w:szCs w:val="2"/>
                <w:color w:val="auto"/>
              </w:rPr>
            </w:pPr>
          </w:p>
        </w:tc>
        <w:tc>
          <w:tcPr>
            <w:tcW w:w="1800" w:type="dxa"/>
            <w:vAlign w:val="bottom"/>
            <w:tcBorders>
              <w:bottom w:val="single" w:sz="8" w:color="001544"/>
            </w:tcBorders>
          </w:tcPr>
          <w:p>
            <w:pPr>
              <w:spacing w:after="0"/>
              <w:rPr>
                <w:sz w:val="2"/>
                <w:szCs w:val="2"/>
                <w:color w:val="auto"/>
              </w:rPr>
            </w:pPr>
          </w:p>
        </w:tc>
        <w:tc>
          <w:tcPr>
            <w:tcW w:w="1900" w:type="dxa"/>
            <w:vAlign w:val="bottom"/>
            <w:tcBorders>
              <w:bottom w:val="single" w:sz="8" w:color="001544"/>
            </w:tcBorders>
          </w:tcPr>
          <w:p>
            <w:pPr>
              <w:spacing w:after="0"/>
              <w:rPr>
                <w:sz w:val="2"/>
                <w:szCs w:val="2"/>
                <w:color w:val="auto"/>
              </w:rPr>
            </w:pPr>
          </w:p>
        </w:tc>
      </w:tr>
      <w:tr>
        <w:trPr>
          <w:trHeight w:val="189"/>
        </w:trPr>
        <w:tc>
          <w:tcPr>
            <w:tcW w:w="232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3"/>
                <w:szCs w:val="13"/>
                <w:color w:val="auto"/>
              </w:rPr>
              <w:t>Marc C. Ganzi</w:t>
            </w:r>
          </w:p>
        </w:tc>
        <w:tc>
          <w:tcPr>
            <w:tcW w:w="156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3"/>
                <w:szCs w:val="13"/>
                <w:color w:val="auto"/>
              </w:rPr>
              <w:t>192,274</w:t>
            </w:r>
          </w:p>
        </w:tc>
        <w:tc>
          <w:tcPr>
            <w:tcW w:w="18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2,168,851</w:t>
            </w:r>
          </w:p>
        </w:tc>
        <w:tc>
          <w:tcPr>
            <w:tcW w:w="1800" w:type="dxa"/>
            <w:vAlign w:val="bottom"/>
            <w:tcBorders>
              <w:bottom w:val="single" w:sz="8" w:color="001544"/>
            </w:tcBorders>
            <w:shd w:val="clear" w:color="auto" w:fill="DBDFEA"/>
          </w:tcPr>
          <w:p>
            <w:pPr>
              <w:jc w:val="right"/>
              <w:ind w:right="33"/>
              <w:spacing w:after="0"/>
              <w:rPr>
                <w:sz w:val="20"/>
                <w:szCs w:val="20"/>
                <w:color w:val="auto"/>
              </w:rPr>
            </w:pPr>
            <w:r>
              <w:rPr>
                <w:rFonts w:ascii="Arial" w:cs="Arial" w:eastAsia="Arial" w:hAnsi="Arial"/>
                <w:sz w:val="13"/>
                <w:szCs w:val="13"/>
                <w:color w:val="auto"/>
              </w:rPr>
              <w:t>155,186</w:t>
            </w:r>
          </w:p>
        </w:tc>
        <w:tc>
          <w:tcPr>
            <w:tcW w:w="19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1,750,498</w:t>
            </w:r>
          </w:p>
        </w:tc>
      </w:tr>
      <w:tr>
        <w:trPr>
          <w:trHeight w:val="194"/>
        </w:trPr>
        <w:tc>
          <w:tcPr>
            <w:tcW w:w="232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3"/>
                <w:szCs w:val="13"/>
                <w:color w:val="auto"/>
              </w:rPr>
              <w:t>Benjamin J. Jenkins</w:t>
            </w:r>
          </w:p>
        </w:tc>
        <w:tc>
          <w:tcPr>
            <w:tcW w:w="120" w:type="dxa"/>
            <w:vAlign w:val="bottom"/>
            <w:tcBorders>
              <w:bottom w:val="single" w:sz="8" w:color="001544"/>
            </w:tcBorders>
            <w:shd w:val="clear" w:color="auto" w:fill="DBDFEA"/>
          </w:tcPr>
          <w:p>
            <w:pPr>
              <w:spacing w:after="0"/>
              <w:rPr>
                <w:sz w:val="16"/>
                <w:szCs w:val="16"/>
                <w:color w:val="auto"/>
              </w:rPr>
            </w:pP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93,544</w:t>
            </w:r>
          </w:p>
        </w:tc>
        <w:tc>
          <w:tcPr>
            <w:tcW w:w="18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1,055,176</w:t>
            </w:r>
          </w:p>
        </w:tc>
        <w:tc>
          <w:tcPr>
            <w:tcW w:w="1800" w:type="dxa"/>
            <w:vAlign w:val="bottom"/>
            <w:tcBorders>
              <w:bottom w:val="single" w:sz="8" w:color="001544"/>
            </w:tcBorders>
            <w:shd w:val="clear" w:color="auto" w:fill="DBDFEA"/>
          </w:tcPr>
          <w:p>
            <w:pPr>
              <w:jc w:val="right"/>
              <w:ind w:right="33"/>
              <w:spacing w:after="0"/>
              <w:rPr>
                <w:sz w:val="20"/>
                <w:szCs w:val="20"/>
                <w:color w:val="auto"/>
              </w:rPr>
            </w:pPr>
            <w:r>
              <w:rPr>
                <w:rFonts w:ascii="Arial" w:cs="Arial" w:eastAsia="Arial" w:hAnsi="Arial"/>
                <w:sz w:val="13"/>
                <w:szCs w:val="13"/>
                <w:color w:val="auto"/>
              </w:rPr>
              <w:t>55,052</w:t>
            </w:r>
          </w:p>
        </w:tc>
        <w:tc>
          <w:tcPr>
            <w:tcW w:w="19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620,987</w:t>
            </w:r>
          </w:p>
        </w:tc>
      </w:tr>
      <w:tr>
        <w:trPr>
          <w:trHeight w:val="194"/>
        </w:trPr>
        <w:tc>
          <w:tcPr>
            <w:tcW w:w="232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3"/>
                <w:szCs w:val="13"/>
                <w:color w:val="auto"/>
              </w:rPr>
              <w:t>Thomas Mayrhofer</w:t>
            </w:r>
          </w:p>
        </w:tc>
        <w:tc>
          <w:tcPr>
            <w:tcW w:w="120" w:type="dxa"/>
            <w:vAlign w:val="bottom"/>
            <w:tcBorders>
              <w:bottom w:val="single" w:sz="8" w:color="001544"/>
            </w:tcBorders>
            <w:shd w:val="clear" w:color="auto" w:fill="DBDFEA"/>
          </w:tcPr>
          <w:p>
            <w:pPr>
              <w:spacing w:after="0"/>
              <w:rPr>
                <w:sz w:val="16"/>
                <w:szCs w:val="16"/>
                <w:color w:val="auto"/>
              </w:rPr>
            </w:pP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95,079</w:t>
            </w:r>
          </w:p>
        </w:tc>
        <w:tc>
          <w:tcPr>
            <w:tcW w:w="18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1,072,491</w:t>
            </w:r>
          </w:p>
        </w:tc>
        <w:tc>
          <w:tcPr>
            <w:tcW w:w="1800" w:type="dxa"/>
            <w:vAlign w:val="bottom"/>
            <w:tcBorders>
              <w:bottom w:val="single" w:sz="8" w:color="001544"/>
            </w:tcBorders>
            <w:shd w:val="clear" w:color="auto" w:fill="DBDFEA"/>
          </w:tcPr>
          <w:p>
            <w:pPr>
              <w:jc w:val="right"/>
              <w:ind w:right="33"/>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w:t>
            </w:r>
          </w:p>
        </w:tc>
      </w:tr>
      <w:tr>
        <w:trPr>
          <w:trHeight w:val="194"/>
        </w:trPr>
        <w:tc>
          <w:tcPr>
            <w:tcW w:w="232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3"/>
                <w:szCs w:val="13"/>
                <w:color w:val="auto"/>
              </w:rPr>
              <w:t>Geoffrey Goldschein</w:t>
            </w:r>
          </w:p>
        </w:tc>
        <w:tc>
          <w:tcPr>
            <w:tcW w:w="120" w:type="dxa"/>
            <w:vAlign w:val="bottom"/>
            <w:tcBorders>
              <w:bottom w:val="single" w:sz="8" w:color="001544"/>
            </w:tcBorders>
            <w:shd w:val="clear" w:color="auto" w:fill="DBDFEA"/>
          </w:tcPr>
          <w:p>
            <w:pPr>
              <w:spacing w:after="0"/>
              <w:rPr>
                <w:sz w:val="16"/>
                <w:szCs w:val="16"/>
                <w:color w:val="auto"/>
              </w:rPr>
            </w:pP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60,679</w:t>
            </w:r>
          </w:p>
        </w:tc>
        <w:tc>
          <w:tcPr>
            <w:tcW w:w="18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684,459</w:t>
            </w:r>
          </w:p>
        </w:tc>
        <w:tc>
          <w:tcPr>
            <w:tcW w:w="1800" w:type="dxa"/>
            <w:vAlign w:val="bottom"/>
            <w:tcBorders>
              <w:bottom w:val="single" w:sz="8" w:color="001544"/>
            </w:tcBorders>
            <w:shd w:val="clear" w:color="auto" w:fill="DBDFEA"/>
          </w:tcPr>
          <w:p>
            <w:pPr>
              <w:jc w:val="right"/>
              <w:ind w:right="33"/>
              <w:spacing w:after="0"/>
              <w:rPr>
                <w:sz w:val="20"/>
                <w:szCs w:val="20"/>
                <w:color w:val="auto"/>
              </w:rPr>
            </w:pPr>
            <w:r>
              <w:rPr>
                <w:rFonts w:ascii="Arial" w:cs="Arial" w:eastAsia="Arial" w:hAnsi="Arial"/>
                <w:sz w:val="13"/>
                <w:szCs w:val="13"/>
                <w:color w:val="auto"/>
              </w:rPr>
              <w:t>13,846</w:t>
            </w:r>
          </w:p>
        </w:tc>
        <w:tc>
          <w:tcPr>
            <w:tcW w:w="19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156,177</w:t>
            </w:r>
          </w:p>
        </w:tc>
      </w:tr>
      <w:tr>
        <w:trPr>
          <w:trHeight w:val="194"/>
        </w:trPr>
        <w:tc>
          <w:tcPr>
            <w:tcW w:w="232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3"/>
                <w:szCs w:val="13"/>
                <w:color w:val="auto"/>
              </w:rPr>
              <w:t>Liam Stewart</w:t>
            </w:r>
          </w:p>
        </w:tc>
        <w:tc>
          <w:tcPr>
            <w:tcW w:w="120" w:type="dxa"/>
            <w:vAlign w:val="bottom"/>
            <w:tcBorders>
              <w:bottom w:val="single" w:sz="8" w:color="001544"/>
            </w:tcBorders>
            <w:shd w:val="clear" w:color="auto" w:fill="DBDFEA"/>
          </w:tcPr>
          <w:p>
            <w:pPr>
              <w:spacing w:after="0"/>
              <w:rPr>
                <w:sz w:val="16"/>
                <w:szCs w:val="16"/>
                <w:color w:val="auto"/>
              </w:rPr>
            </w:pP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102,380</w:t>
            </w:r>
          </w:p>
        </w:tc>
        <w:tc>
          <w:tcPr>
            <w:tcW w:w="18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1,154,846</w:t>
            </w:r>
          </w:p>
        </w:tc>
        <w:tc>
          <w:tcPr>
            <w:tcW w:w="1800" w:type="dxa"/>
            <w:vAlign w:val="bottom"/>
            <w:tcBorders>
              <w:bottom w:val="single" w:sz="8" w:color="001544"/>
            </w:tcBorders>
            <w:shd w:val="clear" w:color="auto" w:fill="DBDFEA"/>
          </w:tcPr>
          <w:p>
            <w:pPr>
              <w:jc w:val="right"/>
              <w:ind w:right="33"/>
              <w:spacing w:after="0"/>
              <w:rPr>
                <w:sz w:val="20"/>
                <w:szCs w:val="20"/>
                <w:color w:val="auto"/>
              </w:rPr>
            </w:pPr>
            <w:r>
              <w:rPr>
                <w:rFonts w:ascii="Arial" w:cs="Arial" w:eastAsia="Arial" w:hAnsi="Arial"/>
                <w:sz w:val="13"/>
                <w:szCs w:val="13"/>
                <w:color w:val="auto"/>
              </w:rPr>
              <w:t>55,160</w:t>
            </w:r>
          </w:p>
        </w:tc>
        <w:tc>
          <w:tcPr>
            <w:tcW w:w="19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622,205</w:t>
            </w:r>
          </w:p>
        </w:tc>
      </w:tr>
      <w:tr>
        <w:trPr>
          <w:trHeight w:val="194"/>
        </w:trPr>
        <w:tc>
          <w:tcPr>
            <w:tcW w:w="232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3"/>
                <w:szCs w:val="13"/>
                <w:color w:val="auto"/>
              </w:rPr>
              <w:t>Jacky Wu</w:t>
            </w:r>
          </w:p>
        </w:tc>
        <w:tc>
          <w:tcPr>
            <w:tcW w:w="120" w:type="dxa"/>
            <w:vAlign w:val="bottom"/>
            <w:tcBorders>
              <w:bottom w:val="single" w:sz="8" w:color="001544"/>
            </w:tcBorders>
            <w:shd w:val="clear" w:color="auto" w:fill="DBDFEA"/>
          </w:tcPr>
          <w:p>
            <w:pPr>
              <w:spacing w:after="0"/>
              <w:rPr>
                <w:sz w:val="16"/>
                <w:szCs w:val="16"/>
                <w:color w:val="auto"/>
              </w:rPr>
            </w:pP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175,382</w:t>
            </w:r>
          </w:p>
        </w:tc>
        <w:tc>
          <w:tcPr>
            <w:tcW w:w="18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1,978,309</w:t>
            </w:r>
          </w:p>
        </w:tc>
        <w:tc>
          <w:tcPr>
            <w:tcW w:w="1800" w:type="dxa"/>
            <w:vAlign w:val="bottom"/>
            <w:tcBorders>
              <w:bottom w:val="single" w:sz="8" w:color="001544"/>
            </w:tcBorders>
            <w:shd w:val="clear" w:color="auto" w:fill="DBDFEA"/>
          </w:tcPr>
          <w:p>
            <w:pPr>
              <w:jc w:val="right"/>
              <w:ind w:right="33"/>
              <w:spacing w:after="0"/>
              <w:rPr>
                <w:sz w:val="20"/>
                <w:szCs w:val="20"/>
                <w:color w:val="auto"/>
              </w:rPr>
            </w:pPr>
            <w:r>
              <w:rPr>
                <w:rFonts w:ascii="Arial" w:cs="Arial" w:eastAsia="Arial" w:hAnsi="Arial"/>
                <w:sz w:val="13"/>
                <w:szCs w:val="13"/>
                <w:color w:val="auto"/>
              </w:rPr>
              <w:t>53,681</w:t>
            </w:r>
          </w:p>
        </w:tc>
        <w:tc>
          <w:tcPr>
            <w:tcW w:w="19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605,522</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(1)  Includes the following restricted shares of Class A common stock with respect to such NEO:</w:t>
      </w:r>
    </w:p>
    <w:p>
      <w:pPr>
        <w:spacing w:after="0" w:line="217"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2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Borders>
              <w:bottom w:val="single" w:sz="8" w:color="001544"/>
            </w:tcBorders>
          </w:tcPr>
          <w:p>
            <w:pPr>
              <w:spacing w:after="0"/>
              <w:rPr>
                <w:sz w:val="16"/>
                <w:szCs w:val="16"/>
                <w:color w:val="auto"/>
              </w:rPr>
            </w:pPr>
          </w:p>
        </w:tc>
        <w:tc>
          <w:tcPr>
            <w:tcW w:w="980" w:type="dxa"/>
            <w:vAlign w:val="bottom"/>
            <w:tcBorders>
              <w:bottom w:val="single" w:sz="8" w:color="001544"/>
            </w:tcBorders>
          </w:tcPr>
          <w:p>
            <w:pPr>
              <w:spacing w:after="0"/>
              <w:rPr>
                <w:sz w:val="16"/>
                <w:szCs w:val="16"/>
                <w:color w:val="auto"/>
              </w:rPr>
            </w:pPr>
          </w:p>
        </w:tc>
        <w:tc>
          <w:tcPr>
            <w:tcW w:w="1960" w:type="dxa"/>
            <w:vAlign w:val="bottom"/>
            <w:tcBorders>
              <w:bottom w:val="single" w:sz="8" w:color="001544"/>
            </w:tcBorders>
            <w:gridSpan w:val="2"/>
          </w:tcPr>
          <w:p>
            <w:pPr>
              <w:jc w:val="right"/>
              <w:ind w:right="305"/>
              <w:spacing w:after="0"/>
              <w:rPr>
                <w:sz w:val="20"/>
                <w:szCs w:val="20"/>
                <w:color w:val="auto"/>
              </w:rPr>
            </w:pPr>
            <w:r>
              <w:rPr>
                <w:rFonts w:ascii="Arial" w:cs="Arial" w:eastAsia="Arial" w:hAnsi="Arial"/>
                <w:sz w:val="15"/>
                <w:szCs w:val="15"/>
                <w:b w:val="1"/>
                <w:bCs w:val="1"/>
                <w:color w:val="001544"/>
              </w:rPr>
              <w:t>Vesting Date</w:t>
            </w:r>
          </w:p>
        </w:tc>
        <w:tc>
          <w:tcPr>
            <w:tcW w:w="920" w:type="dxa"/>
            <w:vAlign w:val="bottom"/>
            <w:tcBorders>
              <w:bottom w:val="single" w:sz="8" w:color="001544"/>
            </w:tcBorders>
          </w:tcPr>
          <w:p>
            <w:pPr>
              <w:spacing w:after="0"/>
              <w:rPr>
                <w:sz w:val="16"/>
                <w:szCs w:val="16"/>
                <w:color w:val="auto"/>
              </w:rPr>
            </w:pPr>
          </w:p>
        </w:tc>
        <w:tc>
          <w:tcPr>
            <w:tcW w:w="1080" w:type="dxa"/>
            <w:vAlign w:val="bottom"/>
            <w:tcBorders>
              <w:bottom w:val="single" w:sz="8" w:color="001544"/>
            </w:tcBorders>
          </w:tcPr>
          <w:p>
            <w:pPr>
              <w:spacing w:after="0"/>
              <w:rPr>
                <w:sz w:val="16"/>
                <w:szCs w:val="16"/>
                <w:color w:val="auto"/>
              </w:rPr>
            </w:pPr>
          </w:p>
        </w:tc>
        <w:tc>
          <w:tcPr>
            <w:tcW w:w="880" w:type="dxa"/>
            <w:vAlign w:val="bottom"/>
          </w:tcPr>
          <w:p>
            <w:pPr>
              <w:spacing w:after="0"/>
              <w:rPr>
                <w:sz w:val="16"/>
                <w:szCs w:val="16"/>
                <w:color w:val="auto"/>
              </w:rPr>
            </w:pPr>
          </w:p>
        </w:tc>
      </w:tr>
      <w:tr>
        <w:trPr>
          <w:trHeight w:val="156"/>
        </w:trPr>
        <w:tc>
          <w:tcPr>
            <w:tcW w:w="2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5"/>
                <w:szCs w:val="15"/>
                <w:b w:val="1"/>
                <w:bCs w:val="1"/>
                <w:color w:val="001544"/>
                <w:w w:val="98"/>
              </w:rPr>
              <w:t>March 15,</w:t>
            </w:r>
          </w:p>
        </w:tc>
        <w:tc>
          <w:tcPr>
            <w:tcW w:w="980" w:type="dxa"/>
            <w:vAlign w:val="bottom"/>
          </w:tcPr>
          <w:p>
            <w:pPr>
              <w:jc w:val="right"/>
              <w:spacing w:after="0" w:line="156" w:lineRule="exact"/>
              <w:rPr>
                <w:sz w:val="20"/>
                <w:szCs w:val="20"/>
                <w:color w:val="auto"/>
              </w:rPr>
            </w:pPr>
            <w:r>
              <w:rPr>
                <w:rFonts w:ascii="Arial" w:cs="Arial" w:eastAsia="Arial" w:hAnsi="Arial"/>
                <w:sz w:val="15"/>
                <w:szCs w:val="15"/>
                <w:b w:val="1"/>
                <w:bCs w:val="1"/>
                <w:color w:val="001544"/>
              </w:rPr>
              <w:t>January 8,</w:t>
            </w:r>
          </w:p>
        </w:tc>
        <w:tc>
          <w:tcPr>
            <w:tcW w:w="980" w:type="dxa"/>
            <w:vAlign w:val="bottom"/>
          </w:tcPr>
          <w:p>
            <w:pPr>
              <w:jc w:val="right"/>
              <w:ind w:right="25"/>
              <w:spacing w:after="0" w:line="156" w:lineRule="exact"/>
              <w:rPr>
                <w:sz w:val="20"/>
                <w:szCs w:val="20"/>
                <w:color w:val="auto"/>
              </w:rPr>
            </w:pPr>
            <w:r>
              <w:rPr>
                <w:rFonts w:ascii="Arial" w:cs="Arial" w:eastAsia="Arial" w:hAnsi="Arial"/>
                <w:sz w:val="15"/>
                <w:szCs w:val="15"/>
                <w:b w:val="1"/>
                <w:bCs w:val="1"/>
                <w:color w:val="001544"/>
              </w:rPr>
              <w:t>March 15,</w:t>
            </w:r>
          </w:p>
        </w:tc>
        <w:tc>
          <w:tcPr>
            <w:tcW w:w="980" w:type="dxa"/>
            <w:vAlign w:val="bottom"/>
          </w:tcPr>
          <w:p>
            <w:pPr>
              <w:jc w:val="right"/>
              <w:ind w:right="45"/>
              <w:spacing w:after="0" w:line="156" w:lineRule="exact"/>
              <w:rPr>
                <w:sz w:val="20"/>
                <w:szCs w:val="20"/>
                <w:color w:val="auto"/>
              </w:rPr>
            </w:pPr>
            <w:r>
              <w:rPr>
                <w:rFonts w:ascii="Arial" w:cs="Arial" w:eastAsia="Arial" w:hAnsi="Arial"/>
                <w:sz w:val="15"/>
                <w:szCs w:val="15"/>
                <w:b w:val="1"/>
                <w:bCs w:val="1"/>
                <w:color w:val="001544"/>
              </w:rPr>
              <w:t>January 8,</w:t>
            </w:r>
          </w:p>
        </w:tc>
        <w:tc>
          <w:tcPr>
            <w:tcW w:w="920" w:type="dxa"/>
            <w:vAlign w:val="bottom"/>
          </w:tcPr>
          <w:p>
            <w:pPr>
              <w:jc w:val="right"/>
              <w:ind w:right="45"/>
              <w:spacing w:after="0" w:line="156" w:lineRule="exact"/>
              <w:rPr>
                <w:sz w:val="20"/>
                <w:szCs w:val="20"/>
                <w:color w:val="auto"/>
              </w:rPr>
            </w:pPr>
            <w:r>
              <w:rPr>
                <w:rFonts w:ascii="Arial" w:cs="Arial" w:eastAsia="Arial" w:hAnsi="Arial"/>
                <w:sz w:val="15"/>
                <w:szCs w:val="15"/>
                <w:b w:val="1"/>
                <w:bCs w:val="1"/>
                <w:color w:val="001544"/>
              </w:rPr>
              <w:t>March 15,</w:t>
            </w:r>
          </w:p>
        </w:tc>
        <w:tc>
          <w:tcPr>
            <w:tcW w:w="1080" w:type="dxa"/>
            <w:vAlign w:val="bottom"/>
          </w:tcPr>
          <w:p>
            <w:pPr>
              <w:jc w:val="right"/>
              <w:ind w:right="145"/>
              <w:spacing w:after="0" w:line="156" w:lineRule="exact"/>
              <w:rPr>
                <w:sz w:val="20"/>
                <w:szCs w:val="20"/>
                <w:color w:val="auto"/>
              </w:rPr>
            </w:pPr>
            <w:r>
              <w:rPr>
                <w:rFonts w:ascii="Arial" w:cs="Arial" w:eastAsia="Arial" w:hAnsi="Arial"/>
                <w:sz w:val="15"/>
                <w:szCs w:val="15"/>
                <w:b w:val="1"/>
                <w:bCs w:val="1"/>
                <w:color w:val="001544"/>
              </w:rPr>
              <w:t>January 8,</w:t>
            </w:r>
          </w:p>
        </w:tc>
        <w:tc>
          <w:tcPr>
            <w:tcW w:w="880" w:type="dxa"/>
            <w:vAlign w:val="bottom"/>
          </w:tcPr>
          <w:p>
            <w:pPr>
              <w:spacing w:after="0"/>
              <w:rPr>
                <w:sz w:val="13"/>
                <w:szCs w:val="13"/>
                <w:color w:val="auto"/>
              </w:rPr>
            </w:pPr>
          </w:p>
        </w:tc>
      </w:tr>
      <w:tr>
        <w:trPr>
          <w:trHeight w:val="206"/>
        </w:trPr>
        <w:tc>
          <w:tcPr>
            <w:tcW w:w="2140" w:type="dxa"/>
            <w:vAlign w:val="bottom"/>
          </w:tcPr>
          <w:p>
            <w:pPr>
              <w:ind w:left="80"/>
              <w:spacing w:after="0"/>
              <w:rPr>
                <w:sz w:val="20"/>
                <w:szCs w:val="20"/>
                <w:color w:val="auto"/>
              </w:rPr>
            </w:pPr>
            <w:r>
              <w:rPr>
                <w:rFonts w:ascii="Arial" w:cs="Arial" w:eastAsia="Arial" w:hAnsi="Arial"/>
                <w:sz w:val="15"/>
                <w:szCs w:val="15"/>
                <w:b w:val="1"/>
                <w:bCs w:val="1"/>
                <w:color w:val="001544"/>
              </w:rPr>
              <w:t>Name</w:t>
            </w:r>
          </w:p>
        </w:tc>
        <w:tc>
          <w:tcPr>
            <w:tcW w:w="940" w:type="dxa"/>
            <w:vAlign w:val="bottom"/>
            <w:gridSpan w:val="2"/>
          </w:tcPr>
          <w:p>
            <w:pPr>
              <w:jc w:val="right"/>
              <w:ind w:right="125"/>
              <w:spacing w:after="0"/>
              <w:rPr>
                <w:sz w:val="20"/>
                <w:szCs w:val="20"/>
                <w:color w:val="auto"/>
              </w:rPr>
            </w:pPr>
            <w:r>
              <w:rPr>
                <w:rFonts w:ascii="Arial" w:cs="Arial" w:eastAsia="Arial" w:hAnsi="Arial"/>
                <w:sz w:val="15"/>
                <w:szCs w:val="15"/>
                <w:b w:val="1"/>
                <w:bCs w:val="1"/>
                <w:color w:val="001544"/>
              </w:rPr>
              <w:t>2027</w:t>
            </w:r>
          </w:p>
        </w:tc>
        <w:tc>
          <w:tcPr>
            <w:tcW w:w="980" w:type="dxa"/>
            <w:vAlign w:val="bottom"/>
          </w:tcPr>
          <w:p>
            <w:pPr>
              <w:jc w:val="right"/>
              <w:ind w:right="165"/>
              <w:spacing w:after="0"/>
              <w:rPr>
                <w:sz w:val="20"/>
                <w:szCs w:val="20"/>
                <w:color w:val="auto"/>
              </w:rPr>
            </w:pPr>
            <w:r>
              <w:rPr>
                <w:rFonts w:ascii="Arial" w:cs="Arial" w:eastAsia="Arial" w:hAnsi="Arial"/>
                <w:sz w:val="15"/>
                <w:szCs w:val="15"/>
                <w:b w:val="1"/>
                <w:bCs w:val="1"/>
                <w:color w:val="001544"/>
              </w:rPr>
              <w:t>2027</w:t>
            </w:r>
          </w:p>
        </w:tc>
        <w:tc>
          <w:tcPr>
            <w:tcW w:w="980" w:type="dxa"/>
            <w:vAlign w:val="bottom"/>
          </w:tcPr>
          <w:p>
            <w:pPr>
              <w:jc w:val="right"/>
              <w:ind w:right="205"/>
              <w:spacing w:after="0"/>
              <w:rPr>
                <w:sz w:val="20"/>
                <w:szCs w:val="20"/>
                <w:color w:val="auto"/>
              </w:rPr>
            </w:pPr>
            <w:r>
              <w:rPr>
                <w:rFonts w:ascii="Arial" w:cs="Arial" w:eastAsia="Arial" w:hAnsi="Arial"/>
                <w:sz w:val="15"/>
                <w:szCs w:val="15"/>
                <w:b w:val="1"/>
                <w:bCs w:val="1"/>
                <w:color w:val="001544"/>
              </w:rPr>
              <w:t>2026</w:t>
            </w:r>
          </w:p>
        </w:tc>
        <w:tc>
          <w:tcPr>
            <w:tcW w:w="980" w:type="dxa"/>
            <w:vAlign w:val="bottom"/>
          </w:tcPr>
          <w:p>
            <w:pPr>
              <w:jc w:val="right"/>
              <w:ind w:right="245"/>
              <w:spacing w:after="0"/>
              <w:rPr>
                <w:sz w:val="20"/>
                <w:szCs w:val="20"/>
                <w:color w:val="auto"/>
              </w:rPr>
            </w:pPr>
            <w:r>
              <w:rPr>
                <w:rFonts w:ascii="Arial" w:cs="Arial" w:eastAsia="Arial" w:hAnsi="Arial"/>
                <w:sz w:val="15"/>
                <w:szCs w:val="15"/>
                <w:b w:val="1"/>
                <w:bCs w:val="1"/>
                <w:color w:val="001544"/>
              </w:rPr>
              <w:t>2026</w:t>
            </w:r>
          </w:p>
        </w:tc>
        <w:tc>
          <w:tcPr>
            <w:tcW w:w="920" w:type="dxa"/>
            <w:vAlign w:val="bottom"/>
          </w:tcPr>
          <w:p>
            <w:pPr>
              <w:jc w:val="right"/>
              <w:ind w:right="225"/>
              <w:spacing w:after="0"/>
              <w:rPr>
                <w:sz w:val="20"/>
                <w:szCs w:val="20"/>
                <w:color w:val="auto"/>
              </w:rPr>
            </w:pPr>
            <w:r>
              <w:rPr>
                <w:rFonts w:ascii="Arial" w:cs="Arial" w:eastAsia="Arial" w:hAnsi="Arial"/>
                <w:sz w:val="15"/>
                <w:szCs w:val="15"/>
                <w:b w:val="1"/>
                <w:bCs w:val="1"/>
                <w:color w:val="001544"/>
              </w:rPr>
              <w:t>2025</w:t>
            </w:r>
          </w:p>
        </w:tc>
        <w:tc>
          <w:tcPr>
            <w:tcW w:w="1080" w:type="dxa"/>
            <w:vAlign w:val="bottom"/>
          </w:tcPr>
          <w:p>
            <w:pPr>
              <w:jc w:val="right"/>
              <w:ind w:right="345"/>
              <w:spacing w:after="0"/>
              <w:rPr>
                <w:sz w:val="20"/>
                <w:szCs w:val="20"/>
                <w:color w:val="auto"/>
              </w:rPr>
            </w:pPr>
            <w:r>
              <w:rPr>
                <w:rFonts w:ascii="Arial" w:cs="Arial" w:eastAsia="Arial" w:hAnsi="Arial"/>
                <w:sz w:val="15"/>
                <w:szCs w:val="15"/>
                <w:b w:val="1"/>
                <w:bCs w:val="1"/>
                <w:color w:val="001544"/>
              </w:rPr>
              <w:t>2025</w:t>
            </w:r>
          </w:p>
        </w:tc>
        <w:tc>
          <w:tcPr>
            <w:tcW w:w="880" w:type="dxa"/>
            <w:vAlign w:val="bottom"/>
          </w:tcPr>
          <w:p>
            <w:pPr>
              <w:jc w:val="right"/>
              <w:ind w:right="125"/>
              <w:spacing w:after="0"/>
              <w:rPr>
                <w:sz w:val="20"/>
                <w:szCs w:val="20"/>
                <w:color w:val="auto"/>
              </w:rPr>
            </w:pPr>
            <w:r>
              <w:rPr>
                <w:rFonts w:ascii="Arial" w:cs="Arial" w:eastAsia="Arial" w:hAnsi="Arial"/>
                <w:sz w:val="15"/>
                <w:szCs w:val="15"/>
                <w:b w:val="1"/>
                <w:bCs w:val="1"/>
                <w:color w:val="001544"/>
              </w:rPr>
              <w:t>Total</w:t>
            </w:r>
          </w:p>
        </w:tc>
      </w:tr>
      <w:tr>
        <w:trPr>
          <w:trHeight w:val="32"/>
        </w:trPr>
        <w:tc>
          <w:tcPr>
            <w:tcW w:w="2140" w:type="dxa"/>
            <w:vAlign w:val="bottom"/>
            <w:tcBorders>
              <w:bottom w:val="single" w:sz="8" w:color="001544"/>
            </w:tcBorders>
          </w:tcPr>
          <w:p>
            <w:pPr>
              <w:spacing w:after="0"/>
              <w:rPr>
                <w:sz w:val="2"/>
                <w:szCs w:val="2"/>
                <w:color w:val="auto"/>
              </w:rPr>
            </w:pPr>
          </w:p>
        </w:tc>
        <w:tc>
          <w:tcPr>
            <w:tcW w:w="220" w:type="dxa"/>
            <w:vAlign w:val="bottom"/>
            <w:tcBorders>
              <w:bottom w:val="single" w:sz="8" w:color="001544"/>
            </w:tcBorders>
          </w:tcPr>
          <w:p>
            <w:pPr>
              <w:spacing w:after="0"/>
              <w:rPr>
                <w:sz w:val="2"/>
                <w:szCs w:val="2"/>
                <w:color w:val="auto"/>
              </w:rPr>
            </w:pPr>
          </w:p>
        </w:tc>
        <w:tc>
          <w:tcPr>
            <w:tcW w:w="720" w:type="dxa"/>
            <w:vAlign w:val="bottom"/>
            <w:tcBorders>
              <w:bottom w:val="single" w:sz="8" w:color="001544"/>
            </w:tcBorders>
          </w:tcPr>
          <w:p>
            <w:pPr>
              <w:spacing w:after="0"/>
              <w:rPr>
                <w:sz w:val="2"/>
                <w:szCs w:val="2"/>
                <w:color w:val="auto"/>
              </w:rPr>
            </w:pPr>
          </w:p>
        </w:tc>
        <w:tc>
          <w:tcPr>
            <w:tcW w:w="980" w:type="dxa"/>
            <w:vAlign w:val="bottom"/>
            <w:tcBorders>
              <w:bottom w:val="single" w:sz="8" w:color="001544"/>
            </w:tcBorders>
          </w:tcPr>
          <w:p>
            <w:pPr>
              <w:spacing w:after="0"/>
              <w:rPr>
                <w:sz w:val="2"/>
                <w:szCs w:val="2"/>
                <w:color w:val="auto"/>
              </w:rPr>
            </w:pPr>
          </w:p>
        </w:tc>
        <w:tc>
          <w:tcPr>
            <w:tcW w:w="980" w:type="dxa"/>
            <w:vAlign w:val="bottom"/>
            <w:tcBorders>
              <w:bottom w:val="single" w:sz="8" w:color="001544"/>
            </w:tcBorders>
          </w:tcPr>
          <w:p>
            <w:pPr>
              <w:spacing w:after="0"/>
              <w:rPr>
                <w:sz w:val="2"/>
                <w:szCs w:val="2"/>
                <w:color w:val="auto"/>
              </w:rPr>
            </w:pPr>
          </w:p>
        </w:tc>
        <w:tc>
          <w:tcPr>
            <w:tcW w:w="980" w:type="dxa"/>
            <w:vAlign w:val="bottom"/>
            <w:tcBorders>
              <w:bottom w:val="single" w:sz="8" w:color="001544"/>
            </w:tcBorders>
          </w:tcPr>
          <w:p>
            <w:pPr>
              <w:spacing w:after="0"/>
              <w:rPr>
                <w:sz w:val="2"/>
                <w:szCs w:val="2"/>
                <w:color w:val="auto"/>
              </w:rPr>
            </w:pPr>
          </w:p>
        </w:tc>
        <w:tc>
          <w:tcPr>
            <w:tcW w:w="920" w:type="dxa"/>
            <w:vAlign w:val="bottom"/>
            <w:tcBorders>
              <w:bottom w:val="single" w:sz="8" w:color="001544"/>
            </w:tcBorders>
          </w:tcPr>
          <w:p>
            <w:pPr>
              <w:spacing w:after="0"/>
              <w:rPr>
                <w:sz w:val="2"/>
                <w:szCs w:val="2"/>
                <w:color w:val="auto"/>
              </w:rPr>
            </w:pPr>
          </w:p>
        </w:tc>
        <w:tc>
          <w:tcPr>
            <w:tcW w:w="1080" w:type="dxa"/>
            <w:vAlign w:val="bottom"/>
            <w:tcBorders>
              <w:bottom w:val="single" w:sz="8" w:color="001544"/>
            </w:tcBorders>
          </w:tcPr>
          <w:p>
            <w:pPr>
              <w:spacing w:after="0"/>
              <w:rPr>
                <w:sz w:val="2"/>
                <w:szCs w:val="2"/>
                <w:color w:val="auto"/>
              </w:rPr>
            </w:pPr>
          </w:p>
        </w:tc>
        <w:tc>
          <w:tcPr>
            <w:tcW w:w="880" w:type="dxa"/>
            <w:vAlign w:val="bottom"/>
            <w:tcBorders>
              <w:bottom w:val="single" w:sz="8" w:color="001544"/>
            </w:tcBorders>
          </w:tcPr>
          <w:p>
            <w:pPr>
              <w:spacing w:after="0"/>
              <w:rPr>
                <w:sz w:val="2"/>
                <w:szCs w:val="2"/>
                <w:color w:val="auto"/>
              </w:rPr>
            </w:pPr>
          </w:p>
        </w:tc>
      </w:tr>
      <w:tr>
        <w:trPr>
          <w:trHeight w:val="211"/>
        </w:trPr>
        <w:tc>
          <w:tcPr>
            <w:tcW w:w="21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Marc C. Ganzi</w:t>
            </w:r>
          </w:p>
        </w:tc>
        <w:tc>
          <w:tcPr>
            <w:tcW w:w="94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5"/>
                <w:szCs w:val="15"/>
                <w:color w:val="auto"/>
              </w:rPr>
              <w:t>27,118</w:t>
            </w:r>
          </w:p>
        </w:tc>
        <w:tc>
          <w:tcPr>
            <w:tcW w:w="9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61,698</w:t>
            </w:r>
          </w:p>
        </w:tc>
        <w:tc>
          <w:tcPr>
            <w:tcW w:w="98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103,458</w:t>
            </w:r>
          </w:p>
        </w:tc>
        <w:tc>
          <w:tcPr>
            <w:tcW w:w="1080" w:type="dxa"/>
            <w:vAlign w:val="bottom"/>
            <w:tcBorders>
              <w:bottom w:val="single" w:sz="8" w:color="001544"/>
            </w:tcBorders>
            <w:shd w:val="clear" w:color="auto" w:fill="DBDFEA"/>
          </w:tcPr>
          <w:p>
            <w:pPr>
              <w:jc w:val="right"/>
              <w:ind w:right="165"/>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192,274</w:t>
            </w:r>
          </w:p>
        </w:tc>
      </w:tr>
      <w:tr>
        <w:trPr>
          <w:trHeight w:val="219"/>
        </w:trPr>
        <w:tc>
          <w:tcPr>
            <w:tcW w:w="21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Benjamin J. Jenkins</w:t>
            </w:r>
          </w:p>
        </w:tc>
        <w:tc>
          <w:tcPr>
            <w:tcW w:w="220" w:type="dxa"/>
            <w:vAlign w:val="bottom"/>
            <w:tcBorders>
              <w:bottom w:val="single" w:sz="8" w:color="001544"/>
            </w:tcBorders>
            <w:shd w:val="clear" w:color="auto" w:fill="DBDFEA"/>
          </w:tcPr>
          <w:p>
            <w:pPr>
              <w:spacing w:after="0"/>
              <w:rPr>
                <w:sz w:val="19"/>
                <w:szCs w:val="19"/>
                <w:color w:val="auto"/>
              </w:rPr>
            </w:pPr>
          </w:p>
        </w:tc>
        <w:tc>
          <w:tcPr>
            <w:tcW w:w="7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14,968</w:t>
            </w:r>
          </w:p>
        </w:tc>
        <w:tc>
          <w:tcPr>
            <w:tcW w:w="9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36,702</w:t>
            </w:r>
          </w:p>
        </w:tc>
        <w:tc>
          <w:tcPr>
            <w:tcW w:w="98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41,874</w:t>
            </w:r>
          </w:p>
        </w:tc>
        <w:tc>
          <w:tcPr>
            <w:tcW w:w="1080" w:type="dxa"/>
            <w:vAlign w:val="bottom"/>
            <w:tcBorders>
              <w:bottom w:val="single" w:sz="8" w:color="001544"/>
            </w:tcBorders>
            <w:shd w:val="clear" w:color="auto" w:fill="DBDFEA"/>
          </w:tcPr>
          <w:p>
            <w:pPr>
              <w:jc w:val="right"/>
              <w:ind w:right="165"/>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93,544</w:t>
            </w:r>
          </w:p>
        </w:tc>
      </w:tr>
      <w:tr>
        <w:trPr>
          <w:trHeight w:val="219"/>
        </w:trPr>
        <w:tc>
          <w:tcPr>
            <w:tcW w:w="21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Thomas Mayrhofer</w:t>
            </w:r>
          </w:p>
        </w:tc>
        <w:tc>
          <w:tcPr>
            <w:tcW w:w="220" w:type="dxa"/>
            <w:vAlign w:val="bottom"/>
            <w:tcBorders>
              <w:bottom w:val="single" w:sz="8" w:color="001544"/>
            </w:tcBorders>
            <w:shd w:val="clear" w:color="auto" w:fill="DBDFEA"/>
          </w:tcPr>
          <w:p>
            <w:pPr>
              <w:spacing w:after="0"/>
              <w:rPr>
                <w:sz w:val="19"/>
                <w:szCs w:val="19"/>
                <w:color w:val="auto"/>
              </w:rPr>
            </w:pPr>
          </w:p>
        </w:tc>
        <w:tc>
          <w:tcPr>
            <w:tcW w:w="7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31,693</w:t>
            </w:r>
          </w:p>
        </w:tc>
        <w:tc>
          <w:tcPr>
            <w:tcW w:w="98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31,693</w:t>
            </w:r>
          </w:p>
        </w:tc>
        <w:tc>
          <w:tcPr>
            <w:tcW w:w="92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1544"/>
            </w:tcBorders>
            <w:shd w:val="clear" w:color="auto" w:fill="DBDFEA"/>
          </w:tcPr>
          <w:p>
            <w:pPr>
              <w:jc w:val="right"/>
              <w:ind w:right="165"/>
              <w:spacing w:after="0"/>
              <w:rPr>
                <w:sz w:val="20"/>
                <w:szCs w:val="20"/>
                <w:color w:val="auto"/>
              </w:rPr>
            </w:pPr>
            <w:r>
              <w:rPr>
                <w:rFonts w:ascii="Arial" w:cs="Arial" w:eastAsia="Arial" w:hAnsi="Arial"/>
                <w:sz w:val="15"/>
                <w:szCs w:val="15"/>
                <w:color w:val="auto"/>
              </w:rPr>
              <w:t>31,693</w:t>
            </w:r>
          </w:p>
        </w:tc>
        <w:tc>
          <w:tcPr>
            <w:tcW w:w="8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95,079</w:t>
            </w:r>
          </w:p>
        </w:tc>
      </w:tr>
      <w:tr>
        <w:trPr>
          <w:trHeight w:val="219"/>
        </w:trPr>
        <w:tc>
          <w:tcPr>
            <w:tcW w:w="21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Geoffrey Goldschein</w:t>
            </w:r>
          </w:p>
        </w:tc>
        <w:tc>
          <w:tcPr>
            <w:tcW w:w="220" w:type="dxa"/>
            <w:vAlign w:val="bottom"/>
            <w:tcBorders>
              <w:bottom w:val="single" w:sz="8" w:color="001544"/>
            </w:tcBorders>
            <w:shd w:val="clear" w:color="auto" w:fill="DBDFEA"/>
          </w:tcPr>
          <w:p>
            <w:pPr>
              <w:spacing w:after="0"/>
              <w:rPr>
                <w:sz w:val="19"/>
                <w:szCs w:val="19"/>
                <w:color w:val="auto"/>
              </w:rPr>
            </w:pPr>
          </w:p>
        </w:tc>
        <w:tc>
          <w:tcPr>
            <w:tcW w:w="7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9,231</w:t>
            </w:r>
          </w:p>
        </w:tc>
        <w:tc>
          <w:tcPr>
            <w:tcW w:w="9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24,706</w:t>
            </w:r>
          </w:p>
        </w:tc>
        <w:tc>
          <w:tcPr>
            <w:tcW w:w="98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26,742</w:t>
            </w:r>
          </w:p>
        </w:tc>
        <w:tc>
          <w:tcPr>
            <w:tcW w:w="1080" w:type="dxa"/>
            <w:vAlign w:val="bottom"/>
            <w:tcBorders>
              <w:bottom w:val="single" w:sz="8" w:color="001544"/>
            </w:tcBorders>
            <w:shd w:val="clear" w:color="auto" w:fill="DBDFEA"/>
          </w:tcPr>
          <w:p>
            <w:pPr>
              <w:jc w:val="right"/>
              <w:ind w:right="165"/>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60,679</w:t>
            </w:r>
          </w:p>
        </w:tc>
      </w:tr>
      <w:tr>
        <w:trPr>
          <w:trHeight w:val="219"/>
        </w:trPr>
        <w:tc>
          <w:tcPr>
            <w:tcW w:w="21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Liam Stewart</w:t>
            </w:r>
          </w:p>
        </w:tc>
        <w:tc>
          <w:tcPr>
            <w:tcW w:w="220" w:type="dxa"/>
            <w:vAlign w:val="bottom"/>
            <w:tcBorders>
              <w:bottom w:val="single" w:sz="8" w:color="001544"/>
            </w:tcBorders>
            <w:shd w:val="clear" w:color="auto" w:fill="DBDFEA"/>
          </w:tcPr>
          <w:p>
            <w:pPr>
              <w:spacing w:after="0"/>
              <w:rPr>
                <w:sz w:val="19"/>
                <w:szCs w:val="19"/>
                <w:color w:val="auto"/>
              </w:rPr>
            </w:pPr>
          </w:p>
        </w:tc>
        <w:tc>
          <w:tcPr>
            <w:tcW w:w="7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15,040</w:t>
            </w:r>
          </w:p>
        </w:tc>
        <w:tc>
          <w:tcPr>
            <w:tcW w:w="9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36,774</w:t>
            </w:r>
          </w:p>
        </w:tc>
        <w:tc>
          <w:tcPr>
            <w:tcW w:w="98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50,566</w:t>
            </w:r>
          </w:p>
        </w:tc>
        <w:tc>
          <w:tcPr>
            <w:tcW w:w="1080" w:type="dxa"/>
            <w:vAlign w:val="bottom"/>
            <w:tcBorders>
              <w:bottom w:val="single" w:sz="8" w:color="001544"/>
            </w:tcBorders>
            <w:shd w:val="clear" w:color="auto" w:fill="DBDFEA"/>
          </w:tcPr>
          <w:p>
            <w:pPr>
              <w:jc w:val="right"/>
              <w:ind w:right="165"/>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102,380</w:t>
            </w:r>
          </w:p>
        </w:tc>
      </w:tr>
      <w:tr>
        <w:trPr>
          <w:trHeight w:val="219"/>
        </w:trPr>
        <w:tc>
          <w:tcPr>
            <w:tcW w:w="21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Jacky Wu</w:t>
            </w:r>
          </w:p>
        </w:tc>
        <w:tc>
          <w:tcPr>
            <w:tcW w:w="220" w:type="dxa"/>
            <w:vAlign w:val="bottom"/>
            <w:tcBorders>
              <w:bottom w:val="single" w:sz="8" w:color="001544"/>
            </w:tcBorders>
            <w:shd w:val="clear" w:color="auto" w:fill="DBDFEA"/>
          </w:tcPr>
          <w:p>
            <w:pPr>
              <w:spacing w:after="0"/>
              <w:rPr>
                <w:sz w:val="19"/>
                <w:szCs w:val="19"/>
                <w:color w:val="auto"/>
              </w:rPr>
            </w:pPr>
          </w:p>
        </w:tc>
        <w:tc>
          <w:tcPr>
            <w:tcW w:w="7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37,477</w:t>
            </w:r>
          </w:p>
        </w:tc>
        <w:tc>
          <w:tcPr>
            <w:tcW w:w="9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64,643</w:t>
            </w:r>
          </w:p>
        </w:tc>
        <w:tc>
          <w:tcPr>
            <w:tcW w:w="98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73,262</w:t>
            </w:r>
          </w:p>
        </w:tc>
        <w:tc>
          <w:tcPr>
            <w:tcW w:w="1080" w:type="dxa"/>
            <w:vAlign w:val="bottom"/>
            <w:tcBorders>
              <w:bottom w:val="single" w:sz="8" w:color="001544"/>
            </w:tcBorders>
            <w:shd w:val="clear" w:color="auto" w:fill="DBDFEA"/>
          </w:tcPr>
          <w:p>
            <w:pPr>
              <w:jc w:val="right"/>
              <w:ind w:right="165"/>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175,382</w:t>
            </w:r>
          </w:p>
        </w:tc>
      </w:tr>
    </w:tbl>
    <w:p>
      <w:pPr>
        <w:spacing w:after="0" w:line="63" w:lineRule="exact"/>
        <w:rPr>
          <w:sz w:val="20"/>
          <w:szCs w:val="20"/>
          <w:color w:val="auto"/>
        </w:rPr>
      </w:pPr>
    </w:p>
    <w:p>
      <w:pPr>
        <w:ind w:left="300" w:right="100" w:hanging="293"/>
        <w:spacing w:after="0" w:line="280" w:lineRule="auto"/>
        <w:tabs>
          <w:tab w:leader="none" w:pos="30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value of the awards reflected in the table is based on a price per share or unit of $11.28, which was the closing price of our common stock as of December 31, 2024.</w:t>
      </w:r>
    </w:p>
    <w:p>
      <w:pPr>
        <w:spacing w:after="0" w:line="12" w:lineRule="exact"/>
        <w:rPr>
          <w:rFonts w:ascii="Arial" w:cs="Arial" w:eastAsia="Arial" w:hAnsi="Arial"/>
          <w:sz w:val="15"/>
          <w:szCs w:val="15"/>
          <w:color w:val="auto"/>
        </w:rPr>
      </w:pPr>
    </w:p>
    <w:p>
      <w:pPr>
        <w:ind w:left="300" w:right="200" w:hanging="293"/>
        <w:spacing w:after="0" w:line="262" w:lineRule="auto"/>
        <w:tabs>
          <w:tab w:leader="none" w:pos="30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Except as described in the Footnotes to the following table, includes the following restricted stock units (representing a target amount) that are subject to vesting based on the achievement of performance goals over a three-year period and generally subject to continued employment through such date, with respect to such NEO. See “Compensation Discussion and</w:t>
      </w:r>
    </w:p>
    <w:p>
      <w:pPr>
        <w:spacing w:after="0" w:line="360"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Analysis—Elements of Compensation—Long-Term Incentive Equity Awards” for a description of the performance-based awards.</w:t>
      </w:r>
    </w:p>
    <w:p>
      <w:pPr>
        <w:spacing w:after="0" w:line="217"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tcBorders>
              <w:bottom w:val="single" w:sz="8" w:color="001544"/>
            </w:tcBorders>
            <w:gridSpan w:val="2"/>
          </w:tcPr>
          <w:p>
            <w:pPr>
              <w:jc w:val="right"/>
              <w:spacing w:after="0"/>
              <w:rPr>
                <w:sz w:val="20"/>
                <w:szCs w:val="20"/>
                <w:color w:val="auto"/>
              </w:rPr>
            </w:pPr>
            <w:r>
              <w:rPr>
                <w:rFonts w:ascii="Arial" w:cs="Arial" w:eastAsia="Arial" w:hAnsi="Arial"/>
                <w:sz w:val="15"/>
                <w:szCs w:val="15"/>
                <w:b w:val="1"/>
                <w:bCs w:val="1"/>
                <w:color w:val="001544"/>
              </w:rPr>
              <w:t>Performance End Date</w:t>
            </w:r>
          </w:p>
        </w:tc>
        <w:tc>
          <w:tcPr>
            <w:tcW w:w="800" w:type="dxa"/>
            <w:vAlign w:val="bottom"/>
            <w:tcBorders>
              <w:bottom w:val="single" w:sz="8" w:color="001544"/>
            </w:tcBorders>
          </w:tcPr>
          <w:p>
            <w:pPr>
              <w:spacing w:after="0"/>
              <w:rPr>
                <w:sz w:val="16"/>
                <w:szCs w:val="16"/>
                <w:color w:val="auto"/>
              </w:rPr>
            </w:pPr>
          </w:p>
        </w:tc>
        <w:tc>
          <w:tcPr>
            <w:tcW w:w="1080" w:type="dxa"/>
            <w:vAlign w:val="bottom"/>
          </w:tcPr>
          <w:p>
            <w:pPr>
              <w:spacing w:after="0"/>
              <w:rPr>
                <w:sz w:val="16"/>
                <w:szCs w:val="16"/>
                <w:color w:val="auto"/>
              </w:rPr>
            </w:pPr>
          </w:p>
        </w:tc>
      </w:tr>
      <w:tr>
        <w:trPr>
          <w:trHeight w:val="156"/>
        </w:trPr>
        <w:tc>
          <w:tcPr>
            <w:tcW w:w="4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Arial" w:cs="Arial" w:eastAsia="Arial" w:hAnsi="Arial"/>
                <w:sz w:val="15"/>
                <w:szCs w:val="15"/>
                <w:b w:val="1"/>
                <w:bCs w:val="1"/>
                <w:color w:val="001544"/>
              </w:rPr>
              <w:t>December 31,</w:t>
            </w:r>
          </w:p>
        </w:tc>
        <w:tc>
          <w:tcPr>
            <w:tcW w:w="1380" w:type="dxa"/>
            <w:vAlign w:val="bottom"/>
          </w:tcPr>
          <w:p>
            <w:pPr>
              <w:jc w:val="right"/>
              <w:ind w:right="325"/>
              <w:spacing w:after="0" w:line="156" w:lineRule="exact"/>
              <w:rPr>
                <w:sz w:val="20"/>
                <w:szCs w:val="20"/>
                <w:color w:val="auto"/>
              </w:rPr>
            </w:pPr>
            <w:r>
              <w:rPr>
                <w:rFonts w:ascii="Arial" w:cs="Arial" w:eastAsia="Arial" w:hAnsi="Arial"/>
                <w:sz w:val="15"/>
                <w:szCs w:val="15"/>
                <w:b w:val="1"/>
                <w:bCs w:val="1"/>
                <w:color w:val="001544"/>
              </w:rPr>
              <w:t>March 14,</w:t>
            </w:r>
          </w:p>
        </w:tc>
        <w:tc>
          <w:tcPr>
            <w:tcW w:w="800" w:type="dxa"/>
            <w:vAlign w:val="bottom"/>
          </w:tcPr>
          <w:p>
            <w:pPr>
              <w:jc w:val="right"/>
              <w:ind w:right="45"/>
              <w:spacing w:after="0" w:line="156" w:lineRule="exact"/>
              <w:rPr>
                <w:sz w:val="20"/>
                <w:szCs w:val="20"/>
                <w:color w:val="auto"/>
              </w:rPr>
            </w:pPr>
            <w:r>
              <w:rPr>
                <w:rFonts w:ascii="Arial" w:cs="Arial" w:eastAsia="Arial" w:hAnsi="Arial"/>
                <w:sz w:val="15"/>
                <w:szCs w:val="15"/>
                <w:b w:val="1"/>
                <w:bCs w:val="1"/>
                <w:color w:val="001544"/>
                <w:w w:val="95"/>
              </w:rPr>
              <w:t>March 14,</w:t>
            </w:r>
          </w:p>
        </w:tc>
        <w:tc>
          <w:tcPr>
            <w:tcW w:w="1080" w:type="dxa"/>
            <w:vAlign w:val="bottom"/>
          </w:tcPr>
          <w:p>
            <w:pPr>
              <w:spacing w:after="0"/>
              <w:rPr>
                <w:sz w:val="13"/>
                <w:szCs w:val="13"/>
                <w:color w:val="auto"/>
              </w:rPr>
            </w:pPr>
          </w:p>
        </w:tc>
      </w:tr>
      <w:tr>
        <w:trPr>
          <w:trHeight w:val="206"/>
        </w:trPr>
        <w:tc>
          <w:tcPr>
            <w:tcW w:w="4380" w:type="dxa"/>
            <w:vAlign w:val="bottom"/>
          </w:tcPr>
          <w:p>
            <w:pPr>
              <w:ind w:left="80"/>
              <w:spacing w:after="0"/>
              <w:rPr>
                <w:sz w:val="20"/>
                <w:szCs w:val="20"/>
                <w:color w:val="auto"/>
              </w:rPr>
            </w:pPr>
            <w:r>
              <w:rPr>
                <w:rFonts w:ascii="Arial" w:cs="Arial" w:eastAsia="Arial" w:hAnsi="Arial"/>
                <w:sz w:val="15"/>
                <w:szCs w:val="15"/>
                <w:b w:val="1"/>
                <w:bCs w:val="1"/>
                <w:color w:val="001544"/>
              </w:rPr>
              <w:t>Name</w:t>
            </w:r>
          </w:p>
        </w:tc>
        <w:tc>
          <w:tcPr>
            <w:tcW w:w="1260" w:type="dxa"/>
            <w:vAlign w:val="bottom"/>
            <w:gridSpan w:val="2"/>
          </w:tcPr>
          <w:p>
            <w:pPr>
              <w:jc w:val="right"/>
              <w:ind w:right="285"/>
              <w:spacing w:after="0"/>
              <w:rPr>
                <w:sz w:val="20"/>
                <w:szCs w:val="20"/>
                <w:color w:val="auto"/>
              </w:rPr>
            </w:pPr>
            <w:r>
              <w:rPr>
                <w:rFonts w:ascii="Arial" w:cs="Arial" w:eastAsia="Arial" w:hAnsi="Arial"/>
                <w:sz w:val="15"/>
                <w:szCs w:val="15"/>
                <w:b w:val="1"/>
                <w:bCs w:val="1"/>
                <w:color w:val="001544"/>
              </w:rPr>
              <w:t>2026</w:t>
            </w:r>
          </w:p>
        </w:tc>
        <w:tc>
          <w:tcPr>
            <w:tcW w:w="1380" w:type="dxa"/>
            <w:vAlign w:val="bottom"/>
          </w:tcPr>
          <w:p>
            <w:pPr>
              <w:jc w:val="right"/>
              <w:ind w:right="505"/>
              <w:spacing w:after="0"/>
              <w:rPr>
                <w:sz w:val="20"/>
                <w:szCs w:val="20"/>
                <w:color w:val="auto"/>
              </w:rPr>
            </w:pPr>
            <w:r>
              <w:rPr>
                <w:rFonts w:ascii="Arial" w:cs="Arial" w:eastAsia="Arial" w:hAnsi="Arial"/>
                <w:sz w:val="15"/>
                <w:szCs w:val="15"/>
                <w:b w:val="1"/>
                <w:bCs w:val="1"/>
                <w:color w:val="001544"/>
              </w:rPr>
              <w:t>2026</w:t>
            </w:r>
          </w:p>
        </w:tc>
        <w:tc>
          <w:tcPr>
            <w:tcW w:w="800" w:type="dxa"/>
            <w:vAlign w:val="bottom"/>
          </w:tcPr>
          <w:p>
            <w:pPr>
              <w:jc w:val="right"/>
              <w:ind w:right="225"/>
              <w:spacing w:after="0"/>
              <w:rPr>
                <w:sz w:val="20"/>
                <w:szCs w:val="20"/>
                <w:color w:val="auto"/>
              </w:rPr>
            </w:pPr>
            <w:r>
              <w:rPr>
                <w:rFonts w:ascii="Arial" w:cs="Arial" w:eastAsia="Arial" w:hAnsi="Arial"/>
                <w:sz w:val="15"/>
                <w:szCs w:val="15"/>
                <w:b w:val="1"/>
                <w:bCs w:val="1"/>
                <w:color w:val="001544"/>
              </w:rPr>
              <w:t>2025</w:t>
            </w:r>
          </w:p>
        </w:tc>
        <w:tc>
          <w:tcPr>
            <w:tcW w:w="1080" w:type="dxa"/>
            <w:vAlign w:val="bottom"/>
          </w:tcPr>
          <w:p>
            <w:pPr>
              <w:jc w:val="right"/>
              <w:ind w:right="205"/>
              <w:spacing w:after="0"/>
              <w:rPr>
                <w:sz w:val="20"/>
                <w:szCs w:val="20"/>
                <w:color w:val="auto"/>
              </w:rPr>
            </w:pPr>
            <w:r>
              <w:rPr>
                <w:rFonts w:ascii="Arial" w:cs="Arial" w:eastAsia="Arial" w:hAnsi="Arial"/>
                <w:sz w:val="15"/>
                <w:szCs w:val="15"/>
                <w:b w:val="1"/>
                <w:bCs w:val="1"/>
                <w:color w:val="001544"/>
              </w:rPr>
              <w:t>Total</w:t>
            </w:r>
          </w:p>
        </w:tc>
      </w:tr>
      <w:tr>
        <w:trPr>
          <w:trHeight w:val="32"/>
        </w:trPr>
        <w:tc>
          <w:tcPr>
            <w:tcW w:w="4380" w:type="dxa"/>
            <w:vAlign w:val="bottom"/>
            <w:tcBorders>
              <w:bottom w:val="single" w:sz="8" w:color="001544"/>
            </w:tcBorders>
          </w:tcPr>
          <w:p>
            <w:pPr>
              <w:spacing w:after="0"/>
              <w:rPr>
                <w:sz w:val="2"/>
                <w:szCs w:val="2"/>
                <w:color w:val="auto"/>
              </w:rPr>
            </w:pPr>
          </w:p>
        </w:tc>
        <w:tc>
          <w:tcPr>
            <w:tcW w:w="220" w:type="dxa"/>
            <w:vAlign w:val="bottom"/>
            <w:tcBorders>
              <w:bottom w:val="single" w:sz="8" w:color="001544"/>
            </w:tcBorders>
          </w:tcPr>
          <w:p>
            <w:pPr>
              <w:spacing w:after="0"/>
              <w:rPr>
                <w:sz w:val="2"/>
                <w:szCs w:val="2"/>
                <w:color w:val="auto"/>
              </w:rPr>
            </w:pPr>
          </w:p>
        </w:tc>
        <w:tc>
          <w:tcPr>
            <w:tcW w:w="1040" w:type="dxa"/>
            <w:vAlign w:val="bottom"/>
            <w:tcBorders>
              <w:bottom w:val="single" w:sz="8" w:color="001544"/>
            </w:tcBorders>
          </w:tcPr>
          <w:p>
            <w:pPr>
              <w:spacing w:after="0"/>
              <w:rPr>
                <w:sz w:val="2"/>
                <w:szCs w:val="2"/>
                <w:color w:val="auto"/>
              </w:rPr>
            </w:pPr>
          </w:p>
        </w:tc>
        <w:tc>
          <w:tcPr>
            <w:tcW w:w="1380" w:type="dxa"/>
            <w:vAlign w:val="bottom"/>
            <w:tcBorders>
              <w:bottom w:val="single" w:sz="8" w:color="001544"/>
            </w:tcBorders>
          </w:tcPr>
          <w:p>
            <w:pPr>
              <w:spacing w:after="0"/>
              <w:rPr>
                <w:sz w:val="2"/>
                <w:szCs w:val="2"/>
                <w:color w:val="auto"/>
              </w:rPr>
            </w:pPr>
          </w:p>
        </w:tc>
        <w:tc>
          <w:tcPr>
            <w:tcW w:w="800" w:type="dxa"/>
            <w:vAlign w:val="bottom"/>
            <w:tcBorders>
              <w:bottom w:val="single" w:sz="8" w:color="001544"/>
            </w:tcBorders>
          </w:tcPr>
          <w:p>
            <w:pPr>
              <w:spacing w:after="0"/>
              <w:rPr>
                <w:sz w:val="2"/>
                <w:szCs w:val="2"/>
                <w:color w:val="auto"/>
              </w:rPr>
            </w:pPr>
          </w:p>
        </w:tc>
        <w:tc>
          <w:tcPr>
            <w:tcW w:w="1080" w:type="dxa"/>
            <w:vAlign w:val="bottom"/>
            <w:tcBorders>
              <w:bottom w:val="single" w:sz="8" w:color="001544"/>
            </w:tcBorders>
          </w:tcPr>
          <w:p>
            <w:pPr>
              <w:spacing w:after="0"/>
              <w:rPr>
                <w:sz w:val="2"/>
                <w:szCs w:val="2"/>
                <w:color w:val="auto"/>
              </w:rPr>
            </w:pPr>
          </w:p>
        </w:tc>
      </w:tr>
      <w:tr>
        <w:trPr>
          <w:trHeight w:val="181"/>
        </w:trPr>
        <w:tc>
          <w:tcPr>
            <w:tcW w:w="438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Marc C. Ganzi</w:t>
            </w:r>
          </w:p>
        </w:tc>
        <w:tc>
          <w:tcPr>
            <w:tcW w:w="126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5"/>
                <w:szCs w:val="15"/>
                <w:color w:val="auto"/>
              </w:rPr>
              <w:t>40,677</w:t>
            </w:r>
          </w:p>
        </w:tc>
        <w:tc>
          <w:tcPr>
            <w:tcW w:w="1380" w:type="dxa"/>
            <w:vAlign w:val="bottom"/>
            <w:tcBorders>
              <w:bottom w:val="single" w:sz="8" w:color="001544"/>
            </w:tcBorders>
            <w:shd w:val="clear" w:color="auto" w:fill="DBDFEA"/>
          </w:tcPr>
          <w:p>
            <w:pPr>
              <w:jc w:val="right"/>
              <w:ind w:right="265"/>
              <w:spacing w:after="0"/>
              <w:rPr>
                <w:sz w:val="20"/>
                <w:szCs w:val="20"/>
                <w:color w:val="auto"/>
              </w:rPr>
            </w:pPr>
            <w:r>
              <w:rPr>
                <w:rFonts w:ascii="Arial" w:cs="Arial" w:eastAsia="Arial" w:hAnsi="Arial"/>
                <w:sz w:val="15"/>
                <w:szCs w:val="15"/>
                <w:color w:val="auto"/>
              </w:rPr>
              <w:t>51,870</w:t>
            </w: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62,639</w:t>
            </w:r>
          </w:p>
        </w:tc>
        <w:tc>
          <w:tcPr>
            <w:tcW w:w="10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155,186</w:t>
            </w:r>
          </w:p>
        </w:tc>
      </w:tr>
      <w:tr>
        <w:trPr>
          <w:trHeight w:val="211"/>
        </w:trPr>
        <w:tc>
          <w:tcPr>
            <w:tcW w:w="438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Benjamin J. Jenkins</w:t>
            </w:r>
          </w:p>
        </w:tc>
        <w:tc>
          <w:tcPr>
            <w:tcW w:w="220" w:type="dxa"/>
            <w:vAlign w:val="bottom"/>
            <w:tcBorders>
              <w:bottom w:val="single" w:sz="8" w:color="001544"/>
            </w:tcBorders>
            <w:shd w:val="clear" w:color="auto" w:fill="DBDFEA"/>
          </w:tcPr>
          <w:p>
            <w:pPr>
              <w:spacing w:after="0"/>
              <w:rPr>
                <w:sz w:val="18"/>
                <w:szCs w:val="18"/>
                <w:color w:val="auto"/>
              </w:rPr>
            </w:pPr>
          </w:p>
        </w:tc>
        <w:tc>
          <w:tcPr>
            <w:tcW w:w="10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22,452</w:t>
            </w:r>
          </w:p>
        </w:tc>
        <w:tc>
          <w:tcPr>
            <w:tcW w:w="1380" w:type="dxa"/>
            <w:vAlign w:val="bottom"/>
            <w:tcBorders>
              <w:bottom w:val="single" w:sz="8" w:color="001544"/>
            </w:tcBorders>
            <w:shd w:val="clear" w:color="auto" w:fill="DBDFEA"/>
          </w:tcPr>
          <w:p>
            <w:pPr>
              <w:jc w:val="right"/>
              <w:ind w:right="265"/>
              <w:spacing w:after="0"/>
              <w:rPr>
                <w:sz w:val="20"/>
                <w:szCs w:val="20"/>
                <w:color w:val="auto"/>
              </w:rPr>
            </w:pPr>
            <w:r>
              <w:rPr>
                <w:rFonts w:ascii="Arial" w:cs="Arial" w:eastAsia="Arial" w:hAnsi="Arial"/>
                <w:sz w:val="15"/>
                <w:szCs w:val="15"/>
                <w:color w:val="auto"/>
              </w:rPr>
              <w:t>32,600</w:t>
            </w: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55,052</w:t>
            </w:r>
          </w:p>
        </w:tc>
      </w:tr>
      <w:tr>
        <w:trPr>
          <w:trHeight w:val="219"/>
        </w:trPr>
        <w:tc>
          <w:tcPr>
            <w:tcW w:w="438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Thomas Mayrhofer</w:t>
            </w:r>
          </w:p>
        </w:tc>
        <w:tc>
          <w:tcPr>
            <w:tcW w:w="220" w:type="dxa"/>
            <w:vAlign w:val="bottom"/>
            <w:tcBorders>
              <w:bottom w:val="single" w:sz="8" w:color="001544"/>
            </w:tcBorders>
            <w:shd w:val="clear" w:color="auto" w:fill="DBDFEA"/>
          </w:tcPr>
          <w:p>
            <w:pPr>
              <w:spacing w:after="0"/>
              <w:rPr>
                <w:sz w:val="19"/>
                <w:szCs w:val="19"/>
                <w:color w:val="auto"/>
              </w:rPr>
            </w:pPr>
          </w:p>
        </w:tc>
        <w:tc>
          <w:tcPr>
            <w:tcW w:w="10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001544"/>
            </w:tcBorders>
            <w:shd w:val="clear" w:color="auto" w:fill="DBDFEA"/>
          </w:tcPr>
          <w:p>
            <w:pPr>
              <w:jc w:val="right"/>
              <w:ind w:right="265"/>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1544"/>
            </w:tcBorders>
            <w:shd w:val="clear" w:color="auto" w:fill="DBDFEA"/>
          </w:tcPr>
          <w:p>
            <w:pPr>
              <w:spacing w:after="0"/>
              <w:rPr>
                <w:sz w:val="19"/>
                <w:szCs w:val="19"/>
                <w:color w:val="auto"/>
              </w:rPr>
            </w:pPr>
          </w:p>
        </w:tc>
      </w:tr>
      <w:tr>
        <w:trPr>
          <w:trHeight w:val="219"/>
        </w:trPr>
        <w:tc>
          <w:tcPr>
            <w:tcW w:w="438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Geoffrey Goldschein</w:t>
            </w:r>
          </w:p>
        </w:tc>
        <w:tc>
          <w:tcPr>
            <w:tcW w:w="220" w:type="dxa"/>
            <w:vAlign w:val="bottom"/>
            <w:tcBorders>
              <w:bottom w:val="single" w:sz="8" w:color="001544"/>
            </w:tcBorders>
            <w:shd w:val="clear" w:color="auto" w:fill="DBDFEA"/>
          </w:tcPr>
          <w:p>
            <w:pPr>
              <w:spacing w:after="0"/>
              <w:rPr>
                <w:sz w:val="19"/>
                <w:szCs w:val="19"/>
                <w:color w:val="auto"/>
              </w:rPr>
            </w:pPr>
          </w:p>
        </w:tc>
        <w:tc>
          <w:tcPr>
            <w:tcW w:w="10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13,846</w:t>
            </w:r>
          </w:p>
        </w:tc>
        <w:tc>
          <w:tcPr>
            <w:tcW w:w="1380" w:type="dxa"/>
            <w:vAlign w:val="bottom"/>
            <w:tcBorders>
              <w:bottom w:val="single" w:sz="8" w:color="001544"/>
            </w:tcBorders>
            <w:shd w:val="clear" w:color="auto" w:fill="DBDFEA"/>
          </w:tcPr>
          <w:p>
            <w:pPr>
              <w:jc w:val="right"/>
              <w:ind w:right="265"/>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13,846</w:t>
            </w:r>
          </w:p>
        </w:tc>
      </w:tr>
      <w:tr>
        <w:trPr>
          <w:trHeight w:val="219"/>
        </w:trPr>
        <w:tc>
          <w:tcPr>
            <w:tcW w:w="438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Liam Stewart</w:t>
            </w:r>
          </w:p>
        </w:tc>
        <w:tc>
          <w:tcPr>
            <w:tcW w:w="220" w:type="dxa"/>
            <w:vAlign w:val="bottom"/>
            <w:tcBorders>
              <w:bottom w:val="single" w:sz="8" w:color="001544"/>
            </w:tcBorders>
            <w:shd w:val="clear" w:color="auto" w:fill="DBDFEA"/>
          </w:tcPr>
          <w:p>
            <w:pPr>
              <w:spacing w:after="0"/>
              <w:rPr>
                <w:sz w:val="19"/>
                <w:szCs w:val="19"/>
                <w:color w:val="auto"/>
              </w:rPr>
            </w:pPr>
          </w:p>
        </w:tc>
        <w:tc>
          <w:tcPr>
            <w:tcW w:w="10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22,560</w:t>
            </w:r>
          </w:p>
        </w:tc>
        <w:tc>
          <w:tcPr>
            <w:tcW w:w="1380" w:type="dxa"/>
            <w:vAlign w:val="bottom"/>
            <w:tcBorders>
              <w:bottom w:val="single" w:sz="8" w:color="001544"/>
            </w:tcBorders>
            <w:shd w:val="clear" w:color="auto" w:fill="DBDFEA"/>
          </w:tcPr>
          <w:p>
            <w:pPr>
              <w:jc w:val="right"/>
              <w:ind w:right="265"/>
              <w:spacing w:after="0"/>
              <w:rPr>
                <w:sz w:val="20"/>
                <w:szCs w:val="20"/>
                <w:color w:val="auto"/>
              </w:rPr>
            </w:pPr>
            <w:r>
              <w:rPr>
                <w:rFonts w:ascii="Arial" w:cs="Arial" w:eastAsia="Arial" w:hAnsi="Arial"/>
                <w:sz w:val="15"/>
                <w:szCs w:val="15"/>
                <w:color w:val="auto"/>
              </w:rPr>
              <w:t>32,600</w:t>
            </w: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55,160</w:t>
            </w:r>
          </w:p>
        </w:tc>
      </w:tr>
      <w:tr>
        <w:trPr>
          <w:trHeight w:val="219"/>
        </w:trPr>
        <w:tc>
          <w:tcPr>
            <w:tcW w:w="438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Jacky Wu</w:t>
            </w:r>
          </w:p>
        </w:tc>
        <w:tc>
          <w:tcPr>
            <w:tcW w:w="220" w:type="dxa"/>
            <w:vAlign w:val="bottom"/>
            <w:tcBorders>
              <w:bottom w:val="single" w:sz="8" w:color="001544"/>
            </w:tcBorders>
            <w:shd w:val="clear" w:color="auto" w:fill="DBDFEA"/>
          </w:tcPr>
          <w:p>
            <w:pPr>
              <w:spacing w:after="0"/>
              <w:rPr>
                <w:sz w:val="19"/>
                <w:szCs w:val="19"/>
                <w:color w:val="auto"/>
              </w:rPr>
            </w:pPr>
          </w:p>
        </w:tc>
        <w:tc>
          <w:tcPr>
            <w:tcW w:w="10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001544"/>
            </w:tcBorders>
            <w:shd w:val="clear" w:color="auto" w:fill="DBDFEA"/>
          </w:tcPr>
          <w:p>
            <w:pPr>
              <w:jc w:val="right"/>
              <w:ind w:right="265"/>
              <w:spacing w:after="0"/>
              <w:rPr>
                <w:sz w:val="20"/>
                <w:szCs w:val="20"/>
                <w:color w:val="auto"/>
              </w:rPr>
            </w:pPr>
            <w:r>
              <w:rPr>
                <w:rFonts w:ascii="Arial" w:cs="Arial" w:eastAsia="Arial" w:hAnsi="Arial"/>
                <w:sz w:val="15"/>
                <w:szCs w:val="15"/>
                <w:color w:val="auto"/>
              </w:rPr>
              <w:t>40,750</w:t>
            </w: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12,931</w:t>
            </w:r>
          </w:p>
        </w:tc>
        <w:tc>
          <w:tcPr>
            <w:tcW w:w="10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53,681</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Option Exercises and Stock Vested in 2024</w:t>
      </w:r>
    </w:p>
    <w:p>
      <w:pPr>
        <w:spacing w:after="0" w:line="218"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The following table sets forth certain information with respect to stock awards vesting during the year ended December 31, 2024 with respect to our NEOs. No option awards were outstanding or exercised during the year ended December 31, 2024.</w:t>
      </w:r>
    </w:p>
    <w:p>
      <w:pPr>
        <w:spacing w:after="0" w:line="177"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tcBorders>
              <w:bottom w:val="single" w:sz="8" w:color="001544"/>
            </w:tcBorders>
            <w:gridSpan w:val="2"/>
          </w:tcPr>
          <w:p>
            <w:pPr>
              <w:jc w:val="right"/>
              <w:ind w:right="325"/>
              <w:spacing w:after="0"/>
              <w:rPr>
                <w:sz w:val="20"/>
                <w:szCs w:val="20"/>
                <w:color w:val="auto"/>
              </w:rPr>
            </w:pPr>
            <w:r>
              <w:rPr>
                <w:rFonts w:ascii="Arial" w:cs="Arial" w:eastAsia="Arial" w:hAnsi="Arial"/>
                <w:sz w:val="15"/>
                <w:szCs w:val="15"/>
                <w:b w:val="1"/>
                <w:bCs w:val="1"/>
                <w:color w:val="001544"/>
              </w:rPr>
              <w:t>Restricted Stock Awards</w:t>
            </w:r>
          </w:p>
        </w:tc>
        <w:tc>
          <w:tcPr>
            <w:tcW w:w="2920" w:type="dxa"/>
            <w:vAlign w:val="bottom"/>
            <w:tcBorders>
              <w:bottom w:val="single" w:sz="8" w:color="001544"/>
            </w:tcBorders>
            <w:gridSpan w:val="2"/>
          </w:tcPr>
          <w:p>
            <w:pPr>
              <w:ind w:left="280"/>
              <w:spacing w:after="0"/>
              <w:rPr>
                <w:sz w:val="20"/>
                <w:szCs w:val="20"/>
                <w:color w:val="auto"/>
              </w:rPr>
            </w:pPr>
            <w:r>
              <w:rPr>
                <w:rFonts w:ascii="Arial" w:cs="Arial" w:eastAsia="Arial" w:hAnsi="Arial"/>
                <w:sz w:val="15"/>
                <w:szCs w:val="15"/>
                <w:b w:val="1"/>
                <w:bCs w:val="1"/>
                <w:color w:val="001544"/>
              </w:rPr>
              <w:t>Performance-Based Equity Awards</w:t>
            </w:r>
          </w:p>
        </w:tc>
      </w:tr>
      <w:tr>
        <w:trPr>
          <w:trHeight w:val="156"/>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center"/>
              <w:spacing w:after="0" w:line="156" w:lineRule="exact"/>
              <w:rPr>
                <w:sz w:val="20"/>
                <w:szCs w:val="20"/>
                <w:color w:val="auto"/>
              </w:rPr>
            </w:pPr>
            <w:r>
              <w:rPr>
                <w:rFonts w:ascii="Arial" w:cs="Arial" w:eastAsia="Arial" w:hAnsi="Arial"/>
                <w:sz w:val="15"/>
                <w:szCs w:val="15"/>
                <w:b w:val="1"/>
                <w:bCs w:val="1"/>
                <w:color w:val="001544"/>
              </w:rPr>
              <w:t>Number of</w:t>
            </w:r>
          </w:p>
        </w:tc>
        <w:tc>
          <w:tcPr>
            <w:tcW w:w="1280" w:type="dxa"/>
            <w:vAlign w:val="bottom"/>
          </w:tcPr>
          <w:p>
            <w:pPr>
              <w:spacing w:after="0"/>
              <w:rPr>
                <w:sz w:val="13"/>
                <w:szCs w:val="13"/>
                <w:color w:val="auto"/>
              </w:rPr>
            </w:pPr>
          </w:p>
        </w:tc>
        <w:tc>
          <w:tcPr>
            <w:tcW w:w="1580" w:type="dxa"/>
            <w:vAlign w:val="bottom"/>
          </w:tcPr>
          <w:p>
            <w:pPr>
              <w:jc w:val="center"/>
              <w:spacing w:after="0" w:line="156" w:lineRule="exact"/>
              <w:rPr>
                <w:sz w:val="20"/>
                <w:szCs w:val="20"/>
                <w:color w:val="auto"/>
              </w:rPr>
            </w:pPr>
            <w:r>
              <w:rPr>
                <w:rFonts w:ascii="Arial" w:cs="Arial" w:eastAsia="Arial" w:hAnsi="Arial"/>
                <w:sz w:val="15"/>
                <w:szCs w:val="15"/>
                <w:b w:val="1"/>
                <w:bCs w:val="1"/>
                <w:color w:val="001544"/>
              </w:rPr>
              <w:t>Number of</w:t>
            </w:r>
          </w:p>
        </w:tc>
        <w:tc>
          <w:tcPr>
            <w:tcW w:w="1340" w:type="dxa"/>
            <w:vAlign w:val="bottom"/>
          </w:tcPr>
          <w:p>
            <w:pPr>
              <w:spacing w:after="0"/>
              <w:rPr>
                <w:sz w:val="13"/>
                <w:szCs w:val="13"/>
                <w:color w:val="auto"/>
              </w:rPr>
            </w:pPr>
          </w:p>
        </w:tc>
      </w:tr>
      <w:tr>
        <w:trPr>
          <w:trHeight w:val="176"/>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001544"/>
                <w:w w:val="98"/>
              </w:rPr>
              <w:t>Shares Acquired</w:t>
            </w:r>
          </w:p>
        </w:tc>
        <w:tc>
          <w:tcPr>
            <w:tcW w:w="1280" w:type="dxa"/>
            <w:vAlign w:val="bottom"/>
          </w:tcPr>
          <w:p>
            <w:pPr>
              <w:jc w:val="center"/>
              <w:ind w:left="85"/>
              <w:spacing w:after="0"/>
              <w:rPr>
                <w:sz w:val="20"/>
                <w:szCs w:val="20"/>
                <w:color w:val="auto"/>
              </w:rPr>
            </w:pPr>
            <w:r>
              <w:rPr>
                <w:rFonts w:ascii="Arial" w:cs="Arial" w:eastAsia="Arial" w:hAnsi="Arial"/>
                <w:sz w:val="15"/>
                <w:szCs w:val="15"/>
                <w:b w:val="1"/>
                <w:bCs w:val="1"/>
                <w:color w:val="001544"/>
                <w:w w:val="98"/>
              </w:rPr>
              <w:t>Value Realized</w:t>
            </w:r>
          </w:p>
        </w:tc>
        <w:tc>
          <w:tcPr>
            <w:tcW w:w="1580" w:type="dxa"/>
            <w:vAlign w:val="bottom"/>
          </w:tcPr>
          <w:p>
            <w:pPr>
              <w:jc w:val="center"/>
              <w:spacing w:after="0"/>
              <w:rPr>
                <w:sz w:val="20"/>
                <w:szCs w:val="20"/>
                <w:color w:val="auto"/>
              </w:rPr>
            </w:pPr>
            <w:r>
              <w:rPr>
                <w:rFonts w:ascii="Arial" w:cs="Arial" w:eastAsia="Arial" w:hAnsi="Arial"/>
                <w:sz w:val="15"/>
                <w:szCs w:val="15"/>
                <w:b w:val="1"/>
                <w:bCs w:val="1"/>
                <w:color w:val="001544"/>
                <w:w w:val="98"/>
              </w:rPr>
              <w:t>Shares Acquired</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001544"/>
                <w:w w:val="98"/>
              </w:rPr>
              <w:t>Value Realized</w:t>
            </w:r>
          </w:p>
        </w:tc>
      </w:tr>
      <w:tr>
        <w:trPr>
          <w:trHeight w:val="164"/>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spacing w:after="0" w:line="164" w:lineRule="exact"/>
              <w:rPr>
                <w:sz w:val="20"/>
                <w:szCs w:val="20"/>
                <w:color w:val="auto"/>
              </w:rPr>
            </w:pPr>
            <w:r>
              <w:rPr>
                <w:rFonts w:ascii="Arial" w:cs="Arial" w:eastAsia="Arial" w:hAnsi="Arial"/>
                <w:sz w:val="15"/>
                <w:szCs w:val="15"/>
                <w:b w:val="1"/>
                <w:bCs w:val="1"/>
                <w:color w:val="001544"/>
                <w:w w:val="99"/>
              </w:rPr>
              <w:t>on Vesting</w:t>
            </w:r>
          </w:p>
        </w:tc>
        <w:tc>
          <w:tcPr>
            <w:tcW w:w="1280" w:type="dxa"/>
            <w:vAlign w:val="bottom"/>
          </w:tcPr>
          <w:p>
            <w:pPr>
              <w:jc w:val="center"/>
              <w:ind w:left="85"/>
              <w:spacing w:after="0" w:line="164" w:lineRule="exact"/>
              <w:rPr>
                <w:sz w:val="20"/>
                <w:szCs w:val="20"/>
                <w:color w:val="auto"/>
              </w:rPr>
            </w:pPr>
            <w:r>
              <w:rPr>
                <w:rFonts w:ascii="Arial" w:cs="Arial" w:eastAsia="Arial" w:hAnsi="Arial"/>
                <w:sz w:val="15"/>
                <w:szCs w:val="15"/>
                <w:b w:val="1"/>
                <w:bCs w:val="1"/>
                <w:color w:val="001544"/>
                <w:w w:val="99"/>
              </w:rPr>
              <w:t>on Vesting</w:t>
            </w:r>
          </w:p>
        </w:tc>
        <w:tc>
          <w:tcPr>
            <w:tcW w:w="1580" w:type="dxa"/>
            <w:vAlign w:val="bottom"/>
          </w:tcPr>
          <w:p>
            <w:pPr>
              <w:jc w:val="center"/>
              <w:spacing w:after="0" w:line="164" w:lineRule="exact"/>
              <w:rPr>
                <w:sz w:val="20"/>
                <w:szCs w:val="20"/>
                <w:color w:val="auto"/>
              </w:rPr>
            </w:pPr>
            <w:r>
              <w:rPr>
                <w:rFonts w:ascii="Arial" w:cs="Arial" w:eastAsia="Arial" w:hAnsi="Arial"/>
                <w:sz w:val="15"/>
                <w:szCs w:val="15"/>
                <w:b w:val="1"/>
                <w:bCs w:val="1"/>
                <w:color w:val="001544"/>
                <w:w w:val="99"/>
              </w:rPr>
              <w:t>on Vesting</w:t>
            </w:r>
          </w:p>
        </w:tc>
        <w:tc>
          <w:tcPr>
            <w:tcW w:w="1340" w:type="dxa"/>
            <w:vAlign w:val="bottom"/>
          </w:tcPr>
          <w:p>
            <w:pPr>
              <w:jc w:val="center"/>
              <w:spacing w:after="0" w:line="164" w:lineRule="exact"/>
              <w:rPr>
                <w:sz w:val="20"/>
                <w:szCs w:val="20"/>
                <w:color w:val="auto"/>
              </w:rPr>
            </w:pPr>
            <w:r>
              <w:rPr>
                <w:rFonts w:ascii="Arial" w:cs="Arial" w:eastAsia="Arial" w:hAnsi="Arial"/>
                <w:sz w:val="15"/>
                <w:szCs w:val="15"/>
                <w:b w:val="1"/>
                <w:bCs w:val="1"/>
                <w:color w:val="001544"/>
                <w:w w:val="99"/>
              </w:rPr>
              <w:t>on Vesting</w:t>
            </w:r>
          </w:p>
        </w:tc>
      </w:tr>
      <w:tr>
        <w:trPr>
          <w:trHeight w:val="251"/>
        </w:trPr>
        <w:tc>
          <w:tcPr>
            <w:tcW w:w="3240" w:type="dxa"/>
            <w:vAlign w:val="bottom"/>
            <w:tcBorders>
              <w:bottom w:val="single" w:sz="8" w:color="001544"/>
            </w:tcBorders>
          </w:tcPr>
          <w:p>
            <w:pPr>
              <w:ind w:left="80"/>
              <w:spacing w:after="0"/>
              <w:rPr>
                <w:sz w:val="20"/>
                <w:szCs w:val="20"/>
                <w:color w:val="auto"/>
              </w:rPr>
            </w:pPr>
            <w:r>
              <w:rPr>
                <w:rFonts w:ascii="Arial" w:cs="Arial" w:eastAsia="Arial" w:hAnsi="Arial"/>
                <w:sz w:val="15"/>
                <w:szCs w:val="15"/>
                <w:b w:val="1"/>
                <w:bCs w:val="1"/>
                <w:color w:val="001544"/>
              </w:rPr>
              <w:t>Name</w:t>
            </w:r>
          </w:p>
        </w:tc>
        <w:tc>
          <w:tcPr>
            <w:tcW w:w="1460" w:type="dxa"/>
            <w:vAlign w:val="bottom"/>
            <w:tcBorders>
              <w:bottom w:val="single" w:sz="8" w:color="001544"/>
            </w:tcBorders>
            <w:gridSpan w:val="2"/>
          </w:tcPr>
          <w:p>
            <w:pPr>
              <w:jc w:val="center"/>
              <w:ind w:left="85"/>
              <w:spacing w:after="0"/>
              <w:rPr>
                <w:sz w:val="20"/>
                <w:szCs w:val="20"/>
                <w:color w:val="auto"/>
              </w:rPr>
            </w:pPr>
            <w:r>
              <w:rPr>
                <w:rFonts w:ascii="Arial" w:cs="Arial" w:eastAsia="Arial" w:hAnsi="Arial"/>
                <w:sz w:val="15"/>
                <w:szCs w:val="15"/>
                <w:b w:val="1"/>
                <w:bCs w:val="1"/>
                <w:color w:val="001544"/>
                <w:w w:val="97"/>
              </w:rPr>
              <w:t>(#)</w:t>
            </w:r>
          </w:p>
        </w:tc>
        <w:tc>
          <w:tcPr>
            <w:tcW w:w="1280" w:type="dxa"/>
            <w:vAlign w:val="bottom"/>
            <w:tcBorders>
              <w:bottom w:val="single" w:sz="8" w:color="001544"/>
            </w:tcBorders>
          </w:tcPr>
          <w:p>
            <w:pPr>
              <w:jc w:val="center"/>
              <w:ind w:left="85"/>
              <w:spacing w:after="0" w:line="250" w:lineRule="exact"/>
              <w:rPr>
                <w:sz w:val="20"/>
                <w:szCs w:val="20"/>
                <w:color w:val="auto"/>
              </w:rPr>
            </w:pPr>
            <w:r>
              <w:rPr>
                <w:rFonts w:ascii="Arial" w:cs="Arial" w:eastAsia="Arial" w:hAnsi="Arial"/>
                <w:sz w:val="15"/>
                <w:szCs w:val="15"/>
                <w:b w:val="1"/>
                <w:bCs w:val="1"/>
                <w:color w:val="001544"/>
                <w:w w:val="88"/>
              </w:rPr>
              <w:t>($)</w:t>
            </w:r>
            <w:r>
              <w:rPr>
                <w:rFonts w:ascii="Arial" w:cs="Arial" w:eastAsia="Arial" w:hAnsi="Arial"/>
                <w:sz w:val="22"/>
                <w:szCs w:val="22"/>
                <w:b w:val="1"/>
                <w:bCs w:val="1"/>
                <w:color w:val="001544"/>
                <w:w w:val="88"/>
                <w:vertAlign w:val="superscript"/>
              </w:rPr>
              <w:t>(1)</w:t>
            </w:r>
          </w:p>
        </w:tc>
        <w:tc>
          <w:tcPr>
            <w:tcW w:w="1580" w:type="dxa"/>
            <w:vAlign w:val="bottom"/>
            <w:tcBorders>
              <w:bottom w:val="single" w:sz="8" w:color="001544"/>
            </w:tcBorders>
          </w:tcPr>
          <w:p>
            <w:pPr>
              <w:jc w:val="center"/>
              <w:spacing w:after="0"/>
              <w:rPr>
                <w:sz w:val="20"/>
                <w:szCs w:val="20"/>
                <w:color w:val="auto"/>
              </w:rPr>
            </w:pPr>
            <w:r>
              <w:rPr>
                <w:rFonts w:ascii="Arial" w:cs="Arial" w:eastAsia="Arial" w:hAnsi="Arial"/>
                <w:sz w:val="15"/>
                <w:szCs w:val="15"/>
                <w:b w:val="1"/>
                <w:bCs w:val="1"/>
                <w:color w:val="001544"/>
                <w:w w:val="97"/>
              </w:rPr>
              <w:t>(#)</w:t>
            </w:r>
          </w:p>
        </w:tc>
        <w:tc>
          <w:tcPr>
            <w:tcW w:w="1340" w:type="dxa"/>
            <w:vAlign w:val="bottom"/>
            <w:tcBorders>
              <w:bottom w:val="single" w:sz="8" w:color="001544"/>
            </w:tcBorders>
          </w:tcPr>
          <w:p>
            <w:pPr>
              <w:jc w:val="center"/>
              <w:spacing w:after="0" w:line="250" w:lineRule="exact"/>
              <w:rPr>
                <w:sz w:val="20"/>
                <w:szCs w:val="20"/>
                <w:color w:val="auto"/>
              </w:rPr>
            </w:pPr>
            <w:r>
              <w:rPr>
                <w:rFonts w:ascii="Arial" w:cs="Arial" w:eastAsia="Arial" w:hAnsi="Arial"/>
                <w:sz w:val="15"/>
                <w:szCs w:val="15"/>
                <w:b w:val="1"/>
                <w:bCs w:val="1"/>
                <w:color w:val="001544"/>
                <w:w w:val="88"/>
              </w:rPr>
              <w:t>($)</w:t>
            </w:r>
            <w:r>
              <w:rPr>
                <w:rFonts w:ascii="Arial" w:cs="Arial" w:eastAsia="Arial" w:hAnsi="Arial"/>
                <w:sz w:val="22"/>
                <w:szCs w:val="22"/>
                <w:b w:val="1"/>
                <w:bCs w:val="1"/>
                <w:color w:val="001544"/>
                <w:w w:val="88"/>
                <w:vertAlign w:val="superscript"/>
              </w:rPr>
              <w:t>(1)</w:t>
            </w:r>
          </w:p>
        </w:tc>
      </w:tr>
      <w:tr>
        <w:trPr>
          <w:trHeight w:val="211"/>
        </w:trPr>
        <w:tc>
          <w:tcPr>
            <w:tcW w:w="32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Marc C. Ganzi</w:t>
            </w:r>
          </w:p>
        </w:tc>
        <w:tc>
          <w:tcPr>
            <w:tcW w:w="146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5"/>
                <w:szCs w:val="15"/>
                <w:color w:val="auto"/>
              </w:rPr>
              <w:t>140,481</w:t>
            </w:r>
          </w:p>
        </w:tc>
        <w:tc>
          <w:tcPr>
            <w:tcW w:w="12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2,603,113</w:t>
            </w:r>
          </w:p>
        </w:tc>
        <w:tc>
          <w:tcPr>
            <w:tcW w:w="1580" w:type="dxa"/>
            <w:vAlign w:val="bottom"/>
            <w:tcBorders>
              <w:bottom w:val="single" w:sz="8" w:color="001544"/>
            </w:tcBorders>
            <w:shd w:val="clear" w:color="auto" w:fill="DBDFEA"/>
          </w:tcPr>
          <w:p>
            <w:pPr>
              <w:ind w:left="1240"/>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001544"/>
            </w:tcBorders>
            <w:shd w:val="clear" w:color="auto" w:fill="DBDFEA"/>
          </w:tcPr>
          <w:p>
            <w:pPr>
              <w:ind w:left="1120"/>
              <w:spacing w:after="0"/>
              <w:rPr>
                <w:sz w:val="20"/>
                <w:szCs w:val="20"/>
                <w:color w:val="auto"/>
              </w:rPr>
            </w:pPr>
            <w:r>
              <w:rPr>
                <w:rFonts w:ascii="Arial" w:cs="Arial" w:eastAsia="Arial" w:hAnsi="Arial"/>
                <w:sz w:val="15"/>
                <w:szCs w:val="15"/>
                <w:color w:val="auto"/>
              </w:rPr>
              <w:t>—</w:t>
            </w:r>
          </w:p>
        </w:tc>
      </w:tr>
      <w:tr>
        <w:trPr>
          <w:trHeight w:val="219"/>
        </w:trPr>
        <w:tc>
          <w:tcPr>
            <w:tcW w:w="32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Benjamin J. Jenkins</w:t>
            </w:r>
          </w:p>
        </w:tc>
        <w:tc>
          <w:tcPr>
            <w:tcW w:w="180" w:type="dxa"/>
            <w:vAlign w:val="bottom"/>
            <w:tcBorders>
              <w:bottom w:val="single" w:sz="8" w:color="001544"/>
            </w:tcBorders>
            <w:shd w:val="clear" w:color="auto" w:fill="DBDFEA"/>
          </w:tcPr>
          <w:p>
            <w:pPr>
              <w:spacing w:after="0"/>
              <w:rPr>
                <w:sz w:val="19"/>
                <w:szCs w:val="19"/>
                <w:color w:val="auto"/>
              </w:rPr>
            </w:pPr>
          </w:p>
        </w:tc>
        <w:tc>
          <w:tcPr>
            <w:tcW w:w="12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29,984</w:t>
            </w:r>
          </w:p>
        </w:tc>
        <w:tc>
          <w:tcPr>
            <w:tcW w:w="12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555,604</w:t>
            </w:r>
          </w:p>
        </w:tc>
        <w:tc>
          <w:tcPr>
            <w:tcW w:w="1580" w:type="dxa"/>
            <w:vAlign w:val="bottom"/>
            <w:tcBorders>
              <w:bottom w:val="single" w:sz="8" w:color="001544"/>
            </w:tcBorders>
            <w:shd w:val="clear" w:color="auto" w:fill="DBDFEA"/>
          </w:tcPr>
          <w:p>
            <w:pPr>
              <w:ind w:left="1240"/>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001544"/>
            </w:tcBorders>
            <w:shd w:val="clear" w:color="auto" w:fill="DBDFEA"/>
          </w:tcPr>
          <w:p>
            <w:pPr>
              <w:ind w:left="1120"/>
              <w:spacing w:after="0"/>
              <w:rPr>
                <w:sz w:val="20"/>
                <w:szCs w:val="20"/>
                <w:color w:val="auto"/>
              </w:rPr>
            </w:pPr>
            <w:r>
              <w:rPr>
                <w:rFonts w:ascii="Arial" w:cs="Arial" w:eastAsia="Arial" w:hAnsi="Arial"/>
                <w:sz w:val="15"/>
                <w:szCs w:val="15"/>
                <w:color w:val="auto"/>
              </w:rPr>
              <w:t>—</w:t>
            </w:r>
          </w:p>
        </w:tc>
      </w:tr>
      <w:tr>
        <w:trPr>
          <w:trHeight w:val="219"/>
        </w:trPr>
        <w:tc>
          <w:tcPr>
            <w:tcW w:w="32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Thomas Mayrhofer</w:t>
            </w:r>
          </w:p>
        </w:tc>
        <w:tc>
          <w:tcPr>
            <w:tcW w:w="180" w:type="dxa"/>
            <w:vAlign w:val="bottom"/>
            <w:tcBorders>
              <w:bottom w:val="single" w:sz="8" w:color="001544"/>
            </w:tcBorders>
            <w:shd w:val="clear" w:color="auto" w:fill="DBDFEA"/>
          </w:tcPr>
          <w:p>
            <w:pPr>
              <w:spacing w:after="0"/>
              <w:rPr>
                <w:sz w:val="19"/>
                <w:szCs w:val="19"/>
                <w:color w:val="auto"/>
              </w:rPr>
            </w:pPr>
          </w:p>
        </w:tc>
        <w:tc>
          <w:tcPr>
            <w:tcW w:w="12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001544"/>
            </w:tcBorders>
            <w:shd w:val="clear" w:color="auto" w:fill="DBDFEA"/>
          </w:tcPr>
          <w:p>
            <w:pPr>
              <w:ind w:left="1240"/>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001544"/>
            </w:tcBorders>
            <w:shd w:val="clear" w:color="auto" w:fill="DBDFEA"/>
          </w:tcPr>
          <w:p>
            <w:pPr>
              <w:ind w:left="1120"/>
              <w:spacing w:after="0"/>
              <w:rPr>
                <w:sz w:val="20"/>
                <w:szCs w:val="20"/>
                <w:color w:val="auto"/>
              </w:rPr>
            </w:pPr>
            <w:r>
              <w:rPr>
                <w:rFonts w:ascii="Arial" w:cs="Arial" w:eastAsia="Arial" w:hAnsi="Arial"/>
                <w:sz w:val="15"/>
                <w:szCs w:val="15"/>
                <w:color w:val="auto"/>
              </w:rPr>
              <w:t>—</w:t>
            </w:r>
          </w:p>
        </w:tc>
      </w:tr>
      <w:tr>
        <w:trPr>
          <w:trHeight w:val="219"/>
        </w:trPr>
        <w:tc>
          <w:tcPr>
            <w:tcW w:w="32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Geoffrey Goldschein</w:t>
            </w:r>
          </w:p>
        </w:tc>
        <w:tc>
          <w:tcPr>
            <w:tcW w:w="180" w:type="dxa"/>
            <w:vAlign w:val="bottom"/>
            <w:tcBorders>
              <w:bottom w:val="single" w:sz="8" w:color="001544"/>
            </w:tcBorders>
            <w:shd w:val="clear" w:color="auto" w:fill="DBDFEA"/>
          </w:tcPr>
          <w:p>
            <w:pPr>
              <w:spacing w:after="0"/>
              <w:rPr>
                <w:sz w:val="19"/>
                <w:szCs w:val="19"/>
                <w:color w:val="auto"/>
              </w:rPr>
            </w:pPr>
          </w:p>
        </w:tc>
        <w:tc>
          <w:tcPr>
            <w:tcW w:w="12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18,621</w:t>
            </w:r>
          </w:p>
        </w:tc>
        <w:tc>
          <w:tcPr>
            <w:tcW w:w="12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345,047</w:t>
            </w:r>
          </w:p>
        </w:tc>
        <w:tc>
          <w:tcPr>
            <w:tcW w:w="1580" w:type="dxa"/>
            <w:vAlign w:val="bottom"/>
            <w:tcBorders>
              <w:bottom w:val="single" w:sz="8" w:color="001544"/>
            </w:tcBorders>
            <w:shd w:val="clear" w:color="auto" w:fill="DBDFEA"/>
          </w:tcPr>
          <w:p>
            <w:pPr>
              <w:ind w:left="1240"/>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001544"/>
            </w:tcBorders>
            <w:shd w:val="clear" w:color="auto" w:fill="DBDFEA"/>
          </w:tcPr>
          <w:p>
            <w:pPr>
              <w:ind w:left="1120"/>
              <w:spacing w:after="0"/>
              <w:rPr>
                <w:sz w:val="20"/>
                <w:szCs w:val="20"/>
                <w:color w:val="auto"/>
              </w:rPr>
            </w:pPr>
            <w:r>
              <w:rPr>
                <w:rFonts w:ascii="Arial" w:cs="Arial" w:eastAsia="Arial" w:hAnsi="Arial"/>
                <w:sz w:val="15"/>
                <w:szCs w:val="15"/>
                <w:color w:val="auto"/>
              </w:rPr>
              <w:t>—</w:t>
            </w:r>
          </w:p>
        </w:tc>
      </w:tr>
      <w:tr>
        <w:trPr>
          <w:trHeight w:val="219"/>
        </w:trPr>
        <w:tc>
          <w:tcPr>
            <w:tcW w:w="32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Liam Stewart</w:t>
            </w:r>
          </w:p>
        </w:tc>
        <w:tc>
          <w:tcPr>
            <w:tcW w:w="180" w:type="dxa"/>
            <w:vAlign w:val="bottom"/>
            <w:tcBorders>
              <w:bottom w:val="single" w:sz="8" w:color="001544"/>
            </w:tcBorders>
            <w:shd w:val="clear" w:color="auto" w:fill="DBDFEA"/>
          </w:tcPr>
          <w:p>
            <w:pPr>
              <w:spacing w:after="0"/>
              <w:rPr>
                <w:sz w:val="19"/>
                <w:szCs w:val="19"/>
                <w:color w:val="auto"/>
              </w:rPr>
            </w:pPr>
          </w:p>
        </w:tc>
        <w:tc>
          <w:tcPr>
            <w:tcW w:w="12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37,177</w:t>
            </w:r>
          </w:p>
        </w:tc>
        <w:tc>
          <w:tcPr>
            <w:tcW w:w="12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688,890</w:t>
            </w:r>
          </w:p>
        </w:tc>
        <w:tc>
          <w:tcPr>
            <w:tcW w:w="1580" w:type="dxa"/>
            <w:vAlign w:val="bottom"/>
            <w:tcBorders>
              <w:bottom w:val="single" w:sz="8" w:color="001544"/>
            </w:tcBorders>
            <w:shd w:val="clear" w:color="auto" w:fill="DBDFEA"/>
          </w:tcPr>
          <w:p>
            <w:pPr>
              <w:ind w:left="1240"/>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001544"/>
            </w:tcBorders>
            <w:shd w:val="clear" w:color="auto" w:fill="DBDFEA"/>
          </w:tcPr>
          <w:p>
            <w:pPr>
              <w:ind w:left="1120"/>
              <w:spacing w:after="0"/>
              <w:rPr>
                <w:sz w:val="20"/>
                <w:szCs w:val="20"/>
                <w:color w:val="auto"/>
              </w:rPr>
            </w:pPr>
            <w:r>
              <w:rPr>
                <w:rFonts w:ascii="Arial" w:cs="Arial" w:eastAsia="Arial" w:hAnsi="Arial"/>
                <w:sz w:val="15"/>
                <w:szCs w:val="15"/>
                <w:color w:val="auto"/>
              </w:rPr>
              <w:t>—</w:t>
            </w:r>
          </w:p>
        </w:tc>
      </w:tr>
      <w:tr>
        <w:trPr>
          <w:trHeight w:val="219"/>
        </w:trPr>
        <w:tc>
          <w:tcPr>
            <w:tcW w:w="32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Jacky Wu</w:t>
            </w:r>
          </w:p>
        </w:tc>
        <w:tc>
          <w:tcPr>
            <w:tcW w:w="180" w:type="dxa"/>
            <w:vAlign w:val="bottom"/>
            <w:tcBorders>
              <w:bottom w:val="single" w:sz="8" w:color="001544"/>
            </w:tcBorders>
            <w:shd w:val="clear" w:color="auto" w:fill="DBDFEA"/>
          </w:tcPr>
          <w:p>
            <w:pPr>
              <w:spacing w:after="0"/>
              <w:rPr>
                <w:sz w:val="19"/>
                <w:szCs w:val="19"/>
                <w:color w:val="auto"/>
              </w:rPr>
            </w:pPr>
          </w:p>
        </w:tc>
        <w:tc>
          <w:tcPr>
            <w:tcW w:w="12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68,221</w:t>
            </w:r>
          </w:p>
        </w:tc>
        <w:tc>
          <w:tcPr>
            <w:tcW w:w="12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1,101,541</w:t>
            </w:r>
          </w:p>
        </w:tc>
        <w:tc>
          <w:tcPr>
            <w:tcW w:w="1580" w:type="dxa"/>
            <w:vAlign w:val="bottom"/>
            <w:tcBorders>
              <w:bottom w:val="single" w:sz="8" w:color="001544"/>
            </w:tcBorders>
            <w:shd w:val="clear" w:color="auto" w:fill="DBDFEA"/>
          </w:tcPr>
          <w:p>
            <w:pPr>
              <w:ind w:left="1240"/>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001544"/>
            </w:tcBorders>
            <w:shd w:val="clear" w:color="auto" w:fill="DBDFEA"/>
          </w:tcPr>
          <w:p>
            <w:pPr>
              <w:ind w:left="1120"/>
              <w:spacing w:after="0"/>
              <w:rPr>
                <w:sz w:val="20"/>
                <w:szCs w:val="20"/>
                <w:color w:val="auto"/>
              </w:rPr>
            </w:pPr>
            <w:r>
              <w:rPr>
                <w:rFonts w:ascii="Arial" w:cs="Arial" w:eastAsia="Arial" w:hAnsi="Arial"/>
                <w:sz w:val="15"/>
                <w:szCs w:val="15"/>
                <w:color w:val="auto"/>
              </w:rPr>
              <w:t>—</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(1)  Based on the closing price of our Class A common stock on the NYSE on the date of vesting.</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Potential Payments on Termination or Change of Control</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008861"/>
        </w:rPr>
        <w:t>TERMINATION/CHANGE OF CONTROL COMPENSATION TABLE</w:t>
      </w:r>
    </w:p>
    <w:p>
      <w:pPr>
        <w:spacing w:after="0" w:line="199"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following table shows the potential payments to our NEOs (other than Mr. Wu) upon a termination of employment without cause or for good reason, upon a change of control of DigitalBridge and upon the death or disability of the executive officer based on agreements and plans in effect as of December 31, 2024.</w:t>
      </w:r>
    </w:p>
    <w:p>
      <w:pPr>
        <w:spacing w:after="0" w:line="16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types of events constituting cause, good reason, disability and a change of control differed in some respects among the different arrangements providing for benefits to the NEOs; however, for consistency in presentation, our executive compensation arrangements have been grouped together based on these concepts without regard for any such differences. Our NEOs were not entitled to any payments if they were terminated for cause or resigned without good reason. In preparing the tables below, we assumed the applicable event (i.e., termination, change of control or death or disability) occurred on December 31, 2024.</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340"/>
          </w:cols>
          <w:pgMar w:left="1200" w:top="487" w:right="135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5800"/>
        <w:spacing w:after="0"/>
        <w:rPr>
          <w:sz w:val="20"/>
          <w:szCs w:val="20"/>
          <w:color w:val="auto"/>
        </w:rPr>
      </w:pPr>
      <w:r>
        <w:rPr>
          <w:rFonts w:ascii="Arial" w:cs="Arial" w:eastAsia="Arial" w:hAnsi="Arial"/>
          <w:sz w:val="16"/>
          <w:szCs w:val="16"/>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60090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Market values of equity awards were determined by multiplying the applicable number of shares or units by $11.28, the per share closing price of our Class A common stock as of December 31, 2024.</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2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00" w:type="dxa"/>
            <w:vAlign w:val="bottom"/>
          </w:tcPr>
          <w:p>
            <w:pPr>
              <w:jc w:val="center"/>
              <w:ind w:left="33"/>
              <w:spacing w:after="0"/>
              <w:rPr>
                <w:sz w:val="20"/>
                <w:szCs w:val="20"/>
                <w:color w:val="auto"/>
              </w:rPr>
            </w:pPr>
            <w:r>
              <w:rPr>
                <w:rFonts w:ascii="Arial" w:cs="Arial" w:eastAsia="Arial" w:hAnsi="Arial"/>
                <w:sz w:val="13"/>
                <w:szCs w:val="13"/>
                <w:b w:val="1"/>
                <w:bCs w:val="1"/>
                <w:color w:val="001544"/>
              </w:rPr>
              <w:t>Termination</w:t>
            </w: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1"/>
        </w:trPr>
        <w:tc>
          <w:tcPr>
            <w:tcW w:w="2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00" w:type="dxa"/>
            <w:vAlign w:val="bottom"/>
          </w:tcPr>
          <w:p>
            <w:pPr>
              <w:jc w:val="center"/>
              <w:ind w:left="13"/>
              <w:spacing w:after="0"/>
              <w:rPr>
                <w:sz w:val="20"/>
                <w:szCs w:val="20"/>
                <w:color w:val="auto"/>
              </w:rPr>
            </w:pPr>
            <w:r>
              <w:rPr>
                <w:rFonts w:ascii="Arial" w:cs="Arial" w:eastAsia="Arial" w:hAnsi="Arial"/>
                <w:sz w:val="13"/>
                <w:szCs w:val="13"/>
                <w:b w:val="1"/>
                <w:bCs w:val="1"/>
                <w:color w:val="001544"/>
              </w:rPr>
              <w:t>Without Cause or</w:t>
            </w:r>
          </w:p>
        </w:tc>
        <w:tc>
          <w:tcPr>
            <w:tcW w:w="16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001544"/>
              </w:rPr>
              <w:t>Change of Control</w:t>
            </w:r>
          </w:p>
        </w:tc>
        <w:tc>
          <w:tcPr>
            <w:tcW w:w="1440" w:type="dxa"/>
            <w:vAlign w:val="bottom"/>
          </w:tcPr>
          <w:p>
            <w:pPr>
              <w:jc w:val="center"/>
              <w:ind w:left="93"/>
              <w:spacing w:after="0"/>
              <w:rPr>
                <w:sz w:val="20"/>
                <w:szCs w:val="20"/>
                <w:color w:val="auto"/>
              </w:rPr>
            </w:pPr>
            <w:r>
              <w:rPr>
                <w:rFonts w:ascii="Arial" w:cs="Arial" w:eastAsia="Arial" w:hAnsi="Arial"/>
                <w:sz w:val="13"/>
                <w:szCs w:val="13"/>
                <w:b w:val="1"/>
                <w:bCs w:val="1"/>
                <w:color w:val="001544"/>
              </w:rPr>
              <w:t>Change of Control</w:t>
            </w:r>
          </w:p>
        </w:tc>
        <w:tc>
          <w:tcPr>
            <w:tcW w:w="1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001544"/>
              </w:rPr>
              <w:t>Death or</w:t>
            </w:r>
          </w:p>
        </w:tc>
        <w:tc>
          <w:tcPr>
            <w:tcW w:w="180" w:type="dxa"/>
            <w:vAlign w:val="bottom"/>
          </w:tcPr>
          <w:p>
            <w:pPr>
              <w:spacing w:after="0"/>
              <w:rPr>
                <w:sz w:val="13"/>
                <w:szCs w:val="13"/>
                <w:color w:val="auto"/>
              </w:rPr>
            </w:pPr>
          </w:p>
        </w:tc>
      </w:tr>
      <w:tr>
        <w:trPr>
          <w:trHeight w:val="151"/>
        </w:trPr>
        <w:tc>
          <w:tcPr>
            <w:tcW w:w="2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00" w:type="dxa"/>
            <w:vAlign w:val="bottom"/>
          </w:tcPr>
          <w:p>
            <w:pPr>
              <w:jc w:val="center"/>
              <w:ind w:left="33"/>
              <w:spacing w:after="0"/>
              <w:rPr>
                <w:sz w:val="20"/>
                <w:szCs w:val="20"/>
                <w:color w:val="auto"/>
              </w:rPr>
            </w:pPr>
            <w:r>
              <w:rPr>
                <w:rFonts w:ascii="Arial" w:cs="Arial" w:eastAsia="Arial" w:hAnsi="Arial"/>
                <w:sz w:val="13"/>
                <w:szCs w:val="13"/>
                <w:b w:val="1"/>
                <w:bCs w:val="1"/>
                <w:color w:val="001544"/>
              </w:rPr>
              <w:t>for Good Reason</w:t>
            </w:r>
          </w:p>
        </w:tc>
        <w:tc>
          <w:tcPr>
            <w:tcW w:w="16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001544"/>
              </w:rPr>
              <w:t>Without Termination</w:t>
            </w:r>
          </w:p>
        </w:tc>
        <w:tc>
          <w:tcPr>
            <w:tcW w:w="1440" w:type="dxa"/>
            <w:vAlign w:val="bottom"/>
          </w:tcPr>
          <w:p>
            <w:pPr>
              <w:jc w:val="center"/>
              <w:ind w:left="93"/>
              <w:spacing w:after="0"/>
              <w:rPr>
                <w:sz w:val="20"/>
                <w:szCs w:val="20"/>
                <w:color w:val="auto"/>
              </w:rPr>
            </w:pPr>
            <w:r>
              <w:rPr>
                <w:rFonts w:ascii="Arial" w:cs="Arial" w:eastAsia="Arial" w:hAnsi="Arial"/>
                <w:sz w:val="13"/>
                <w:szCs w:val="13"/>
                <w:b w:val="1"/>
                <w:bCs w:val="1"/>
                <w:color w:val="001544"/>
              </w:rPr>
              <w:t>With Termination</w:t>
            </w:r>
          </w:p>
        </w:tc>
        <w:tc>
          <w:tcPr>
            <w:tcW w:w="1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001544"/>
              </w:rPr>
              <w:t>Disability</w:t>
            </w:r>
          </w:p>
        </w:tc>
        <w:tc>
          <w:tcPr>
            <w:tcW w:w="180" w:type="dxa"/>
            <w:vAlign w:val="bottom"/>
          </w:tcPr>
          <w:p>
            <w:pPr>
              <w:spacing w:after="0"/>
              <w:rPr>
                <w:sz w:val="13"/>
                <w:szCs w:val="13"/>
                <w:color w:val="auto"/>
              </w:rPr>
            </w:pPr>
          </w:p>
        </w:tc>
      </w:tr>
      <w:tr>
        <w:trPr>
          <w:trHeight w:val="185"/>
        </w:trPr>
        <w:tc>
          <w:tcPr>
            <w:tcW w:w="2100" w:type="dxa"/>
            <w:vAlign w:val="bottom"/>
          </w:tcPr>
          <w:p>
            <w:pPr>
              <w:ind w:left="100"/>
              <w:spacing w:after="0"/>
              <w:rPr>
                <w:sz w:val="20"/>
                <w:szCs w:val="20"/>
                <w:color w:val="auto"/>
              </w:rPr>
            </w:pPr>
            <w:r>
              <w:rPr>
                <w:rFonts w:ascii="Arial" w:cs="Arial" w:eastAsia="Arial" w:hAnsi="Arial"/>
                <w:sz w:val="13"/>
                <w:szCs w:val="13"/>
                <w:b w:val="1"/>
                <w:bCs w:val="1"/>
                <w:color w:val="001544"/>
              </w:rPr>
              <w:t>Name</w:t>
            </w:r>
          </w:p>
        </w:tc>
        <w:tc>
          <w:tcPr>
            <w:tcW w:w="1980" w:type="dxa"/>
            <w:vAlign w:val="bottom"/>
          </w:tcPr>
          <w:p>
            <w:pPr>
              <w:ind w:left="400"/>
              <w:spacing w:after="0"/>
              <w:rPr>
                <w:sz w:val="20"/>
                <w:szCs w:val="20"/>
                <w:color w:val="auto"/>
              </w:rPr>
            </w:pPr>
            <w:r>
              <w:rPr>
                <w:rFonts w:ascii="Arial" w:cs="Arial" w:eastAsia="Arial" w:hAnsi="Arial"/>
                <w:sz w:val="13"/>
                <w:szCs w:val="13"/>
                <w:b w:val="1"/>
                <w:bCs w:val="1"/>
                <w:color w:val="001544"/>
              </w:rPr>
              <w:t>Payments/Benefits</w:t>
            </w:r>
          </w:p>
        </w:tc>
        <w:tc>
          <w:tcPr>
            <w:tcW w:w="1300" w:type="dxa"/>
            <w:vAlign w:val="bottom"/>
          </w:tcPr>
          <w:p>
            <w:pPr>
              <w:jc w:val="center"/>
              <w:ind w:left="33"/>
              <w:spacing w:after="0"/>
              <w:rPr>
                <w:sz w:val="20"/>
                <w:szCs w:val="20"/>
                <w:color w:val="auto"/>
              </w:rPr>
            </w:pPr>
            <w:r>
              <w:rPr>
                <w:rFonts w:ascii="Arial" w:cs="Arial" w:eastAsia="Arial" w:hAnsi="Arial"/>
                <w:sz w:val="13"/>
                <w:szCs w:val="13"/>
                <w:b w:val="1"/>
                <w:bCs w:val="1"/>
                <w:color w:val="001544"/>
              </w:rPr>
              <w:t>($)</w:t>
            </w:r>
          </w:p>
        </w:tc>
        <w:tc>
          <w:tcPr>
            <w:tcW w:w="1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001544"/>
              </w:rPr>
              <w:t>($)</w:t>
            </w:r>
          </w:p>
        </w:tc>
        <w:tc>
          <w:tcPr>
            <w:tcW w:w="1440" w:type="dxa"/>
            <w:vAlign w:val="bottom"/>
          </w:tcPr>
          <w:p>
            <w:pPr>
              <w:jc w:val="center"/>
              <w:ind w:left="93"/>
              <w:spacing w:after="0"/>
              <w:rPr>
                <w:sz w:val="20"/>
                <w:szCs w:val="20"/>
                <w:color w:val="auto"/>
              </w:rPr>
            </w:pPr>
            <w:r>
              <w:rPr>
                <w:rFonts w:ascii="Arial" w:cs="Arial" w:eastAsia="Arial" w:hAnsi="Arial"/>
                <w:sz w:val="13"/>
                <w:szCs w:val="13"/>
                <w:b w:val="1"/>
                <w:bCs w:val="1"/>
                <w:color w:val="001544"/>
              </w:rPr>
              <w:t>($)</w:t>
            </w:r>
          </w:p>
        </w:tc>
        <w:tc>
          <w:tcPr>
            <w:tcW w:w="1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001544"/>
              </w:rPr>
              <w:t>($)</w:t>
            </w:r>
          </w:p>
        </w:tc>
        <w:tc>
          <w:tcPr>
            <w:tcW w:w="180" w:type="dxa"/>
            <w:vAlign w:val="bottom"/>
          </w:tcPr>
          <w:p>
            <w:pPr>
              <w:spacing w:after="0"/>
              <w:rPr>
                <w:sz w:val="16"/>
                <w:szCs w:val="16"/>
                <w:color w:val="auto"/>
              </w:rPr>
            </w:pPr>
          </w:p>
        </w:tc>
      </w:tr>
      <w:tr>
        <w:trPr>
          <w:trHeight w:val="25"/>
        </w:trPr>
        <w:tc>
          <w:tcPr>
            <w:tcW w:w="2100" w:type="dxa"/>
            <w:vAlign w:val="bottom"/>
            <w:tcBorders>
              <w:bottom w:val="single" w:sz="8" w:color="001544"/>
            </w:tcBorders>
          </w:tcPr>
          <w:p>
            <w:pPr>
              <w:spacing w:after="0"/>
              <w:rPr>
                <w:sz w:val="2"/>
                <w:szCs w:val="2"/>
                <w:color w:val="auto"/>
              </w:rPr>
            </w:pPr>
          </w:p>
        </w:tc>
        <w:tc>
          <w:tcPr>
            <w:tcW w:w="198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60" w:type="dxa"/>
            <w:vAlign w:val="bottom"/>
            <w:tcBorders>
              <w:bottom w:val="single" w:sz="8" w:color="001544"/>
            </w:tcBorders>
          </w:tcPr>
          <w:p>
            <w:pPr>
              <w:spacing w:after="0"/>
              <w:rPr>
                <w:sz w:val="2"/>
                <w:szCs w:val="2"/>
                <w:color w:val="auto"/>
              </w:rPr>
            </w:pPr>
          </w:p>
        </w:tc>
        <w:tc>
          <w:tcPr>
            <w:tcW w:w="1420" w:type="dxa"/>
            <w:vAlign w:val="bottom"/>
            <w:tcBorders>
              <w:bottom w:val="single" w:sz="8" w:color="001544"/>
            </w:tcBorders>
          </w:tcPr>
          <w:p>
            <w:pPr>
              <w:spacing w:after="0"/>
              <w:rPr>
                <w:sz w:val="2"/>
                <w:szCs w:val="2"/>
                <w:color w:val="auto"/>
              </w:rPr>
            </w:pPr>
          </w:p>
        </w:tc>
        <w:tc>
          <w:tcPr>
            <w:tcW w:w="1440" w:type="dxa"/>
            <w:vAlign w:val="bottom"/>
            <w:tcBorders>
              <w:bottom w:val="single" w:sz="8" w:color="001544"/>
            </w:tcBorders>
          </w:tcPr>
          <w:p>
            <w:pPr>
              <w:spacing w:after="0"/>
              <w:rPr>
                <w:sz w:val="2"/>
                <w:szCs w:val="2"/>
                <w:color w:val="auto"/>
              </w:rPr>
            </w:pPr>
          </w:p>
        </w:tc>
        <w:tc>
          <w:tcPr>
            <w:tcW w:w="180" w:type="dxa"/>
            <w:vAlign w:val="bottom"/>
            <w:tcBorders>
              <w:bottom w:val="single" w:sz="8" w:color="001544"/>
            </w:tcBorders>
          </w:tcPr>
          <w:p>
            <w:pPr>
              <w:spacing w:after="0"/>
              <w:rPr>
                <w:sz w:val="2"/>
                <w:szCs w:val="2"/>
                <w:color w:val="auto"/>
              </w:rPr>
            </w:pPr>
          </w:p>
        </w:tc>
        <w:tc>
          <w:tcPr>
            <w:tcW w:w="700" w:type="dxa"/>
            <w:vAlign w:val="bottom"/>
            <w:tcBorders>
              <w:bottom w:val="single" w:sz="8" w:color="001544"/>
            </w:tcBorders>
          </w:tcPr>
          <w:p>
            <w:pPr>
              <w:spacing w:after="0"/>
              <w:rPr>
                <w:sz w:val="2"/>
                <w:szCs w:val="2"/>
                <w:color w:val="auto"/>
              </w:rPr>
            </w:pPr>
          </w:p>
        </w:tc>
        <w:tc>
          <w:tcPr>
            <w:tcW w:w="180" w:type="dxa"/>
            <w:vAlign w:val="bottom"/>
            <w:tcBorders>
              <w:bottom w:val="single" w:sz="8" w:color="001544"/>
            </w:tcBorders>
          </w:tcPr>
          <w:p>
            <w:pPr>
              <w:spacing w:after="0"/>
              <w:rPr>
                <w:sz w:val="2"/>
                <w:szCs w:val="2"/>
                <w:color w:val="auto"/>
              </w:rPr>
            </w:pPr>
          </w:p>
        </w:tc>
      </w:tr>
      <w:tr>
        <w:trPr>
          <w:trHeight w:val="189"/>
        </w:trPr>
        <w:tc>
          <w:tcPr>
            <w:tcW w:w="210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3"/>
                <w:szCs w:val="13"/>
                <w:color w:val="auto"/>
              </w:rPr>
              <w:t>Marc C. Ganzi</w:t>
            </w:r>
          </w:p>
        </w:tc>
        <w:tc>
          <w:tcPr>
            <w:tcW w:w="1980" w:type="dxa"/>
            <w:vAlign w:val="bottom"/>
            <w:tcBorders>
              <w:bottom w:val="single" w:sz="8" w:color="008861"/>
            </w:tcBorders>
            <w:shd w:val="clear" w:color="auto" w:fill="DBDFEA"/>
          </w:tcPr>
          <w:p>
            <w:pPr>
              <w:spacing w:after="0"/>
              <w:rPr>
                <w:sz w:val="20"/>
                <w:szCs w:val="20"/>
                <w:color w:val="auto"/>
              </w:rPr>
            </w:pPr>
            <w:r>
              <w:rPr>
                <w:rFonts w:ascii="Arial" w:cs="Arial" w:eastAsia="Arial" w:hAnsi="Arial"/>
                <w:sz w:val="13"/>
                <w:szCs w:val="13"/>
                <w:color w:val="auto"/>
              </w:rPr>
              <w:t>Severance Payment</w:t>
            </w:r>
          </w:p>
        </w:tc>
        <w:tc>
          <w:tcPr>
            <w:tcW w:w="13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8,758,559</w:t>
            </w:r>
          </w:p>
        </w:tc>
        <w:tc>
          <w:tcPr>
            <w:tcW w:w="16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0"/>
                <w:szCs w:val="10"/>
                <w:color w:val="auto"/>
                <w:w w:val="81"/>
              </w:rPr>
              <w:t>(1)</w:t>
            </w:r>
          </w:p>
        </w:tc>
        <w:tc>
          <w:tcPr>
            <w:tcW w:w="142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8,758,559</w:t>
            </w:r>
          </w:p>
        </w:tc>
        <w:tc>
          <w:tcPr>
            <w:tcW w:w="1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0"/>
                <w:szCs w:val="10"/>
                <w:color w:val="auto"/>
                <w:w w:val="97"/>
              </w:rPr>
              <w:t>(1)</w:t>
            </w:r>
          </w:p>
        </w:tc>
        <w:tc>
          <w:tcPr>
            <w:tcW w:w="7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1,440,000</w:t>
            </w:r>
          </w:p>
        </w:tc>
        <w:tc>
          <w:tcPr>
            <w:tcW w:w="1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0"/>
                <w:szCs w:val="10"/>
                <w:color w:val="auto"/>
                <w:w w:val="97"/>
              </w:rPr>
              <w:t>(2)</w:t>
            </w:r>
          </w:p>
        </w:tc>
      </w:tr>
      <w:tr>
        <w:trPr>
          <w:trHeight w:val="181"/>
        </w:trPr>
        <w:tc>
          <w:tcPr>
            <w:tcW w:w="2100" w:type="dxa"/>
            <w:vAlign w:val="bottom"/>
            <w:tcBorders>
              <w:bottom w:val="single" w:sz="8" w:color="001544"/>
            </w:tcBorders>
            <w:shd w:val="clear" w:color="auto" w:fill="DBDFEA"/>
          </w:tcPr>
          <w:p>
            <w:pPr>
              <w:spacing w:after="0"/>
              <w:rPr>
                <w:sz w:val="15"/>
                <w:szCs w:val="15"/>
                <w:color w:val="auto"/>
              </w:rPr>
            </w:pPr>
          </w:p>
        </w:tc>
        <w:tc>
          <w:tcPr>
            <w:tcW w:w="1980" w:type="dxa"/>
            <w:vAlign w:val="bottom"/>
            <w:tcBorders>
              <w:bottom w:val="single" w:sz="8" w:color="001544"/>
            </w:tcBorders>
            <w:shd w:val="clear" w:color="auto" w:fill="DBDFEA"/>
          </w:tcPr>
          <w:p>
            <w:pPr>
              <w:spacing w:after="0"/>
              <w:rPr>
                <w:sz w:val="20"/>
                <w:szCs w:val="20"/>
                <w:color w:val="auto"/>
              </w:rPr>
            </w:pPr>
            <w:r>
              <w:rPr>
                <w:rFonts w:ascii="Arial" w:cs="Arial" w:eastAsia="Arial" w:hAnsi="Arial"/>
                <w:sz w:val="13"/>
                <w:szCs w:val="13"/>
                <w:color w:val="auto"/>
              </w:rPr>
              <w:t>Equity Award Acceleration</w:t>
            </w:r>
          </w:p>
        </w:tc>
        <w:tc>
          <w:tcPr>
            <w:tcW w:w="13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2,168,851</w:t>
            </w:r>
          </w:p>
        </w:tc>
        <w:tc>
          <w:tcPr>
            <w:tcW w:w="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0"/>
                <w:szCs w:val="10"/>
                <w:color w:val="auto"/>
                <w:w w:val="81"/>
              </w:rPr>
              <w:t>(3)</w:t>
            </w: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2,168,851</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2,168,851</w:t>
            </w:r>
          </w:p>
        </w:tc>
        <w:tc>
          <w:tcPr>
            <w:tcW w:w="180" w:type="dxa"/>
            <w:vAlign w:val="bottom"/>
            <w:tcBorders>
              <w:bottom w:val="single" w:sz="8" w:color="001544"/>
            </w:tcBorders>
            <w:shd w:val="clear" w:color="auto" w:fill="DBDFEA"/>
          </w:tcPr>
          <w:p>
            <w:pPr>
              <w:spacing w:after="0"/>
              <w:rPr>
                <w:sz w:val="15"/>
                <w:szCs w:val="15"/>
                <w:color w:val="auto"/>
              </w:rPr>
            </w:pPr>
          </w:p>
        </w:tc>
        <w:tc>
          <w:tcPr>
            <w:tcW w:w="7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2,168,851</w:t>
            </w:r>
          </w:p>
        </w:tc>
        <w:tc>
          <w:tcPr>
            <w:tcW w:w="1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0"/>
                <w:szCs w:val="10"/>
                <w:color w:val="auto"/>
                <w:w w:val="97"/>
              </w:rPr>
              <w:t>(3)</w:t>
            </w:r>
          </w:p>
        </w:tc>
      </w:tr>
      <w:tr>
        <w:trPr>
          <w:trHeight w:val="194"/>
        </w:trPr>
        <w:tc>
          <w:tcPr>
            <w:tcW w:w="210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3"/>
                <w:szCs w:val="13"/>
                <w:color w:val="auto"/>
              </w:rPr>
              <w:t>Benjamin J. Jenkins</w:t>
            </w:r>
          </w:p>
        </w:tc>
        <w:tc>
          <w:tcPr>
            <w:tcW w:w="1980" w:type="dxa"/>
            <w:vAlign w:val="bottom"/>
            <w:tcBorders>
              <w:bottom w:val="single" w:sz="8" w:color="008861"/>
            </w:tcBorders>
            <w:shd w:val="clear" w:color="auto" w:fill="DBDFEA"/>
          </w:tcPr>
          <w:p>
            <w:pPr>
              <w:spacing w:after="0"/>
              <w:rPr>
                <w:sz w:val="20"/>
                <w:szCs w:val="20"/>
                <w:color w:val="auto"/>
              </w:rPr>
            </w:pPr>
            <w:r>
              <w:rPr>
                <w:rFonts w:ascii="Arial" w:cs="Arial" w:eastAsia="Arial" w:hAnsi="Arial"/>
                <w:sz w:val="13"/>
                <w:szCs w:val="13"/>
                <w:color w:val="auto"/>
              </w:rPr>
              <w:t>Severance Payment</w:t>
            </w:r>
          </w:p>
        </w:tc>
        <w:tc>
          <w:tcPr>
            <w:tcW w:w="13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3,059,532</w:t>
            </w:r>
          </w:p>
        </w:tc>
        <w:tc>
          <w:tcPr>
            <w:tcW w:w="16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0"/>
                <w:szCs w:val="10"/>
                <w:color w:val="auto"/>
                <w:w w:val="81"/>
              </w:rPr>
              <w:t>(1)</w:t>
            </w:r>
          </w:p>
        </w:tc>
        <w:tc>
          <w:tcPr>
            <w:tcW w:w="142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3,059,532</w:t>
            </w:r>
          </w:p>
        </w:tc>
        <w:tc>
          <w:tcPr>
            <w:tcW w:w="1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0"/>
                <w:szCs w:val="10"/>
                <w:color w:val="auto"/>
                <w:w w:val="97"/>
              </w:rPr>
              <w:t>(1)</w:t>
            </w:r>
          </w:p>
        </w:tc>
        <w:tc>
          <w:tcPr>
            <w:tcW w:w="7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700,000</w:t>
            </w:r>
          </w:p>
        </w:tc>
        <w:tc>
          <w:tcPr>
            <w:tcW w:w="1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0"/>
                <w:szCs w:val="10"/>
                <w:color w:val="auto"/>
                <w:w w:val="97"/>
              </w:rPr>
              <w:t>(2)</w:t>
            </w:r>
          </w:p>
        </w:tc>
      </w:tr>
      <w:tr>
        <w:trPr>
          <w:trHeight w:val="181"/>
        </w:trPr>
        <w:tc>
          <w:tcPr>
            <w:tcW w:w="2100" w:type="dxa"/>
            <w:vAlign w:val="bottom"/>
            <w:tcBorders>
              <w:bottom w:val="single" w:sz="8" w:color="001544"/>
            </w:tcBorders>
            <w:shd w:val="clear" w:color="auto" w:fill="DBDFEA"/>
          </w:tcPr>
          <w:p>
            <w:pPr>
              <w:spacing w:after="0"/>
              <w:rPr>
                <w:sz w:val="15"/>
                <w:szCs w:val="15"/>
                <w:color w:val="auto"/>
              </w:rPr>
            </w:pPr>
          </w:p>
        </w:tc>
        <w:tc>
          <w:tcPr>
            <w:tcW w:w="1980" w:type="dxa"/>
            <w:vAlign w:val="bottom"/>
            <w:tcBorders>
              <w:bottom w:val="single" w:sz="8" w:color="001544"/>
            </w:tcBorders>
            <w:shd w:val="clear" w:color="auto" w:fill="DBDFEA"/>
          </w:tcPr>
          <w:p>
            <w:pPr>
              <w:spacing w:after="0"/>
              <w:rPr>
                <w:sz w:val="20"/>
                <w:szCs w:val="20"/>
                <w:color w:val="auto"/>
              </w:rPr>
            </w:pPr>
            <w:r>
              <w:rPr>
                <w:rFonts w:ascii="Arial" w:cs="Arial" w:eastAsia="Arial" w:hAnsi="Arial"/>
                <w:sz w:val="13"/>
                <w:szCs w:val="13"/>
                <w:color w:val="auto"/>
              </w:rPr>
              <w:t>Equity Award Acceleration</w:t>
            </w:r>
          </w:p>
        </w:tc>
        <w:tc>
          <w:tcPr>
            <w:tcW w:w="13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1,055,176</w:t>
            </w:r>
          </w:p>
        </w:tc>
        <w:tc>
          <w:tcPr>
            <w:tcW w:w="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0"/>
                <w:szCs w:val="10"/>
                <w:color w:val="auto"/>
                <w:w w:val="81"/>
              </w:rPr>
              <w:t>(3)</w:t>
            </w: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1,055,176</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1,055,176</w:t>
            </w:r>
          </w:p>
        </w:tc>
        <w:tc>
          <w:tcPr>
            <w:tcW w:w="180" w:type="dxa"/>
            <w:vAlign w:val="bottom"/>
            <w:tcBorders>
              <w:bottom w:val="single" w:sz="8" w:color="001544"/>
            </w:tcBorders>
            <w:shd w:val="clear" w:color="auto" w:fill="DBDFEA"/>
          </w:tcPr>
          <w:p>
            <w:pPr>
              <w:spacing w:after="0"/>
              <w:rPr>
                <w:sz w:val="15"/>
                <w:szCs w:val="15"/>
                <w:color w:val="auto"/>
              </w:rPr>
            </w:pPr>
          </w:p>
        </w:tc>
        <w:tc>
          <w:tcPr>
            <w:tcW w:w="7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1,055,176</w:t>
            </w:r>
          </w:p>
        </w:tc>
        <w:tc>
          <w:tcPr>
            <w:tcW w:w="1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0"/>
                <w:szCs w:val="10"/>
                <w:color w:val="auto"/>
                <w:w w:val="97"/>
              </w:rPr>
              <w:t>(3)</w:t>
            </w:r>
          </w:p>
        </w:tc>
      </w:tr>
      <w:tr>
        <w:trPr>
          <w:trHeight w:val="194"/>
        </w:trPr>
        <w:tc>
          <w:tcPr>
            <w:tcW w:w="210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3"/>
                <w:szCs w:val="13"/>
                <w:color w:val="auto"/>
              </w:rPr>
              <w:t>Thomas Mayrhofer</w:t>
            </w:r>
          </w:p>
        </w:tc>
        <w:tc>
          <w:tcPr>
            <w:tcW w:w="1980" w:type="dxa"/>
            <w:vAlign w:val="bottom"/>
            <w:tcBorders>
              <w:bottom w:val="single" w:sz="8" w:color="008861"/>
            </w:tcBorders>
            <w:shd w:val="clear" w:color="auto" w:fill="DBDFEA"/>
          </w:tcPr>
          <w:p>
            <w:pPr>
              <w:spacing w:after="0"/>
              <w:rPr>
                <w:sz w:val="20"/>
                <w:szCs w:val="20"/>
                <w:color w:val="auto"/>
              </w:rPr>
            </w:pPr>
            <w:r>
              <w:rPr>
                <w:rFonts w:ascii="Arial" w:cs="Arial" w:eastAsia="Arial" w:hAnsi="Arial"/>
                <w:sz w:val="13"/>
                <w:szCs w:val="13"/>
                <w:color w:val="auto"/>
              </w:rPr>
              <w:t>Severance Payment</w:t>
            </w:r>
          </w:p>
        </w:tc>
        <w:tc>
          <w:tcPr>
            <w:tcW w:w="13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3,037,165</w:t>
            </w:r>
          </w:p>
        </w:tc>
        <w:tc>
          <w:tcPr>
            <w:tcW w:w="16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0"/>
                <w:szCs w:val="10"/>
                <w:color w:val="auto"/>
                <w:w w:val="81"/>
              </w:rPr>
              <w:t>(1)</w:t>
            </w:r>
          </w:p>
        </w:tc>
        <w:tc>
          <w:tcPr>
            <w:tcW w:w="142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3,037,165</w:t>
            </w:r>
          </w:p>
        </w:tc>
        <w:tc>
          <w:tcPr>
            <w:tcW w:w="1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0"/>
                <w:szCs w:val="10"/>
                <w:color w:val="auto"/>
                <w:w w:val="97"/>
              </w:rPr>
              <w:t>(1)</w:t>
            </w:r>
          </w:p>
        </w:tc>
        <w:tc>
          <w:tcPr>
            <w:tcW w:w="7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1,100,000</w:t>
            </w:r>
          </w:p>
        </w:tc>
        <w:tc>
          <w:tcPr>
            <w:tcW w:w="1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0"/>
                <w:szCs w:val="10"/>
                <w:color w:val="auto"/>
                <w:w w:val="97"/>
              </w:rPr>
              <w:t>(2)</w:t>
            </w:r>
          </w:p>
        </w:tc>
      </w:tr>
      <w:tr>
        <w:trPr>
          <w:trHeight w:val="181"/>
        </w:trPr>
        <w:tc>
          <w:tcPr>
            <w:tcW w:w="2100" w:type="dxa"/>
            <w:vAlign w:val="bottom"/>
            <w:tcBorders>
              <w:bottom w:val="single" w:sz="8" w:color="001544"/>
            </w:tcBorders>
            <w:shd w:val="clear" w:color="auto" w:fill="DBDFEA"/>
          </w:tcPr>
          <w:p>
            <w:pPr>
              <w:spacing w:after="0"/>
              <w:rPr>
                <w:sz w:val="15"/>
                <w:szCs w:val="15"/>
                <w:color w:val="auto"/>
              </w:rPr>
            </w:pPr>
          </w:p>
        </w:tc>
        <w:tc>
          <w:tcPr>
            <w:tcW w:w="1980" w:type="dxa"/>
            <w:vAlign w:val="bottom"/>
            <w:tcBorders>
              <w:bottom w:val="single" w:sz="8" w:color="001544"/>
            </w:tcBorders>
            <w:shd w:val="clear" w:color="auto" w:fill="DBDFEA"/>
          </w:tcPr>
          <w:p>
            <w:pPr>
              <w:spacing w:after="0"/>
              <w:rPr>
                <w:sz w:val="20"/>
                <w:szCs w:val="20"/>
                <w:color w:val="auto"/>
              </w:rPr>
            </w:pPr>
            <w:r>
              <w:rPr>
                <w:rFonts w:ascii="Arial" w:cs="Arial" w:eastAsia="Arial" w:hAnsi="Arial"/>
                <w:sz w:val="13"/>
                <w:szCs w:val="13"/>
                <w:color w:val="auto"/>
              </w:rPr>
              <w:t>Equity Award Acceleration</w:t>
            </w:r>
          </w:p>
        </w:tc>
        <w:tc>
          <w:tcPr>
            <w:tcW w:w="13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1,072,491</w:t>
            </w:r>
          </w:p>
        </w:tc>
        <w:tc>
          <w:tcPr>
            <w:tcW w:w="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0"/>
                <w:szCs w:val="10"/>
                <w:color w:val="auto"/>
                <w:w w:val="81"/>
              </w:rPr>
              <w:t>(3)</w:t>
            </w: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1,072,491</w:t>
            </w:r>
          </w:p>
        </w:tc>
        <w:tc>
          <w:tcPr>
            <w:tcW w:w="180" w:type="dxa"/>
            <w:vAlign w:val="bottom"/>
            <w:tcBorders>
              <w:bottom w:val="single" w:sz="8" w:color="001544"/>
            </w:tcBorders>
            <w:shd w:val="clear" w:color="auto" w:fill="DBDFEA"/>
          </w:tcPr>
          <w:p>
            <w:pPr>
              <w:spacing w:after="0"/>
              <w:rPr>
                <w:sz w:val="15"/>
                <w:szCs w:val="15"/>
                <w:color w:val="auto"/>
              </w:rPr>
            </w:pPr>
          </w:p>
        </w:tc>
        <w:tc>
          <w:tcPr>
            <w:tcW w:w="7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1,072,491</w:t>
            </w:r>
          </w:p>
        </w:tc>
        <w:tc>
          <w:tcPr>
            <w:tcW w:w="1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0"/>
                <w:szCs w:val="10"/>
                <w:color w:val="auto"/>
                <w:w w:val="97"/>
              </w:rPr>
              <w:t>(3)</w:t>
            </w:r>
          </w:p>
        </w:tc>
      </w:tr>
      <w:tr>
        <w:trPr>
          <w:trHeight w:val="194"/>
        </w:trPr>
        <w:tc>
          <w:tcPr>
            <w:tcW w:w="210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3"/>
                <w:szCs w:val="13"/>
                <w:color w:val="auto"/>
              </w:rPr>
              <w:t>Geoffrey Goldschein</w:t>
            </w:r>
          </w:p>
        </w:tc>
        <w:tc>
          <w:tcPr>
            <w:tcW w:w="1980" w:type="dxa"/>
            <w:vAlign w:val="bottom"/>
            <w:tcBorders>
              <w:bottom w:val="single" w:sz="8" w:color="008861"/>
            </w:tcBorders>
            <w:shd w:val="clear" w:color="auto" w:fill="DBDFEA"/>
          </w:tcPr>
          <w:p>
            <w:pPr>
              <w:spacing w:after="0"/>
              <w:rPr>
                <w:sz w:val="20"/>
                <w:szCs w:val="20"/>
                <w:color w:val="auto"/>
              </w:rPr>
            </w:pPr>
            <w:r>
              <w:rPr>
                <w:rFonts w:ascii="Arial" w:cs="Arial" w:eastAsia="Arial" w:hAnsi="Arial"/>
                <w:sz w:val="13"/>
                <w:szCs w:val="13"/>
                <w:color w:val="auto"/>
              </w:rPr>
              <w:t>Severance Payment</w:t>
            </w:r>
          </w:p>
        </w:tc>
        <w:tc>
          <w:tcPr>
            <w:tcW w:w="13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3,428,246</w:t>
            </w:r>
          </w:p>
        </w:tc>
        <w:tc>
          <w:tcPr>
            <w:tcW w:w="16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0"/>
                <w:szCs w:val="10"/>
                <w:color w:val="auto"/>
                <w:w w:val="81"/>
              </w:rPr>
              <w:t>(1)</w:t>
            </w:r>
          </w:p>
        </w:tc>
        <w:tc>
          <w:tcPr>
            <w:tcW w:w="142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3,428,246</w:t>
            </w:r>
          </w:p>
        </w:tc>
        <w:tc>
          <w:tcPr>
            <w:tcW w:w="1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0"/>
                <w:szCs w:val="10"/>
                <w:color w:val="auto"/>
                <w:w w:val="97"/>
              </w:rPr>
              <w:t>(1)</w:t>
            </w:r>
          </w:p>
        </w:tc>
        <w:tc>
          <w:tcPr>
            <w:tcW w:w="7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725,000</w:t>
            </w:r>
          </w:p>
        </w:tc>
        <w:tc>
          <w:tcPr>
            <w:tcW w:w="1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0"/>
                <w:szCs w:val="10"/>
                <w:color w:val="auto"/>
                <w:w w:val="97"/>
              </w:rPr>
              <w:t>(2)</w:t>
            </w:r>
          </w:p>
        </w:tc>
      </w:tr>
      <w:tr>
        <w:trPr>
          <w:trHeight w:val="181"/>
        </w:trPr>
        <w:tc>
          <w:tcPr>
            <w:tcW w:w="2100" w:type="dxa"/>
            <w:vAlign w:val="bottom"/>
            <w:tcBorders>
              <w:bottom w:val="single" w:sz="8" w:color="001544"/>
            </w:tcBorders>
            <w:shd w:val="clear" w:color="auto" w:fill="DBDFEA"/>
          </w:tcPr>
          <w:p>
            <w:pPr>
              <w:spacing w:after="0"/>
              <w:rPr>
                <w:sz w:val="15"/>
                <w:szCs w:val="15"/>
                <w:color w:val="auto"/>
              </w:rPr>
            </w:pPr>
          </w:p>
        </w:tc>
        <w:tc>
          <w:tcPr>
            <w:tcW w:w="1980" w:type="dxa"/>
            <w:vAlign w:val="bottom"/>
            <w:tcBorders>
              <w:bottom w:val="single" w:sz="8" w:color="001544"/>
            </w:tcBorders>
            <w:shd w:val="clear" w:color="auto" w:fill="DBDFEA"/>
          </w:tcPr>
          <w:p>
            <w:pPr>
              <w:spacing w:after="0"/>
              <w:rPr>
                <w:sz w:val="20"/>
                <w:szCs w:val="20"/>
                <w:color w:val="auto"/>
              </w:rPr>
            </w:pPr>
            <w:r>
              <w:rPr>
                <w:rFonts w:ascii="Arial" w:cs="Arial" w:eastAsia="Arial" w:hAnsi="Arial"/>
                <w:sz w:val="13"/>
                <w:szCs w:val="13"/>
                <w:color w:val="auto"/>
              </w:rPr>
              <w:t>Equity Award Acceleration</w:t>
            </w:r>
          </w:p>
        </w:tc>
        <w:tc>
          <w:tcPr>
            <w:tcW w:w="13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684,459</w:t>
            </w:r>
          </w:p>
        </w:tc>
        <w:tc>
          <w:tcPr>
            <w:tcW w:w="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0"/>
                <w:szCs w:val="10"/>
                <w:color w:val="auto"/>
                <w:w w:val="81"/>
              </w:rPr>
              <w:t>(3)</w:t>
            </w: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684,459</w:t>
            </w:r>
          </w:p>
        </w:tc>
        <w:tc>
          <w:tcPr>
            <w:tcW w:w="180" w:type="dxa"/>
            <w:vAlign w:val="bottom"/>
            <w:tcBorders>
              <w:bottom w:val="single" w:sz="8" w:color="001544"/>
            </w:tcBorders>
            <w:shd w:val="clear" w:color="auto" w:fill="DBDFEA"/>
          </w:tcPr>
          <w:p>
            <w:pPr>
              <w:spacing w:after="0"/>
              <w:rPr>
                <w:sz w:val="15"/>
                <w:szCs w:val="15"/>
                <w:color w:val="auto"/>
              </w:rPr>
            </w:pPr>
          </w:p>
        </w:tc>
        <w:tc>
          <w:tcPr>
            <w:tcW w:w="7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684,459</w:t>
            </w:r>
          </w:p>
        </w:tc>
        <w:tc>
          <w:tcPr>
            <w:tcW w:w="1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0"/>
                <w:szCs w:val="10"/>
                <w:color w:val="auto"/>
                <w:w w:val="97"/>
              </w:rPr>
              <w:t>(3)</w:t>
            </w:r>
          </w:p>
        </w:tc>
      </w:tr>
      <w:tr>
        <w:trPr>
          <w:trHeight w:val="194"/>
        </w:trPr>
        <w:tc>
          <w:tcPr>
            <w:tcW w:w="210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3"/>
                <w:szCs w:val="13"/>
                <w:color w:val="auto"/>
              </w:rPr>
              <w:t>Liam Stewart</w:t>
            </w:r>
          </w:p>
        </w:tc>
        <w:tc>
          <w:tcPr>
            <w:tcW w:w="1980" w:type="dxa"/>
            <w:vAlign w:val="bottom"/>
            <w:tcBorders>
              <w:bottom w:val="single" w:sz="8" w:color="008861"/>
            </w:tcBorders>
            <w:shd w:val="clear" w:color="auto" w:fill="DBDFEA"/>
          </w:tcPr>
          <w:p>
            <w:pPr>
              <w:spacing w:after="0"/>
              <w:rPr>
                <w:sz w:val="20"/>
                <w:szCs w:val="20"/>
                <w:color w:val="auto"/>
              </w:rPr>
            </w:pPr>
            <w:r>
              <w:rPr>
                <w:rFonts w:ascii="Arial" w:cs="Arial" w:eastAsia="Arial" w:hAnsi="Arial"/>
                <w:sz w:val="13"/>
                <w:szCs w:val="13"/>
                <w:color w:val="auto"/>
              </w:rPr>
              <w:t>Severance Payment</w:t>
            </w:r>
          </w:p>
        </w:tc>
        <w:tc>
          <w:tcPr>
            <w:tcW w:w="13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3,106,645</w:t>
            </w:r>
          </w:p>
        </w:tc>
        <w:tc>
          <w:tcPr>
            <w:tcW w:w="16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0"/>
                <w:szCs w:val="10"/>
                <w:color w:val="auto"/>
                <w:w w:val="81"/>
              </w:rPr>
              <w:t>(1)</w:t>
            </w:r>
          </w:p>
        </w:tc>
        <w:tc>
          <w:tcPr>
            <w:tcW w:w="142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3,106,645</w:t>
            </w:r>
          </w:p>
        </w:tc>
        <w:tc>
          <w:tcPr>
            <w:tcW w:w="1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0"/>
                <w:szCs w:val="10"/>
                <w:color w:val="auto"/>
                <w:w w:val="97"/>
              </w:rPr>
              <w:t>(1)</w:t>
            </w:r>
          </w:p>
        </w:tc>
        <w:tc>
          <w:tcPr>
            <w:tcW w:w="7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765,000</w:t>
            </w:r>
          </w:p>
        </w:tc>
        <w:tc>
          <w:tcPr>
            <w:tcW w:w="1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0"/>
                <w:szCs w:val="10"/>
                <w:color w:val="auto"/>
                <w:w w:val="97"/>
              </w:rPr>
              <w:t>(2)</w:t>
            </w:r>
          </w:p>
        </w:tc>
      </w:tr>
      <w:tr>
        <w:trPr>
          <w:trHeight w:val="181"/>
        </w:trPr>
        <w:tc>
          <w:tcPr>
            <w:tcW w:w="2100" w:type="dxa"/>
            <w:vAlign w:val="bottom"/>
            <w:tcBorders>
              <w:bottom w:val="single" w:sz="8" w:color="001544"/>
            </w:tcBorders>
            <w:shd w:val="clear" w:color="auto" w:fill="DBDFEA"/>
          </w:tcPr>
          <w:p>
            <w:pPr>
              <w:spacing w:after="0"/>
              <w:rPr>
                <w:sz w:val="15"/>
                <w:szCs w:val="15"/>
                <w:color w:val="auto"/>
              </w:rPr>
            </w:pPr>
          </w:p>
        </w:tc>
        <w:tc>
          <w:tcPr>
            <w:tcW w:w="1980" w:type="dxa"/>
            <w:vAlign w:val="bottom"/>
            <w:tcBorders>
              <w:bottom w:val="single" w:sz="8" w:color="001544"/>
            </w:tcBorders>
            <w:shd w:val="clear" w:color="auto" w:fill="DBDFEA"/>
          </w:tcPr>
          <w:p>
            <w:pPr>
              <w:spacing w:after="0"/>
              <w:rPr>
                <w:sz w:val="20"/>
                <w:szCs w:val="20"/>
                <w:color w:val="auto"/>
              </w:rPr>
            </w:pPr>
            <w:r>
              <w:rPr>
                <w:rFonts w:ascii="Arial" w:cs="Arial" w:eastAsia="Arial" w:hAnsi="Arial"/>
                <w:sz w:val="13"/>
                <w:szCs w:val="13"/>
                <w:color w:val="auto"/>
              </w:rPr>
              <w:t>Equity Award Acceleration</w:t>
            </w:r>
          </w:p>
        </w:tc>
        <w:tc>
          <w:tcPr>
            <w:tcW w:w="13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1,154,846</w:t>
            </w:r>
          </w:p>
        </w:tc>
        <w:tc>
          <w:tcPr>
            <w:tcW w:w="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0"/>
                <w:szCs w:val="10"/>
                <w:color w:val="auto"/>
                <w:w w:val="81"/>
              </w:rPr>
              <w:t>(3)</w:t>
            </w: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1,154,846</w:t>
            </w:r>
          </w:p>
        </w:tc>
        <w:tc>
          <w:tcPr>
            <w:tcW w:w="180" w:type="dxa"/>
            <w:vAlign w:val="bottom"/>
            <w:tcBorders>
              <w:bottom w:val="single" w:sz="8" w:color="001544"/>
            </w:tcBorders>
            <w:shd w:val="clear" w:color="auto" w:fill="DBDFEA"/>
          </w:tcPr>
          <w:p>
            <w:pPr>
              <w:spacing w:after="0"/>
              <w:rPr>
                <w:sz w:val="15"/>
                <w:szCs w:val="15"/>
                <w:color w:val="auto"/>
              </w:rPr>
            </w:pPr>
          </w:p>
        </w:tc>
        <w:tc>
          <w:tcPr>
            <w:tcW w:w="7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1,154,846</w:t>
            </w:r>
          </w:p>
        </w:tc>
        <w:tc>
          <w:tcPr>
            <w:tcW w:w="1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0"/>
                <w:szCs w:val="10"/>
                <w:color w:val="auto"/>
                <w:w w:val="97"/>
              </w:rPr>
              <w:t>(3)</w:t>
            </w:r>
          </w:p>
        </w:tc>
      </w:tr>
    </w:tbl>
    <w:p>
      <w:pPr>
        <w:spacing w:after="0" w:line="63" w:lineRule="exact"/>
        <w:rPr>
          <w:sz w:val="20"/>
          <w:szCs w:val="20"/>
          <w:color w:val="auto"/>
        </w:rPr>
      </w:pPr>
    </w:p>
    <w:p>
      <w:pPr>
        <w:ind w:left="300" w:right="80" w:hanging="293"/>
        <w:spacing w:after="0" w:line="249" w:lineRule="auto"/>
        <w:tabs>
          <w:tab w:leader="none" w:pos="3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Pursuant to the employment agreements discussed under “Employment Agreements,” represents (i) a lump sum cash payment equal to one times, for Mr. Mayrhofer, two times, for Messrs. Jenkins, Goldschein and Stewart, or three times, for Mr. Ganzi the sum of the executive’s average base salary and the target bonus in effect, (ii) lump sum payment of any unpaid bonus for 2023, if any, (iii) the lump sum pro-rata target bonus for the effective period of employment for the year ended December 31, 2024, assuming the bonus was not paid in calendar year 2024, (iv) continued medical, dental and vision benefits at active employee rates for 24 months and (v) the continuation of certain benefits for 24 months following termination, but excludes any perquisites and other personal benefits or property, if any, with an aggregate value less than $10,000. For Mr. Ganzi, also includes the continued use of his office and the services of a personal assistant, in each case, commensurate with those provided prior to the date of termination, for 18 months following termination.</w:t>
      </w:r>
    </w:p>
    <w:p>
      <w:pPr>
        <w:spacing w:after="0" w:line="38" w:lineRule="exact"/>
        <w:rPr>
          <w:rFonts w:ascii="Arial" w:cs="Arial" w:eastAsia="Arial" w:hAnsi="Arial"/>
          <w:sz w:val="15"/>
          <w:szCs w:val="15"/>
          <w:color w:val="auto"/>
        </w:rPr>
      </w:pPr>
    </w:p>
    <w:p>
      <w:pPr>
        <w:ind w:left="300" w:right="60" w:hanging="293"/>
        <w:spacing w:after="0" w:line="253" w:lineRule="auto"/>
        <w:tabs>
          <w:tab w:leader="none" w:pos="3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Pursuant to the employment agreements discussed under “Employment Agreements,” represents (i) any unpaid bonus for 2023, if any, and (ii) the pro-rata target bonus for the effective period of employment for the year ended December 31, 2024, assuming the bonus was not paid in calendar year 2024, in either case, which is payable in lump sum by the Company upon termination of the NEO’s employment by us due to their death or disability. For purposes of the employment agreements, “disability” is defined as physical or mental incapacity that substantially prevents the NEO from performing their duties and that has continued for at least 180 consecutive days.</w:t>
      </w:r>
    </w:p>
    <w:p>
      <w:pPr>
        <w:spacing w:after="0" w:line="45" w:lineRule="exact"/>
        <w:rPr>
          <w:rFonts w:ascii="Arial" w:cs="Arial" w:eastAsia="Arial" w:hAnsi="Arial"/>
          <w:sz w:val="15"/>
          <w:szCs w:val="15"/>
          <w:color w:val="auto"/>
        </w:rPr>
      </w:pPr>
    </w:p>
    <w:p>
      <w:pPr>
        <w:ind w:left="300" w:right="120" w:hanging="293"/>
        <w:spacing w:after="0" w:line="249" w:lineRule="auto"/>
        <w:tabs>
          <w:tab w:leader="none" w:pos="3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Pursuant to the employment agreements discussed under “Employment Agreements,” represents the value of all equity awards of the Company that would fully vest upon termination of the NEO’s employment by us without cause, by the NEO with good reason or upon death or disability. Amount excludes the value of performance-based restricted stock units, which are subject to performance-based conditions over a three-year period ending March 14, 2025, March 14, 2026 and December 31, 2026. Following the conclusion of the performance period of the performance-based restricted stock units, the NEO (excluding Mr. Mayrhofer) would be entitled to the number of units (with a potential payout percentage between zero and 200% for the units subject to the performance period ending March 14, 2025, March 14, 2026 and December 31, 2026) that would have been earned had the NEO been an employee of the Company at such time. In addition, amounts exclude carried interests, which are subject to achievement of minimum return hurdles in accordance with the terms set out in the respective governing agreements for the Company’s managed private funds and other investment vehicles.</w:t>
      </w:r>
    </w:p>
    <w:p>
      <w:pPr>
        <w:spacing w:after="0" w:line="3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tables above do not include payments and benefits to the extent we generally provide them on a non- discriminatory basis to salaried employees upon termination of employment, including: (i) life insurance upon death in the amount of two times the employee’s annual salary but not exceeding a total of $750,000; and (ii) disability benefits. As a result of provisions in each of our NEOs’ employment agreements, in the event that any payment or benefit to be paid or provided to such an executive set forth above would have been subject to the excise tax under Section 4999 of the Code, the payments and benefits to such executive would have been reduced to the extent necessary to avoid the imposition of such excise tax, but only if such reduction would result in a greater after-tax benefit to the executive. The amounts set forth in the table above have not been adjusted to reflect any such reduction that might be applicable.</w:t>
      </w:r>
    </w:p>
    <w:p>
      <w:pPr>
        <w:spacing w:after="0" w:line="17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Effective June 30, 2024, Jacky Wu ceased to serve as an officer of the Company. As described under “Employment Agreements—Employment Agreements with Other Named Executive Officers—Jacky Wu”, Mr.</w:t>
      </w:r>
    </w:p>
    <w:p>
      <w:pPr>
        <w:spacing w:after="0" w:line="34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9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Wu received a stay bonus of $3,100,000 pursuant to the expiration of his prior employment agreement that was paid in January 2024 and received a pro-rated cash bonus in respect of his service as an employee from January 1, 2024 through June 30, 2024 of $450,000 that was paid in July 2024. Following the expiration of his employment, Mr. Wu served as a consultant to the Company from June 30, 2024 through December 31, 2024 and received $360,000 as compensation for such consulting services. In addition, pursuant to his final employment agreement, all of Mr. Wu’s outstanding equity awards remain outstanding and shall continue to vest based on the existing vesting schedule and level of actual achievement of performance goals or metrics, as applicable, and Mr. Wu became entitled to receipt of his 2024 LTIP (defined below) in January 2025.</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Employment Agreements</w:t>
      </w:r>
    </w:p>
    <w:p>
      <w:pPr>
        <w:spacing w:after="0" w:line="218" w:lineRule="exact"/>
        <w:rPr>
          <w:sz w:val="20"/>
          <w:szCs w:val="20"/>
          <w:color w:val="auto"/>
        </w:rPr>
      </w:pPr>
    </w:p>
    <w:p>
      <w:pPr>
        <w:ind w:right="320"/>
        <w:spacing w:after="0" w:line="242" w:lineRule="auto"/>
        <w:rPr>
          <w:sz w:val="20"/>
          <w:szCs w:val="20"/>
          <w:color w:val="auto"/>
        </w:rPr>
      </w:pPr>
      <w:r>
        <w:rPr>
          <w:rFonts w:ascii="Arial" w:cs="Arial" w:eastAsia="Arial" w:hAnsi="Arial"/>
          <w:sz w:val="18"/>
          <w:szCs w:val="18"/>
          <w:color w:val="auto"/>
        </w:rPr>
        <w:t>The Company has employment agreements with Messrs. Ganzi, Jenkins, Mayrhofer, Goldschein and Stewart and previously had an employment agreement with Mr. Wu which set forth the terms and conditions of their roles with, and their oversight and management of the day-to-day business operations of, the Company. Below is a summary of the terms of these employment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008861"/>
        </w:rPr>
        <w:t>EMPLOYMENT AGREEMENT WITH MARC C. GANZI</w:t>
      </w:r>
    </w:p>
    <w:p>
      <w:pPr>
        <w:spacing w:after="0" w:line="19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Mr. Ganzi’s employment agreement sets forth the terms and conditions of Mr. Ganzi’s service as our Chief Executive Officer. The agreement became effective on July 25, 2019 and has an initial term of five years following such date, subject to automatic renewals of additional successive one-year periods unless either party provides at least 180 days’ advance notice of non-renewal. The agreement provides that Mr. Ganzi will devote his full business time (other than vacation time, holidays, sick days and periods of disability) and attention to the performance of his duties to the Company, but will be permitted to engage in certain other outside activities, so long as those duties and activities do not unreasonably interfere with the performance of his duties to the Company under the agreement.</w:t>
      </w:r>
    </w:p>
    <w:p>
      <w:pPr>
        <w:spacing w:after="0" w:line="17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the agreement provides that Mr. Ganzi’s principal place of business during the term of the agreement will be in Boca Raton, Florida; however, if Mr. Ganzi is required to engage in travel during the term of the agreement that results in him having to perform a significant portion of his duties at a location other than Boca Raton, Florida, and Mr. Ganzi determines to relocate his principal place of residence to a city in proximity to that other location, then the Company will pay for all reasonable relocation and return expenses that he incurs on a basis which is grossed up for taxes, with such payments subject to the approval of the Board, not to be unreasonably withheld.</w:t>
      </w:r>
    </w:p>
    <w:p>
      <w:pPr>
        <w:spacing w:after="0" w:line="17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agreement further provides that Mr. Ganzi will receive an annual base salary of not less than $1,060,000 and will be eligible to receive an annual cash bonus with a target amount of no less than $1,200,000, which will be based on achievement of specified performance measures as set forth in the agreement or as otherwise mutually agreed by</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Mr. Ganzi and the Board. In addition, Mr. Ganzi will also be eligible to receive annual grants of equity and equity-based awards with a target value initially set at $1,800,000, subject to annual review by the Board (or a committee thereof). In addition, at least 50% of such grants made by the Company will vest based on time-based vesting conditions in no more than three equal annual installments and up to 50% will vest subject to both time-based and performance-based vesting conditions over a vesting period no longer than three years. The portion of any such annual grant subject, in part, to performance-based vesting conditions will be structured to provide an additional opportunity to earn up to 200% of the target amount of such award in the event the performance thresholds established by the Board (or committee thereof) are met. The employment agreement also provides that, for the 2021 performance year, Mr. Ganzi’s annual gross compensation (i.e., base salary, cash bonus and equity and equity-based awards) shall be no less than $2,500,000. In addition, Mr. Ganzi will receive allocations in respect of carried interests in respect of funds managed by the Company as follows: (1) for any carried interest allocated during the term of Mr. Ganzi’s employment with respect to a successor fund to DigitalBridge Partners (formerly named Digital Colony Partners) or other fund related to digital infrastructure (the “DBP Funds”), Mr. Ganzi will be allocated 15% of</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50 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5800"/>
        <w:spacing w:after="0"/>
        <w:rPr>
          <w:sz w:val="20"/>
          <w:szCs w:val="20"/>
          <w:color w:val="auto"/>
        </w:rPr>
      </w:pPr>
      <w:r>
        <w:rPr>
          <w:rFonts w:ascii="Arial" w:cs="Arial" w:eastAsia="Arial" w:hAnsi="Arial"/>
          <w:sz w:val="16"/>
          <w:szCs w:val="16"/>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60090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3"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the carried interest earned from such funds, and (2) for any carried interest allocated during the term of Mr. Ganzi’s employment as the Company’s Chief Executive Officer with respect to any fund or similar vehicle managed by the Company (other than the DBP Funds, the Company’s fifth distressed credit fund and any product that has completed raising capital prior to July 1, 2020), Mr. Ganzi will be allocated 10% of the carried interest earned from such funds. A product will be considered to have completed raising capital even if, after July 1, 2020, such product raises capital for follow-on investments.</w:t>
      </w:r>
    </w:p>
    <w:p>
      <w:pPr>
        <w:spacing w:after="0" w:line="176"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Mr. Ganzi will also be eligible to participate in our benefit plans made available to our senior executive officers from time to time and to receive reimbursement for certain dues and other business expenses, each as described in the employment agreement.</w:t>
      </w:r>
    </w:p>
    <w:p>
      <w:pPr>
        <w:spacing w:after="0" w:line="16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employment agreement provides that, if Mr. Ganzi’s employment is terminated by the Company without “cause” (as defined in the employment agreement and including non-renewal of the agreement by the Company) or by Mr. Ganzi for “good reason” (as defined in the employment agreement and described below), and Mr. Ganzi executes, and does not revoke, a general release of claims, he will be eligible to receive (i) a lump sum cash payment equal to three times the sum of his base salary and average annual bonus with respect to the three prior calendar years (or, if any such termination of employment occurs prior to Mr. Ganzi receiving his annual bonus in respect of calendar year 2022, then his target annual bonus that is then in effect), (ii) a lump sum cash payment equal to the annual bonus payable in respect of the year prior to the year of termination, if unpaid as of the date of termination, (iii) a pro-rated target bonus for the year of termination, (iv) continued medical, dental and vision benefits at active employee rates for 24 months following termination, (v) the continuation of certain benefits for 24 months following termination, and (vi) full vesting of all equity and equity-based awards of the Company, carried interests and other like compensation that he holds, to the extent unvested immediately prior to the date of termination. In addition, for 18 months following the date of such termination, Mr. Ganzi will receive continued use of his office and the services of a personal assistant, in each case, commensurate with those provided prior to the date of termination.</w:t>
      </w:r>
    </w:p>
    <w:p>
      <w:pPr>
        <w:spacing w:after="0" w:line="17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employment agreement also provides that if Mr. Ganzi provides notice to the Company of his intention not to renew the agreement upon the scheduled expiration of the initial term or any renewal term, then he will receive (i) a lump sum cash payment equal to the annual bonus payable in respect of the year prior to the year of termination, if unpaid as of the date of termination and (ii) a pro-rated target bonus for the year of termination.</w:t>
      </w:r>
    </w:p>
    <w:p>
      <w:pPr>
        <w:spacing w:after="0" w:line="17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addition, the employment agreement provides for full vesting of all of Mr. Ganzi’s equity and equity-based awards of the Company (other than as specified in the terms of the Sign-On Award (as defined below)), carried interests and other like compensation that he holds, to the extent unvested upon a change in control (as such term is defined in the 2014 Stock Plan).</w:t>
      </w:r>
    </w:p>
    <w:p>
      <w:pPr>
        <w:spacing w:after="0" w:line="17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For purposes of the employment agreement, “good reason” means, in summary, (i) a material diminution in Mr. Ganzi’s duties, authority or responsibilities or a diminution in his title (including (A) modifying Mr. Ganzi’s title and (B) after July 1, 2020, failing to nominate or maintain Mr. Ganzi as a member of the Board) or causing Mr. Ganzi to no longer report to the Board, (ii) a reduction in Mr. Ganzi’s base salary, target annual cash bonus or target annual equity incentive grant as set forth in the employment agreement, (iii) a 25-mile relocation of Mr. Ganzi’s principal place of business from Boca Raton, Florida or, if Mr. Ganzi agrees in writing to establish another location as his principal place of business, such other location, or (iv) a material breach of the agreement by the Company (including, without limitation, failure to timely pay or award Mr. Ganzi’s base salary, target annual cash bonus or target annual equity incentive grant) or any other material agreement between Mr. Ganzi and the Company.</w:t>
      </w:r>
    </w:p>
    <w:p>
      <w:pPr>
        <w:spacing w:after="0" w:line="171"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In the event of termination due to death or disability, Mr. Ganzi will receive (i) a lump sum cash payment equal to the annual bonus payable in respect of the year prior to the year of termination, if unpaid as of the date of termination, (ii) a pro-rated target bonus for the year of termination, (iii) full vesting of all equity- based awards</w:t>
      </w:r>
    </w:p>
    <w:p>
      <w:pPr>
        <w:spacing w:after="0" w:line="36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9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of the company (other than as specified in the terms of the Sign-On Award), carried interests and other like compensation that such executive holds, to the extent unvested upon such termination.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If any payments to be made to Mr. Ganzi, whether under the employment agreement or otherwise, would subject</w:t>
      </w:r>
    </w:p>
    <w:p>
      <w:pPr>
        <w:spacing w:after="0" w:line="1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Mr. Ganzi to the excise tax on so-called “golden parachute payments” in accordance with Sections 280G or 4999 of the Internal Revenue Code of 1986, as amended (the “Code”), then the payments will be reduced to the extent necessary to avoid the excise tax, but only if the amount of the payments after such reduction would result in Mr. Ganzi receiving a greater net after-tax benefit than if all of the payments were provided and the excise tax were imposed.</w:t>
      </w:r>
    </w:p>
    <w:p>
      <w:pPr>
        <w:spacing w:after="0" w:line="14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employment agreement, through a restrictive covenant agreement which was amended and restated on July 17, 2020, also provides that Mr. Ganzi will not, subject to certain listed exceptions for permitted and personal activities, compete with the Company, or solicit the Company’s investors or customers or employees or those of the Company’s subsidiaries during his employment with the Company and, unless his employment is terminated by the Company without cause (as defined in the agreement), by Mr. Ganzi for “good reason” (as defined in the agreement and described above), or by the Company or Mr. Ganzi following a change in control (as such term is defined in the Company’s equity incentive plan), for the two-year period following the termination of his employment with the Company. The restrictive covenant agreement also contains covenants relating to the treatment of confidential information and intellectual property matters and restrictions on the ability of Mr. Ganzi and the Company to disparage the other.</w:t>
      </w:r>
    </w:p>
    <w:p>
      <w:pPr>
        <w:spacing w:after="0" w:line="35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addition, in connection with entering into the employment agreement, the Company granted Mr. Ganzi a sign-on performance-based equity grant (the “Sign-On Award”) in the amount of 2,500,000 LTIP Units. The LTIP Units will vest if the closing price of shares of the Company’s Class A common stock is at or above $40.00 during regular trading on the New York Stock Exchange over any 90 consecutive trading days during the five-year period beginning on July 25, 2019. The Sign-On Award is generally conditioned on Mr. Ganzi’s continued employment until the performance-based condition is satisfied.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008861"/>
        </w:rPr>
        <w:t>EMPLOYMENT AGREEMENTS WITH OTHER NAMED EXECUTIVE OFFICERS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Other NEOs</w:t>
      </w:r>
    </w:p>
    <w:p>
      <w:pPr>
        <w:spacing w:after="0" w:line="211"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These employment agreements provide for an initial term of three years for Messrs. Jenkins, Mayrhofer and Goldschein and two years for Mr. Stewart. The initial term began on March 28, 2022 for Messrs. Jenkins and Stewart, May 11, 2023 for Mr. Goldschein and January 8, 2024 for Mr. Mayrhofer, with each initial term subject to automatic renewals of additional successive one-year periods unless either party provides at least 180 days’ advance notice of non-renewal.</w:t>
      </w:r>
    </w:p>
    <w:p>
      <w:pPr>
        <w:spacing w:after="0" w:line="141"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Each agreement requires that the executive will devote his full business time and attention to the performance of his duties to us, but will be permitted to engage in certain other outside activities so long as such activities do not unreasonably interfere with the performance of the executive’s duties to us.</w:t>
      </w:r>
    </w:p>
    <w:p>
      <w:pPr>
        <w:spacing w:after="0" w:line="16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agreements provide for the payment of a specified base salary to each executive, which is equal to no less than $700,000 for Messrs. Jenkins and Mayrhofer, $600,000 for Mr. Stewart and $575,000 for Mr. Goldschein. The agreements also provide that each executive will be eligible to receive an annual cash bonus with a target amount initially set at $700,000 for Mr. Jenkins, $1,100,000 for Mr. Mayrhofer, $765,000 for Mr. Stewart and $725,000 for Mr. Goldschein and annual grants of equity-based awards with a target value initially set at $1,600,000 for Messrs. Jenkins and Stewart, $2,000,000 for Mr. Mayrhofer and $950,000 for Mr. Goldschein, with such amounts subject to annual review by the Board (or a committee thereof). In addition, the agreement with Mr. Mayrhofer required that the Company grant Mr. Mayrhofer a sign-on grant of restricted stock in the amount of $1,700,000 in January 2024, which vests in three equal annual installments on each of the first three</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40"/>
          </w:cols>
          <w:pgMar w:left="1200" w:top="487" w:right="125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5800"/>
        <w:spacing w:after="0"/>
        <w:rPr>
          <w:sz w:val="20"/>
          <w:szCs w:val="20"/>
          <w:color w:val="auto"/>
        </w:rPr>
      </w:pPr>
      <w:r>
        <w:rPr>
          <w:rFonts w:ascii="Arial" w:cs="Arial" w:eastAsia="Arial" w:hAnsi="Arial"/>
          <w:sz w:val="16"/>
          <w:szCs w:val="16"/>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600900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anniversaries of the issuance date, and for the Company to pay Mr. Mayrhofer a sign-on cash bonus of $300,000.</w:t>
      </w:r>
    </w:p>
    <w:p>
      <w:pPr>
        <w:spacing w:after="0" w:line="19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Each executive is eligible to be granted new allocations in respect of carried interests in respect of funds managed by us as is determined by the Board (or a committee thereof) from time to time in consultation with the applicable executive. In addition, during his employment term, Mr. Jenkins is entitled to specified carried interest allocations ranging from 3.5% to 9% for DBP II and certain other funds, and Mr. Mayrhofer is entitled to receive an initial allocation of carried interest in certain specified fund/investment vehicles. The executives will be eligible to participate in certain of our benefit plans made available to our senior executive officers from time to time. Mr. Mayrhofer will also receive reimbursements of up to $40,000 per year for the first two years of his employment for certain travel and housing expenses associated with his commute to the Company’s headquarters.</w:t>
      </w:r>
    </w:p>
    <w:p>
      <w:pPr>
        <w:spacing w:after="0" w:line="1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agreements provide that if the executive’s employment is terminated by us without “cause” (as defined in the agreements and including non-renewal of the employment agreements by us) or by the executive for “good reason” (as defined in the agreement and described below), and the executive executes a release of claims, such executive will be eligible to receive (i) a lump sum cash payment equal to two times (or one times, in the case of Mr. Mayrhofer) the sum of base salary and average annual bonus with respect to the three prior calendar years (or in certain cases, the target bonus then in effect for such executive), (ii) a lump sum cash payment equal to the annual bonus payable in respect of the year prior to the year of termination, if unpaid as of the date of termination, (iii) a pro-rated target bonus for the year of termination, (iv) full vesting of all equity-based awards of the company, carried interests and other like compensation that such executive holds, to the extent unvested upon such termination, and (v) for Messrs. Jenkins and Goldschein, continued medical, dental and vision benefits at active employee rates for 24 months following termination.</w:t>
      </w:r>
    </w:p>
    <w:p>
      <w:pPr>
        <w:spacing w:after="0" w:line="17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agreements provide that if an executive provides notice to us of his intention not to renew the agreement upon the scheduled expiration of the initial term or any renewal term, then such executive will receive (i) a lump sum cash payment in respect of the annual bonus payable in respect of the year prior to the year of termination, if unpaid as of the date of termination, and (ii) a pro-rated target bonus for the year of termination. Upon a change in control, Mr. Jenkins’ employment agreement also provides for full vesting of all of Mr. Jenkins’ equity and equity-based awards of the Company, carried interests and other like compensation that he holds, to the extent unvested.</w:t>
      </w:r>
    </w:p>
    <w:p>
      <w:pPr>
        <w:spacing w:after="0" w:line="17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purposes of the agreements, “good reason” includes, in summary, (i) a material diminution in the executive’s duties, authority or responsibilities or a diminution in the executive’s title or position, (ii) a requirement that the executive report to any person other than the Company’s Chief Executive Officer, (iii) a reduction in the executive’s base salary, target annual cash bonus or target annual equity incentive grant then in effect, (iv) a 25-mile relocation of the executive’s principal place of business, or (v) a material breach of the agreement by us or a material breach of any other material agreement with the executive by us.</w:t>
      </w:r>
    </w:p>
    <w:p>
      <w:pPr>
        <w:spacing w:after="0" w:line="176"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In the event of termination due to death or disability, the executive will receive (i) a lump sum cash payment equal to the annual bonus payable in respect of the year prior to the year of termination, if unpaid as of the date of termination, (ii) a pro-rated target bonus for the year of termination, (iii) full vesting of all equity-based awards of the company, carried interests and other like compensation that such executive holds, to the extent unvested upon such termination.</w:t>
      </w:r>
    </w:p>
    <w:p>
      <w:pPr>
        <w:spacing w:after="0" w:line="14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agreements include a provision providing that if any payments to be made to the executive, whether under the agreement or otherwise, would subject the executive to the excise tax on so-called “golden parachute payments” in accordance with Sections 280G or 4999 of the Code, then the payments will be reduced to the extent necessary to avoid the excise tax, but only if the amount of the payments after such reduction would result in the executive receiving a greater net after-tax benefit than if all of the payments were provided and the excise tax were imposed.</w:t>
      </w:r>
    </w:p>
    <w:p>
      <w:pPr>
        <w:spacing w:after="0" w:line="200" w:lineRule="exact"/>
        <w:rPr>
          <w:sz w:val="20"/>
          <w:szCs w:val="20"/>
          <w:color w:val="auto"/>
        </w:rPr>
      </w:pPr>
    </w:p>
    <w:p>
      <w:pPr>
        <w:spacing w:after="0" w:line="36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9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addition, the agreements, through a restrictive covenant agreement that is included as an exhibit to the agreements, provide that the executives will not, subject to certain exceptions, compete with us, or solicit our investors or customers or employees or those of our subsidiaries during their employment with us and for the one-year period (or in the case of Mr. Jenkins, the two-year period) following the termination of their employment with us unless their employment is terminated by us without cause (as defined in the agreement and including non-renewal of the employment agreement by us) or by the executive for “good reason” (as defined in the agreement and described above). The agreements contain covenants relating to the treatment of confidential information and intellectual property matters and restrictions on the ability of the executives and us to disparage the other.</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Jacky Wu</w:t>
      </w:r>
    </w:p>
    <w:p>
      <w:pPr>
        <w:spacing w:after="0" w:line="21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Mr. Wu’s employment agreement, as amended, sets forth the terms and conditions of Mr. Wu’s previous service as our Chief Financial Officer. On November 13, 2023, the Company and Jacky Wu entered into the employment agreement (the “Final Employment Agreement”) that became effective January 1, 2024 (the “Effective Date”) following the expiration of the Second Amended and Restated Employment Agreement between the Company and Jacky Wu, dated as of September 27, 2022 (the “Prior Agreement”), according to its terms on December 31, 2023. The Final Employment Agreement provided that Mr. Wu would serve as the Company’s Executive Vice President, Chief Financial Officer and Treasurer from the Effective Date through the date that Mr. Wu has completed the transition of duties and responsibilities to a successor chief financial officer of the Company, which occurred on March 18, 2024, and thereafter would serve as an employee strategic advisor to the Company through June 30, 2024 (the “Expiration Date”). In addition, the Final Employment Agreement provided that following Mr. Wu’s service as an employee from the Effective Date through the Expiration Date (the “Employment Term”), Mr. Wu would serve as a non-employee strategic advisor to the Company through December 31, 2024 (the “Consulting Term”) in accordance with the terms of a consulting agreement that was entered into between Mr. Wu and the Company pursuant to which Mr. Wu received a monthly consulting fee of $60,000 and monthly cash payments in an amount that, after reduction for applicable taxes, equaled the amount of the Company’s monthly contributions under the Company’s medical, dental, and vision programs in which Mr. Wu participated under the Prior Agreement. In connection with Mr. Wu’s execution of the Final Employment Agreement and extension of his services beyond the expiration of his Prior Agreement, Mr. Wu received a $500,000 bonus payment (the “Extension Bonus”).</w:t>
      </w:r>
    </w:p>
    <w:p>
      <w:pPr>
        <w:spacing w:after="0" w:line="17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Final Employment Agreement provided for the payment of a base salary of no less than $700,000, an annual cash bonus with a target amount of $900,000, pro-rated by 50% based upon the duration of his employment (the “2024 Bonus Amount”), and an annual grant of equity-based awards with a target value of $2,000,000, pro-rated based upon the duration of Mr. Wu’s employment and period of service during the Consulting Term (the “2024 LTIP”). Pursuant to the terms of the agreement, following the Employment Term and the execution of a release of claims, Mr. Wu became eligible to receive the 2024 Bonus Amount, and following the Expiration Date and the execution of a final release of claims, Mr. Wu became eligible to receive the 2024 LTIP in January 2025. In addition, all equity or equity-based awards relating to the securities of the Company issued to Mr. Wu that were outstanding and unvested, whether subject to time-based vesting or performance-based vesting, will remain outstanding and, notwithstanding the expiration of the employment term, will continue to vest based on the then existing vesting schedule (and, in the case of performance-based awards, based on the level of actual achievement of such performance goals or metrics).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5800"/>
        <w:spacing w:after="0"/>
        <w:rPr>
          <w:sz w:val="20"/>
          <w:szCs w:val="20"/>
          <w:color w:val="auto"/>
        </w:rPr>
      </w:pPr>
      <w:r>
        <w:rPr>
          <w:rFonts w:ascii="Arial" w:cs="Arial" w:eastAsia="Arial" w:hAnsi="Arial"/>
          <w:sz w:val="16"/>
          <w:szCs w:val="16"/>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600900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35"/>
          <w:szCs w:val="35"/>
          <w:color w:val="001544"/>
        </w:rPr>
        <w:t>Equity Compensation Plan Information</w:t>
      </w:r>
    </w:p>
    <w:p>
      <w:pPr>
        <w:spacing w:after="0" w:line="20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following table provides summary information on the securities issuable under our equity compensation plans as of December 31, 2024.</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4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940" w:type="dxa"/>
            <w:vAlign w:val="bottom"/>
          </w:tcPr>
          <w:p>
            <w:pPr>
              <w:jc w:val="center"/>
              <w:spacing w:after="0"/>
              <w:rPr>
                <w:sz w:val="20"/>
                <w:szCs w:val="20"/>
                <w:color w:val="auto"/>
              </w:rPr>
            </w:pPr>
            <w:r>
              <w:rPr>
                <w:rFonts w:ascii="Arial" w:cs="Arial" w:eastAsia="Arial" w:hAnsi="Arial"/>
                <w:sz w:val="15"/>
                <w:szCs w:val="15"/>
                <w:b w:val="1"/>
                <w:bCs w:val="1"/>
                <w:color w:val="001544"/>
              </w:rPr>
              <w:t>Number of Securities Remaining</w:t>
            </w:r>
          </w:p>
        </w:tc>
      </w:tr>
      <w:tr>
        <w:trPr>
          <w:trHeight w:val="176"/>
        </w:trPr>
        <w:tc>
          <w:tcPr>
            <w:tcW w:w="2440" w:type="dxa"/>
            <w:vAlign w:val="bottom"/>
          </w:tcPr>
          <w:p>
            <w:pPr>
              <w:spacing w:after="0"/>
              <w:rPr>
                <w:sz w:val="15"/>
                <w:szCs w:val="15"/>
                <w:color w:val="auto"/>
              </w:rPr>
            </w:pPr>
          </w:p>
        </w:tc>
        <w:tc>
          <w:tcPr>
            <w:tcW w:w="2400" w:type="dxa"/>
            <w:vAlign w:val="bottom"/>
            <w:gridSpan w:val="2"/>
          </w:tcPr>
          <w:p>
            <w:pPr>
              <w:jc w:val="center"/>
              <w:spacing w:after="0"/>
              <w:rPr>
                <w:sz w:val="20"/>
                <w:szCs w:val="20"/>
                <w:color w:val="auto"/>
              </w:rPr>
            </w:pPr>
            <w:r>
              <w:rPr>
                <w:rFonts w:ascii="Arial" w:cs="Arial" w:eastAsia="Arial" w:hAnsi="Arial"/>
                <w:sz w:val="15"/>
                <w:szCs w:val="15"/>
                <w:b w:val="1"/>
                <w:bCs w:val="1"/>
                <w:color w:val="001544"/>
              </w:rPr>
              <w:t>Number of Securities to</w:t>
            </w:r>
          </w:p>
        </w:tc>
        <w:tc>
          <w:tcPr>
            <w:tcW w:w="1680" w:type="dxa"/>
            <w:vAlign w:val="bottom"/>
          </w:tcPr>
          <w:p>
            <w:pPr>
              <w:jc w:val="center"/>
              <w:spacing w:after="0"/>
              <w:rPr>
                <w:sz w:val="20"/>
                <w:szCs w:val="20"/>
                <w:color w:val="auto"/>
              </w:rPr>
            </w:pPr>
            <w:r>
              <w:rPr>
                <w:rFonts w:ascii="Arial" w:cs="Arial" w:eastAsia="Arial" w:hAnsi="Arial"/>
                <w:sz w:val="15"/>
                <w:szCs w:val="15"/>
                <w:b w:val="1"/>
                <w:bCs w:val="1"/>
                <w:color w:val="001544"/>
              </w:rPr>
              <w:t>Weighted-Average</w:t>
            </w:r>
          </w:p>
        </w:tc>
        <w:tc>
          <w:tcPr>
            <w:tcW w:w="2940" w:type="dxa"/>
            <w:vAlign w:val="bottom"/>
          </w:tcPr>
          <w:p>
            <w:pPr>
              <w:jc w:val="center"/>
              <w:spacing w:after="0"/>
              <w:rPr>
                <w:sz w:val="20"/>
                <w:szCs w:val="20"/>
                <w:color w:val="auto"/>
              </w:rPr>
            </w:pPr>
            <w:r>
              <w:rPr>
                <w:rFonts w:ascii="Arial" w:cs="Arial" w:eastAsia="Arial" w:hAnsi="Arial"/>
                <w:sz w:val="15"/>
                <w:szCs w:val="15"/>
                <w:b w:val="1"/>
                <w:bCs w:val="1"/>
                <w:color w:val="001544"/>
              </w:rPr>
              <w:t>Available for Future Issuance</w:t>
            </w:r>
          </w:p>
        </w:tc>
      </w:tr>
      <w:tr>
        <w:trPr>
          <w:trHeight w:val="176"/>
        </w:trPr>
        <w:tc>
          <w:tcPr>
            <w:tcW w:w="2440" w:type="dxa"/>
            <w:vAlign w:val="bottom"/>
          </w:tcPr>
          <w:p>
            <w:pPr>
              <w:spacing w:after="0"/>
              <w:rPr>
                <w:sz w:val="15"/>
                <w:szCs w:val="15"/>
                <w:color w:val="auto"/>
              </w:rPr>
            </w:pPr>
          </w:p>
        </w:tc>
        <w:tc>
          <w:tcPr>
            <w:tcW w:w="2400" w:type="dxa"/>
            <w:vAlign w:val="bottom"/>
            <w:gridSpan w:val="2"/>
          </w:tcPr>
          <w:p>
            <w:pPr>
              <w:jc w:val="center"/>
              <w:spacing w:after="0"/>
              <w:rPr>
                <w:sz w:val="20"/>
                <w:szCs w:val="20"/>
                <w:color w:val="auto"/>
              </w:rPr>
            </w:pPr>
            <w:r>
              <w:rPr>
                <w:rFonts w:ascii="Arial" w:cs="Arial" w:eastAsia="Arial" w:hAnsi="Arial"/>
                <w:sz w:val="15"/>
                <w:szCs w:val="15"/>
                <w:b w:val="1"/>
                <w:bCs w:val="1"/>
                <w:color w:val="001544"/>
              </w:rPr>
              <w:t>Be Issued Upon Exercise</w:t>
            </w:r>
          </w:p>
        </w:tc>
        <w:tc>
          <w:tcPr>
            <w:tcW w:w="1680" w:type="dxa"/>
            <w:vAlign w:val="bottom"/>
          </w:tcPr>
          <w:p>
            <w:pPr>
              <w:jc w:val="center"/>
              <w:spacing w:after="0"/>
              <w:rPr>
                <w:sz w:val="20"/>
                <w:szCs w:val="20"/>
                <w:color w:val="auto"/>
              </w:rPr>
            </w:pPr>
            <w:r>
              <w:rPr>
                <w:rFonts w:ascii="Arial" w:cs="Arial" w:eastAsia="Arial" w:hAnsi="Arial"/>
                <w:sz w:val="15"/>
                <w:szCs w:val="15"/>
                <w:b w:val="1"/>
                <w:bCs w:val="1"/>
                <w:color w:val="001544"/>
                <w:w w:val="99"/>
              </w:rPr>
              <w:t>Exercise Price of</w:t>
            </w:r>
          </w:p>
        </w:tc>
        <w:tc>
          <w:tcPr>
            <w:tcW w:w="2940" w:type="dxa"/>
            <w:vAlign w:val="bottom"/>
          </w:tcPr>
          <w:p>
            <w:pPr>
              <w:jc w:val="center"/>
              <w:spacing w:after="0"/>
              <w:rPr>
                <w:sz w:val="20"/>
                <w:szCs w:val="20"/>
                <w:color w:val="auto"/>
              </w:rPr>
            </w:pPr>
            <w:r>
              <w:rPr>
                <w:rFonts w:ascii="Arial" w:cs="Arial" w:eastAsia="Arial" w:hAnsi="Arial"/>
                <w:sz w:val="15"/>
                <w:szCs w:val="15"/>
                <w:b w:val="1"/>
                <w:bCs w:val="1"/>
                <w:color w:val="001544"/>
              </w:rPr>
              <w:t>Under Equity Incentive Plans</w:t>
            </w:r>
          </w:p>
        </w:tc>
      </w:tr>
      <w:tr>
        <w:trPr>
          <w:trHeight w:val="164"/>
        </w:trPr>
        <w:tc>
          <w:tcPr>
            <w:tcW w:w="2440" w:type="dxa"/>
            <w:vAlign w:val="bottom"/>
          </w:tcPr>
          <w:p>
            <w:pPr>
              <w:spacing w:after="0"/>
              <w:rPr>
                <w:sz w:val="14"/>
                <w:szCs w:val="14"/>
                <w:color w:val="auto"/>
              </w:rPr>
            </w:pPr>
          </w:p>
        </w:tc>
        <w:tc>
          <w:tcPr>
            <w:tcW w:w="2400" w:type="dxa"/>
            <w:vAlign w:val="bottom"/>
            <w:gridSpan w:val="2"/>
          </w:tcPr>
          <w:p>
            <w:pPr>
              <w:jc w:val="center"/>
              <w:spacing w:after="0" w:line="164" w:lineRule="exact"/>
              <w:rPr>
                <w:sz w:val="20"/>
                <w:szCs w:val="20"/>
                <w:color w:val="auto"/>
              </w:rPr>
            </w:pPr>
            <w:r>
              <w:rPr>
                <w:rFonts w:ascii="Arial" w:cs="Arial" w:eastAsia="Arial" w:hAnsi="Arial"/>
                <w:sz w:val="15"/>
                <w:szCs w:val="15"/>
                <w:b w:val="1"/>
                <w:bCs w:val="1"/>
                <w:color w:val="001544"/>
              </w:rPr>
              <w:t>of Outstanding Options,</w:t>
            </w:r>
          </w:p>
        </w:tc>
        <w:tc>
          <w:tcPr>
            <w:tcW w:w="1680" w:type="dxa"/>
            <w:vAlign w:val="bottom"/>
          </w:tcPr>
          <w:p>
            <w:pPr>
              <w:jc w:val="center"/>
              <w:spacing w:after="0" w:line="164" w:lineRule="exact"/>
              <w:rPr>
                <w:sz w:val="20"/>
                <w:szCs w:val="20"/>
                <w:color w:val="auto"/>
              </w:rPr>
            </w:pPr>
            <w:r>
              <w:rPr>
                <w:rFonts w:ascii="Arial" w:cs="Arial" w:eastAsia="Arial" w:hAnsi="Arial"/>
                <w:sz w:val="15"/>
                <w:szCs w:val="15"/>
                <w:b w:val="1"/>
                <w:bCs w:val="1"/>
                <w:color w:val="001544"/>
              </w:rPr>
              <w:t>Outstanding Options,</w:t>
            </w:r>
          </w:p>
        </w:tc>
        <w:tc>
          <w:tcPr>
            <w:tcW w:w="2940" w:type="dxa"/>
            <w:vAlign w:val="bottom"/>
          </w:tcPr>
          <w:p>
            <w:pPr>
              <w:jc w:val="center"/>
              <w:spacing w:after="0" w:line="164" w:lineRule="exact"/>
              <w:rPr>
                <w:sz w:val="20"/>
                <w:szCs w:val="20"/>
                <w:color w:val="auto"/>
              </w:rPr>
            </w:pPr>
            <w:r>
              <w:rPr>
                <w:rFonts w:ascii="Arial" w:cs="Arial" w:eastAsia="Arial" w:hAnsi="Arial"/>
                <w:sz w:val="15"/>
                <w:szCs w:val="15"/>
                <w:b w:val="1"/>
                <w:bCs w:val="1"/>
                <w:color w:val="001544"/>
              </w:rPr>
              <w:t>(Excluding Securities Reflected</w:t>
            </w:r>
          </w:p>
        </w:tc>
      </w:tr>
      <w:tr>
        <w:trPr>
          <w:trHeight w:val="188"/>
        </w:trPr>
        <w:tc>
          <w:tcPr>
            <w:tcW w:w="2440" w:type="dxa"/>
            <w:vAlign w:val="bottom"/>
          </w:tcPr>
          <w:p>
            <w:pPr>
              <w:spacing w:after="0"/>
              <w:rPr>
                <w:sz w:val="16"/>
                <w:szCs w:val="16"/>
                <w:color w:val="auto"/>
              </w:rPr>
            </w:pPr>
          </w:p>
        </w:tc>
        <w:tc>
          <w:tcPr>
            <w:tcW w:w="2400" w:type="dxa"/>
            <w:vAlign w:val="bottom"/>
            <w:gridSpan w:val="2"/>
          </w:tcPr>
          <w:p>
            <w:pPr>
              <w:jc w:val="center"/>
              <w:spacing w:after="0" w:line="188" w:lineRule="exact"/>
              <w:rPr>
                <w:sz w:val="20"/>
                <w:szCs w:val="20"/>
                <w:color w:val="auto"/>
              </w:rPr>
            </w:pPr>
            <w:r>
              <w:rPr>
                <w:rFonts w:ascii="Arial" w:cs="Arial" w:eastAsia="Arial" w:hAnsi="Arial"/>
                <w:sz w:val="14"/>
                <w:szCs w:val="14"/>
                <w:b w:val="1"/>
                <w:bCs w:val="1"/>
                <w:color w:val="001544"/>
              </w:rPr>
              <w:t>Warrants and Rights</w:t>
            </w:r>
            <w:r>
              <w:rPr>
                <w:rFonts w:ascii="Arial" w:cs="Arial" w:eastAsia="Arial" w:hAnsi="Arial"/>
                <w:sz w:val="21"/>
                <w:szCs w:val="21"/>
                <w:b w:val="1"/>
                <w:bCs w:val="1"/>
                <w:color w:val="001544"/>
                <w:vertAlign w:val="superscript"/>
              </w:rPr>
              <w:t>(1)</w:t>
            </w:r>
          </w:p>
        </w:tc>
        <w:tc>
          <w:tcPr>
            <w:tcW w:w="1680" w:type="dxa"/>
            <w:vAlign w:val="bottom"/>
          </w:tcPr>
          <w:p>
            <w:pPr>
              <w:jc w:val="center"/>
              <w:spacing w:after="0"/>
              <w:rPr>
                <w:sz w:val="20"/>
                <w:szCs w:val="20"/>
                <w:color w:val="auto"/>
              </w:rPr>
            </w:pPr>
            <w:r>
              <w:rPr>
                <w:rFonts w:ascii="Arial" w:cs="Arial" w:eastAsia="Arial" w:hAnsi="Arial"/>
                <w:sz w:val="15"/>
                <w:szCs w:val="15"/>
                <w:b w:val="1"/>
                <w:bCs w:val="1"/>
                <w:color w:val="001544"/>
              </w:rPr>
              <w:t>Warrants and Rights</w:t>
            </w:r>
          </w:p>
        </w:tc>
        <w:tc>
          <w:tcPr>
            <w:tcW w:w="2940" w:type="dxa"/>
            <w:vAlign w:val="bottom"/>
          </w:tcPr>
          <w:p>
            <w:pPr>
              <w:jc w:val="center"/>
              <w:spacing w:after="0"/>
              <w:rPr>
                <w:sz w:val="20"/>
                <w:szCs w:val="20"/>
                <w:color w:val="auto"/>
              </w:rPr>
            </w:pPr>
            <w:r>
              <w:rPr>
                <w:rFonts w:ascii="Arial" w:cs="Arial" w:eastAsia="Arial" w:hAnsi="Arial"/>
                <w:sz w:val="15"/>
                <w:szCs w:val="15"/>
                <w:b w:val="1"/>
                <w:bCs w:val="1"/>
                <w:color w:val="001544"/>
              </w:rPr>
              <w:t>in Column (a))</w:t>
            </w:r>
          </w:p>
        </w:tc>
      </w:tr>
      <w:tr>
        <w:trPr>
          <w:trHeight w:val="206"/>
        </w:trPr>
        <w:tc>
          <w:tcPr>
            <w:tcW w:w="2440" w:type="dxa"/>
            <w:vAlign w:val="bottom"/>
          </w:tcPr>
          <w:p>
            <w:pPr>
              <w:ind w:left="100"/>
              <w:spacing w:after="0"/>
              <w:rPr>
                <w:sz w:val="20"/>
                <w:szCs w:val="20"/>
                <w:color w:val="auto"/>
              </w:rPr>
            </w:pPr>
            <w:r>
              <w:rPr>
                <w:rFonts w:ascii="Arial" w:cs="Arial" w:eastAsia="Arial" w:hAnsi="Arial"/>
                <w:sz w:val="15"/>
                <w:szCs w:val="15"/>
                <w:b w:val="1"/>
                <w:bCs w:val="1"/>
                <w:color w:val="001544"/>
              </w:rPr>
              <w:t>Plan Category</w:t>
            </w:r>
          </w:p>
        </w:tc>
        <w:tc>
          <w:tcPr>
            <w:tcW w:w="2400" w:type="dxa"/>
            <w:vAlign w:val="bottom"/>
            <w:gridSpan w:val="2"/>
          </w:tcPr>
          <w:p>
            <w:pPr>
              <w:jc w:val="center"/>
              <w:spacing w:after="0"/>
              <w:rPr>
                <w:sz w:val="20"/>
                <w:szCs w:val="20"/>
                <w:color w:val="auto"/>
              </w:rPr>
            </w:pPr>
            <w:r>
              <w:rPr>
                <w:rFonts w:ascii="Arial" w:cs="Arial" w:eastAsia="Arial" w:hAnsi="Arial"/>
                <w:sz w:val="15"/>
                <w:szCs w:val="15"/>
                <w:b w:val="1"/>
                <w:bCs w:val="1"/>
                <w:color w:val="001544"/>
                <w:w w:val="97"/>
              </w:rPr>
              <w:t>(a)</w:t>
            </w:r>
          </w:p>
        </w:tc>
        <w:tc>
          <w:tcPr>
            <w:tcW w:w="1680" w:type="dxa"/>
            <w:vAlign w:val="bottom"/>
          </w:tcPr>
          <w:p>
            <w:pPr>
              <w:jc w:val="center"/>
              <w:spacing w:after="0"/>
              <w:rPr>
                <w:sz w:val="20"/>
                <w:szCs w:val="20"/>
                <w:color w:val="auto"/>
              </w:rPr>
            </w:pPr>
            <w:r>
              <w:rPr>
                <w:rFonts w:ascii="Arial" w:cs="Arial" w:eastAsia="Arial" w:hAnsi="Arial"/>
                <w:sz w:val="15"/>
                <w:szCs w:val="15"/>
                <w:b w:val="1"/>
                <w:bCs w:val="1"/>
                <w:color w:val="001544"/>
              </w:rPr>
              <w:t>(b)</w:t>
            </w:r>
          </w:p>
        </w:tc>
        <w:tc>
          <w:tcPr>
            <w:tcW w:w="2940" w:type="dxa"/>
            <w:vAlign w:val="bottom"/>
          </w:tcPr>
          <w:p>
            <w:pPr>
              <w:jc w:val="center"/>
              <w:spacing w:after="0"/>
              <w:rPr>
                <w:sz w:val="20"/>
                <w:szCs w:val="20"/>
                <w:color w:val="auto"/>
              </w:rPr>
            </w:pPr>
            <w:r>
              <w:rPr>
                <w:rFonts w:ascii="Arial" w:cs="Arial" w:eastAsia="Arial" w:hAnsi="Arial"/>
                <w:sz w:val="15"/>
                <w:szCs w:val="15"/>
                <w:b w:val="1"/>
                <w:bCs w:val="1"/>
                <w:color w:val="001544"/>
                <w:w w:val="97"/>
              </w:rPr>
              <w:t>(c)</w:t>
            </w:r>
          </w:p>
        </w:tc>
      </w:tr>
      <w:tr>
        <w:trPr>
          <w:trHeight w:val="32"/>
        </w:trPr>
        <w:tc>
          <w:tcPr>
            <w:tcW w:w="2440" w:type="dxa"/>
            <w:vAlign w:val="bottom"/>
            <w:tcBorders>
              <w:bottom w:val="single" w:sz="8" w:color="001544"/>
            </w:tcBorders>
          </w:tcPr>
          <w:p>
            <w:pPr>
              <w:spacing w:after="0"/>
              <w:rPr>
                <w:sz w:val="2"/>
                <w:szCs w:val="2"/>
                <w:color w:val="auto"/>
              </w:rPr>
            </w:pPr>
          </w:p>
        </w:tc>
        <w:tc>
          <w:tcPr>
            <w:tcW w:w="2220" w:type="dxa"/>
            <w:vAlign w:val="bottom"/>
            <w:tcBorders>
              <w:bottom w:val="single" w:sz="8" w:color="001544"/>
            </w:tcBorders>
          </w:tcPr>
          <w:p>
            <w:pPr>
              <w:spacing w:after="0"/>
              <w:rPr>
                <w:sz w:val="2"/>
                <w:szCs w:val="2"/>
                <w:color w:val="auto"/>
              </w:rPr>
            </w:pPr>
          </w:p>
        </w:tc>
        <w:tc>
          <w:tcPr>
            <w:tcW w:w="180" w:type="dxa"/>
            <w:vAlign w:val="bottom"/>
            <w:tcBorders>
              <w:bottom w:val="single" w:sz="8" w:color="001544"/>
            </w:tcBorders>
          </w:tcPr>
          <w:p>
            <w:pPr>
              <w:spacing w:after="0"/>
              <w:rPr>
                <w:sz w:val="2"/>
                <w:szCs w:val="2"/>
                <w:color w:val="auto"/>
              </w:rPr>
            </w:pPr>
          </w:p>
        </w:tc>
        <w:tc>
          <w:tcPr>
            <w:tcW w:w="1680" w:type="dxa"/>
            <w:vAlign w:val="bottom"/>
            <w:tcBorders>
              <w:bottom w:val="single" w:sz="8" w:color="001544"/>
            </w:tcBorders>
          </w:tcPr>
          <w:p>
            <w:pPr>
              <w:spacing w:after="0"/>
              <w:rPr>
                <w:sz w:val="2"/>
                <w:szCs w:val="2"/>
                <w:color w:val="auto"/>
              </w:rPr>
            </w:pPr>
          </w:p>
        </w:tc>
        <w:tc>
          <w:tcPr>
            <w:tcW w:w="2940" w:type="dxa"/>
            <w:vAlign w:val="bottom"/>
            <w:tcBorders>
              <w:bottom w:val="single" w:sz="8" w:color="001544"/>
            </w:tcBorders>
          </w:tcPr>
          <w:p>
            <w:pPr>
              <w:spacing w:after="0"/>
              <w:rPr>
                <w:sz w:val="2"/>
                <w:szCs w:val="2"/>
                <w:color w:val="auto"/>
              </w:rPr>
            </w:pPr>
          </w:p>
        </w:tc>
      </w:tr>
      <w:tr>
        <w:trPr>
          <w:trHeight w:val="181"/>
        </w:trPr>
        <w:tc>
          <w:tcPr>
            <w:tcW w:w="2440" w:type="dxa"/>
            <w:vAlign w:val="bottom"/>
            <w:shd w:val="clear" w:color="auto" w:fill="DBDFEA"/>
          </w:tcPr>
          <w:p>
            <w:pPr>
              <w:ind w:left="100"/>
              <w:spacing w:after="0"/>
              <w:rPr>
                <w:sz w:val="20"/>
                <w:szCs w:val="20"/>
                <w:color w:val="auto"/>
              </w:rPr>
            </w:pPr>
            <w:r>
              <w:rPr>
                <w:rFonts w:ascii="Arial" w:cs="Arial" w:eastAsia="Arial" w:hAnsi="Arial"/>
                <w:sz w:val="15"/>
                <w:szCs w:val="15"/>
                <w:color w:val="auto"/>
              </w:rPr>
              <w:t>Equity compensation plans</w:t>
            </w:r>
          </w:p>
        </w:tc>
        <w:tc>
          <w:tcPr>
            <w:tcW w:w="2220" w:type="dxa"/>
            <w:vAlign w:val="bottom"/>
            <w:shd w:val="clear" w:color="auto" w:fill="DBDFEA"/>
          </w:tcPr>
          <w:p>
            <w:pPr>
              <w:spacing w:after="0"/>
              <w:rPr>
                <w:sz w:val="15"/>
                <w:szCs w:val="15"/>
                <w:color w:val="auto"/>
              </w:rPr>
            </w:pPr>
          </w:p>
        </w:tc>
        <w:tc>
          <w:tcPr>
            <w:tcW w:w="180" w:type="dxa"/>
            <w:vAlign w:val="bottom"/>
            <w:shd w:val="clear" w:color="auto" w:fill="DBDFEA"/>
          </w:tcPr>
          <w:p>
            <w:pPr>
              <w:spacing w:after="0"/>
              <w:rPr>
                <w:sz w:val="15"/>
                <w:szCs w:val="15"/>
                <w:color w:val="auto"/>
              </w:rPr>
            </w:pPr>
          </w:p>
        </w:tc>
        <w:tc>
          <w:tcPr>
            <w:tcW w:w="1680" w:type="dxa"/>
            <w:vAlign w:val="bottom"/>
            <w:shd w:val="clear" w:color="auto" w:fill="DBDFEA"/>
          </w:tcPr>
          <w:p>
            <w:pPr>
              <w:spacing w:after="0"/>
              <w:rPr>
                <w:sz w:val="15"/>
                <w:szCs w:val="15"/>
                <w:color w:val="auto"/>
              </w:rPr>
            </w:pPr>
          </w:p>
        </w:tc>
        <w:tc>
          <w:tcPr>
            <w:tcW w:w="2940" w:type="dxa"/>
            <w:vAlign w:val="bottom"/>
            <w:shd w:val="clear" w:color="auto" w:fill="DBDFEA"/>
          </w:tcPr>
          <w:p>
            <w:pPr>
              <w:spacing w:after="0"/>
              <w:rPr>
                <w:sz w:val="15"/>
                <w:szCs w:val="15"/>
                <w:color w:val="auto"/>
              </w:rPr>
            </w:pPr>
          </w:p>
        </w:tc>
      </w:tr>
      <w:tr>
        <w:trPr>
          <w:trHeight w:val="218"/>
        </w:trPr>
        <w:tc>
          <w:tcPr>
            <w:tcW w:w="244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5"/>
                <w:szCs w:val="15"/>
                <w:color w:val="auto"/>
              </w:rPr>
              <w:t>approved by security holders</w:t>
            </w:r>
          </w:p>
        </w:tc>
        <w:tc>
          <w:tcPr>
            <w:tcW w:w="2220" w:type="dxa"/>
            <w:vAlign w:val="bottom"/>
            <w:tcBorders>
              <w:bottom w:val="single" w:sz="8" w:color="DBDFEA"/>
            </w:tcBorders>
            <w:shd w:val="clear" w:color="auto" w:fill="DBDFEA"/>
          </w:tcPr>
          <w:p>
            <w:pPr>
              <w:spacing w:after="0"/>
              <w:rPr>
                <w:sz w:val="18"/>
                <w:szCs w:val="18"/>
                <w:color w:val="auto"/>
              </w:rPr>
            </w:pPr>
          </w:p>
        </w:tc>
        <w:tc>
          <w:tcPr>
            <w:tcW w:w="180" w:type="dxa"/>
            <w:vAlign w:val="bottom"/>
            <w:tcBorders>
              <w:bottom w:val="single" w:sz="8" w:color="DBDFEA"/>
            </w:tcBorders>
            <w:shd w:val="clear" w:color="auto" w:fill="DBDFEA"/>
          </w:tcPr>
          <w:p>
            <w:pPr>
              <w:spacing w:after="0"/>
              <w:rPr>
                <w:sz w:val="18"/>
                <w:szCs w:val="18"/>
                <w:color w:val="auto"/>
              </w:rPr>
            </w:pPr>
          </w:p>
        </w:tc>
        <w:tc>
          <w:tcPr>
            <w:tcW w:w="1680" w:type="dxa"/>
            <w:vAlign w:val="bottom"/>
            <w:tcBorders>
              <w:bottom w:val="single" w:sz="8" w:color="DBDFEA"/>
            </w:tcBorders>
            <w:shd w:val="clear" w:color="auto" w:fill="DBDFEA"/>
          </w:tcPr>
          <w:p>
            <w:pPr>
              <w:spacing w:after="0"/>
              <w:rPr>
                <w:sz w:val="18"/>
                <w:szCs w:val="18"/>
                <w:color w:val="auto"/>
              </w:rPr>
            </w:pPr>
          </w:p>
        </w:tc>
        <w:tc>
          <w:tcPr>
            <w:tcW w:w="2940" w:type="dxa"/>
            <w:vAlign w:val="bottom"/>
            <w:tcBorders>
              <w:bottom w:val="single" w:sz="8" w:color="DBDFEA"/>
            </w:tcBorders>
            <w:shd w:val="clear" w:color="auto" w:fill="DBDFEA"/>
          </w:tcPr>
          <w:p>
            <w:pPr>
              <w:spacing w:after="0"/>
              <w:rPr>
                <w:sz w:val="18"/>
                <w:szCs w:val="18"/>
                <w:color w:val="auto"/>
              </w:rPr>
            </w:pPr>
          </w:p>
        </w:tc>
      </w:tr>
      <w:tr>
        <w:trPr>
          <w:trHeight w:val="249"/>
        </w:trPr>
        <w:tc>
          <w:tcPr>
            <w:tcW w:w="2440" w:type="dxa"/>
            <w:vAlign w:val="bottom"/>
            <w:tcBorders>
              <w:top w:val="single" w:sz="8" w:color="001544"/>
              <w:bottom w:val="single" w:sz="8" w:color="DBDFEA"/>
            </w:tcBorders>
            <w:shd w:val="clear" w:color="auto" w:fill="DBDFEA"/>
          </w:tcPr>
          <w:p>
            <w:pPr>
              <w:ind w:left="100"/>
              <w:spacing w:after="0"/>
              <w:rPr>
                <w:sz w:val="20"/>
                <w:szCs w:val="20"/>
                <w:color w:val="auto"/>
              </w:rPr>
            </w:pPr>
            <w:r>
              <w:rPr>
                <w:rFonts w:ascii="Arial" w:cs="Arial" w:eastAsia="Arial" w:hAnsi="Arial"/>
                <w:sz w:val="15"/>
                <w:szCs w:val="15"/>
                <w:color w:val="auto"/>
              </w:rPr>
              <w:t>2024 Stock Incentive Plan</w:t>
            </w:r>
          </w:p>
        </w:tc>
        <w:tc>
          <w:tcPr>
            <w:tcW w:w="2220" w:type="dxa"/>
            <w:vAlign w:val="bottom"/>
            <w:tcBorders>
              <w:top w:val="single" w:sz="8" w:color="001544"/>
              <w:bottom w:val="single" w:sz="8" w:color="DBDFEA"/>
            </w:tcBorders>
            <w:shd w:val="clear" w:color="auto" w:fill="DBDFEA"/>
          </w:tcPr>
          <w:p>
            <w:pPr>
              <w:jc w:val="right"/>
              <w:spacing w:after="0"/>
              <w:rPr>
                <w:sz w:val="20"/>
                <w:szCs w:val="20"/>
                <w:color w:val="auto"/>
              </w:rPr>
            </w:pPr>
            <w:r>
              <w:rPr>
                <w:rFonts w:ascii="Arial" w:cs="Arial" w:eastAsia="Arial" w:hAnsi="Arial"/>
                <w:sz w:val="15"/>
                <w:szCs w:val="15"/>
                <w:color w:val="auto"/>
              </w:rPr>
              <w:t>31,201</w:t>
            </w:r>
          </w:p>
        </w:tc>
        <w:tc>
          <w:tcPr>
            <w:tcW w:w="180" w:type="dxa"/>
            <w:vAlign w:val="bottom"/>
            <w:tcBorders>
              <w:top w:val="single" w:sz="8" w:color="001544"/>
              <w:bottom w:val="single" w:sz="8" w:color="DBDFEA"/>
            </w:tcBorders>
            <w:shd w:val="clear" w:color="auto" w:fill="DBDFEA"/>
          </w:tcPr>
          <w:p>
            <w:pPr>
              <w:spacing w:after="0"/>
              <w:rPr>
                <w:sz w:val="21"/>
                <w:szCs w:val="21"/>
                <w:color w:val="auto"/>
              </w:rPr>
            </w:pPr>
          </w:p>
        </w:tc>
        <w:tc>
          <w:tcPr>
            <w:tcW w:w="1680" w:type="dxa"/>
            <w:vAlign w:val="bottom"/>
            <w:tcBorders>
              <w:top w:val="single" w:sz="8" w:color="001544"/>
              <w:bottom w:val="single" w:sz="8" w:color="DBDFEA"/>
            </w:tcBorders>
            <w:shd w:val="clear" w:color="auto" w:fill="DBDFEA"/>
          </w:tcPr>
          <w:p>
            <w:pPr>
              <w:ind w:left="1380"/>
              <w:spacing w:after="0"/>
              <w:rPr>
                <w:sz w:val="20"/>
                <w:szCs w:val="20"/>
                <w:color w:val="auto"/>
              </w:rPr>
            </w:pPr>
            <w:r>
              <w:rPr>
                <w:rFonts w:ascii="Arial" w:cs="Arial" w:eastAsia="Arial" w:hAnsi="Arial"/>
                <w:sz w:val="15"/>
                <w:szCs w:val="15"/>
                <w:color w:val="auto"/>
              </w:rPr>
              <w:t>N/A</w:t>
            </w:r>
          </w:p>
        </w:tc>
        <w:tc>
          <w:tcPr>
            <w:tcW w:w="2940" w:type="dxa"/>
            <w:vAlign w:val="bottom"/>
            <w:tcBorders>
              <w:top w:val="single" w:sz="8" w:color="001544"/>
              <w:bottom w:val="single" w:sz="8" w:color="DBDFEA"/>
            </w:tcBorders>
            <w:shd w:val="clear" w:color="auto" w:fill="DBDFEA"/>
          </w:tcPr>
          <w:p>
            <w:pPr>
              <w:jc w:val="right"/>
              <w:ind w:right="165"/>
              <w:spacing w:after="0"/>
              <w:rPr>
                <w:sz w:val="20"/>
                <w:szCs w:val="20"/>
                <w:color w:val="auto"/>
              </w:rPr>
            </w:pPr>
            <w:r>
              <w:rPr>
                <w:rFonts w:ascii="Arial" w:cs="Arial" w:eastAsia="Arial" w:hAnsi="Arial"/>
                <w:sz w:val="15"/>
                <w:szCs w:val="15"/>
                <w:color w:val="auto"/>
              </w:rPr>
              <w:t>5,192,585</w:t>
            </w:r>
          </w:p>
        </w:tc>
      </w:tr>
      <w:tr>
        <w:trPr>
          <w:trHeight w:val="211"/>
        </w:trPr>
        <w:tc>
          <w:tcPr>
            <w:tcW w:w="2440" w:type="dxa"/>
            <w:vAlign w:val="bottom"/>
            <w:tcBorders>
              <w:top w:val="single" w:sz="8" w:color="001544"/>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2014 Stock Incentive Plan</w:t>
            </w:r>
          </w:p>
        </w:tc>
        <w:tc>
          <w:tcPr>
            <w:tcW w:w="2220" w:type="dxa"/>
            <w:vAlign w:val="bottom"/>
            <w:tcBorders>
              <w:top w:val="single" w:sz="8" w:color="001544"/>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2,373,872</w:t>
            </w:r>
          </w:p>
        </w:tc>
        <w:tc>
          <w:tcPr>
            <w:tcW w:w="180" w:type="dxa"/>
            <w:vAlign w:val="bottom"/>
            <w:tcBorders>
              <w:top w:val="single" w:sz="8" w:color="001544"/>
              <w:bottom w:val="single" w:sz="8" w:color="001544"/>
            </w:tcBorders>
            <w:shd w:val="clear" w:color="auto" w:fill="DBDFEA"/>
          </w:tcPr>
          <w:p>
            <w:pPr>
              <w:jc w:val="right"/>
              <w:spacing w:after="0"/>
              <w:rPr>
                <w:sz w:val="20"/>
                <w:szCs w:val="20"/>
                <w:color w:val="auto"/>
              </w:rPr>
            </w:pPr>
            <w:r>
              <w:rPr>
                <w:rFonts w:ascii="Arial" w:cs="Arial" w:eastAsia="Arial" w:hAnsi="Arial"/>
                <w:sz w:val="11"/>
                <w:szCs w:val="11"/>
                <w:color w:val="auto"/>
                <w:w w:val="88"/>
              </w:rPr>
              <w:t>(2)</w:t>
            </w:r>
          </w:p>
        </w:tc>
        <w:tc>
          <w:tcPr>
            <w:tcW w:w="1680" w:type="dxa"/>
            <w:vAlign w:val="bottom"/>
            <w:tcBorders>
              <w:top w:val="single" w:sz="8" w:color="001544"/>
              <w:bottom w:val="single" w:sz="8" w:color="001544"/>
            </w:tcBorders>
            <w:shd w:val="clear" w:color="auto" w:fill="DBDFEA"/>
          </w:tcPr>
          <w:p>
            <w:pPr>
              <w:ind w:left="1380"/>
              <w:spacing w:after="0"/>
              <w:rPr>
                <w:sz w:val="20"/>
                <w:szCs w:val="20"/>
                <w:color w:val="auto"/>
              </w:rPr>
            </w:pPr>
            <w:r>
              <w:rPr>
                <w:rFonts w:ascii="Arial" w:cs="Arial" w:eastAsia="Arial" w:hAnsi="Arial"/>
                <w:sz w:val="15"/>
                <w:szCs w:val="15"/>
                <w:color w:val="auto"/>
              </w:rPr>
              <w:t>N/A</w:t>
            </w:r>
          </w:p>
        </w:tc>
        <w:tc>
          <w:tcPr>
            <w:tcW w:w="2940" w:type="dxa"/>
            <w:vAlign w:val="bottom"/>
            <w:tcBorders>
              <w:top w:val="single" w:sz="8" w:color="001544"/>
              <w:bottom w:val="single" w:sz="8" w:color="001544"/>
            </w:tcBorders>
            <w:shd w:val="clear" w:color="auto" w:fill="DBDFEA"/>
          </w:tcPr>
          <w:p>
            <w:pPr>
              <w:jc w:val="right"/>
              <w:ind w:right="165"/>
              <w:spacing w:after="0"/>
              <w:rPr>
                <w:sz w:val="20"/>
                <w:szCs w:val="20"/>
                <w:color w:val="auto"/>
              </w:rPr>
            </w:pPr>
            <w:r>
              <w:rPr>
                <w:rFonts w:ascii="Arial" w:cs="Arial" w:eastAsia="Arial" w:hAnsi="Arial"/>
                <w:sz w:val="15"/>
                <w:szCs w:val="15"/>
                <w:color w:val="auto"/>
              </w:rPr>
              <w:t>—</w:t>
            </w:r>
          </w:p>
        </w:tc>
      </w:tr>
      <w:tr>
        <w:trPr>
          <w:trHeight w:val="219"/>
        </w:trPr>
        <w:tc>
          <w:tcPr>
            <w:tcW w:w="24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Pre-merger equity awards</w:t>
            </w:r>
          </w:p>
        </w:tc>
        <w:tc>
          <w:tcPr>
            <w:tcW w:w="2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2,436</w:t>
            </w:r>
          </w:p>
        </w:tc>
        <w:tc>
          <w:tcPr>
            <w:tcW w:w="1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1"/>
                <w:szCs w:val="11"/>
                <w:color w:val="auto"/>
                <w:w w:val="88"/>
              </w:rPr>
              <w:t>(3)</w:t>
            </w:r>
          </w:p>
        </w:tc>
        <w:tc>
          <w:tcPr>
            <w:tcW w:w="1680" w:type="dxa"/>
            <w:vAlign w:val="bottom"/>
            <w:tcBorders>
              <w:bottom w:val="single" w:sz="8" w:color="001544"/>
            </w:tcBorders>
            <w:shd w:val="clear" w:color="auto" w:fill="DBDFEA"/>
          </w:tcPr>
          <w:p>
            <w:pPr>
              <w:ind w:left="1380"/>
              <w:spacing w:after="0"/>
              <w:rPr>
                <w:sz w:val="20"/>
                <w:szCs w:val="20"/>
                <w:color w:val="auto"/>
              </w:rPr>
            </w:pPr>
            <w:r>
              <w:rPr>
                <w:rFonts w:ascii="Arial" w:cs="Arial" w:eastAsia="Arial" w:hAnsi="Arial"/>
                <w:sz w:val="15"/>
                <w:szCs w:val="15"/>
                <w:color w:val="auto"/>
              </w:rPr>
              <w:t>N/A</w:t>
            </w:r>
          </w:p>
        </w:tc>
        <w:tc>
          <w:tcPr>
            <w:tcW w:w="2940" w:type="dxa"/>
            <w:vAlign w:val="bottom"/>
            <w:tcBorders>
              <w:bottom w:val="single" w:sz="8" w:color="001544"/>
            </w:tcBorders>
            <w:shd w:val="clear" w:color="auto" w:fill="DBDFEA"/>
          </w:tcPr>
          <w:p>
            <w:pPr>
              <w:jc w:val="right"/>
              <w:ind w:right="165"/>
              <w:spacing w:after="0"/>
              <w:rPr>
                <w:sz w:val="20"/>
                <w:szCs w:val="20"/>
                <w:color w:val="auto"/>
              </w:rPr>
            </w:pPr>
            <w:r>
              <w:rPr>
                <w:rFonts w:ascii="Arial" w:cs="Arial" w:eastAsia="Arial" w:hAnsi="Arial"/>
                <w:sz w:val="15"/>
                <w:szCs w:val="15"/>
                <w:color w:val="auto"/>
              </w:rPr>
              <w:t>—</w:t>
            </w:r>
          </w:p>
        </w:tc>
      </w:tr>
      <w:tr>
        <w:trPr>
          <w:trHeight w:val="223"/>
        </w:trPr>
        <w:tc>
          <w:tcPr>
            <w:tcW w:w="2440" w:type="dxa"/>
            <w:vAlign w:val="bottom"/>
            <w:tcBorders>
              <w:bottom w:val="single" w:sz="8" w:color="001544"/>
            </w:tcBorders>
            <w:shd w:val="clear" w:color="auto" w:fill="BFCDDC"/>
          </w:tcPr>
          <w:p>
            <w:pPr>
              <w:ind w:left="300"/>
              <w:spacing w:after="0"/>
              <w:rPr>
                <w:sz w:val="20"/>
                <w:szCs w:val="20"/>
                <w:color w:val="auto"/>
              </w:rPr>
            </w:pPr>
            <w:r>
              <w:rPr>
                <w:rFonts w:ascii="Arial" w:cs="Arial" w:eastAsia="Arial" w:hAnsi="Arial"/>
                <w:sz w:val="15"/>
                <w:szCs w:val="15"/>
                <w:b w:val="1"/>
                <w:bCs w:val="1"/>
                <w:color w:val="auto"/>
              </w:rPr>
              <w:t>Total</w:t>
            </w:r>
          </w:p>
        </w:tc>
        <w:tc>
          <w:tcPr>
            <w:tcW w:w="222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b w:val="1"/>
                <w:bCs w:val="1"/>
                <w:color w:val="auto"/>
              </w:rPr>
              <w:t>2,407,509</w:t>
            </w:r>
          </w:p>
        </w:tc>
        <w:tc>
          <w:tcPr>
            <w:tcW w:w="180" w:type="dxa"/>
            <w:vAlign w:val="bottom"/>
            <w:tcBorders>
              <w:bottom w:val="single" w:sz="8" w:color="001544"/>
            </w:tcBorders>
            <w:shd w:val="clear" w:color="auto" w:fill="BFCDDC"/>
          </w:tcPr>
          <w:p>
            <w:pPr>
              <w:spacing w:after="0"/>
              <w:rPr>
                <w:sz w:val="19"/>
                <w:szCs w:val="19"/>
                <w:color w:val="auto"/>
              </w:rPr>
            </w:pPr>
          </w:p>
        </w:tc>
        <w:tc>
          <w:tcPr>
            <w:tcW w:w="1680" w:type="dxa"/>
            <w:vAlign w:val="bottom"/>
            <w:tcBorders>
              <w:bottom w:val="single" w:sz="8" w:color="001544"/>
            </w:tcBorders>
            <w:shd w:val="clear" w:color="auto" w:fill="BFCDDC"/>
          </w:tcPr>
          <w:p>
            <w:pPr>
              <w:spacing w:after="0"/>
              <w:rPr>
                <w:sz w:val="19"/>
                <w:szCs w:val="19"/>
                <w:color w:val="auto"/>
              </w:rPr>
            </w:pPr>
          </w:p>
        </w:tc>
        <w:tc>
          <w:tcPr>
            <w:tcW w:w="2940" w:type="dxa"/>
            <w:vAlign w:val="bottom"/>
            <w:tcBorders>
              <w:bottom w:val="single" w:sz="8" w:color="001544"/>
            </w:tcBorders>
            <w:shd w:val="clear" w:color="auto" w:fill="BFCDDC"/>
          </w:tcPr>
          <w:p>
            <w:pPr>
              <w:jc w:val="right"/>
              <w:ind w:right="165"/>
              <w:spacing w:after="0"/>
              <w:rPr>
                <w:sz w:val="20"/>
                <w:szCs w:val="20"/>
                <w:color w:val="auto"/>
              </w:rPr>
            </w:pPr>
            <w:r>
              <w:rPr>
                <w:rFonts w:ascii="Arial" w:cs="Arial" w:eastAsia="Arial" w:hAnsi="Arial"/>
                <w:sz w:val="15"/>
                <w:szCs w:val="15"/>
                <w:b w:val="1"/>
                <w:bCs w:val="1"/>
                <w:color w:val="auto"/>
              </w:rPr>
              <w:t>5,192,585</w:t>
            </w:r>
          </w:p>
        </w:tc>
      </w:tr>
    </w:tbl>
    <w:p>
      <w:pPr>
        <w:spacing w:after="0" w:line="63" w:lineRule="exact"/>
        <w:rPr>
          <w:sz w:val="20"/>
          <w:szCs w:val="20"/>
          <w:color w:val="auto"/>
        </w:rPr>
      </w:pPr>
    </w:p>
    <w:p>
      <w:pPr>
        <w:ind w:left="300" w:hanging="293"/>
        <w:spacing w:after="0"/>
        <w:tabs>
          <w:tab w:leader="none" w:pos="30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As of December 31, 2024, represents shares of the Company’s Class A common stock issuable pursuant to awards of restricted</w:t>
      </w:r>
    </w:p>
    <w:p>
      <w:pPr>
        <w:spacing w:after="0" w:line="17" w:lineRule="exact"/>
        <w:rPr>
          <w:rFonts w:ascii="Arial" w:cs="Arial" w:eastAsia="Arial" w:hAnsi="Arial"/>
          <w:sz w:val="15"/>
          <w:szCs w:val="15"/>
          <w:color w:val="auto"/>
        </w:rPr>
      </w:pPr>
    </w:p>
    <w:p>
      <w:pPr>
        <w:ind w:left="300" w:right="20"/>
        <w:spacing w:after="0" w:line="246" w:lineRule="auto"/>
        <w:rPr>
          <w:rFonts w:ascii="Arial" w:cs="Arial" w:eastAsia="Arial" w:hAnsi="Arial"/>
          <w:sz w:val="15"/>
          <w:szCs w:val="15"/>
          <w:color w:val="auto"/>
        </w:rPr>
      </w:pPr>
      <w:r>
        <w:rPr>
          <w:rFonts w:ascii="Arial" w:cs="Arial" w:eastAsia="Arial" w:hAnsi="Arial"/>
          <w:sz w:val="15"/>
          <w:szCs w:val="15"/>
          <w:color w:val="auto"/>
        </w:rPr>
        <w:t>stock units, LTIP units and deferred stock units and for redemption of OP units, as noted below. Conditioned on minimum allocation to the capital accounts of the LTIP unit for federal income tax purposes, each LTIP unit could have been converted, at the election of the holder, into one OP Unit. Each of the OP Units underlying these LTIP units was redeemable at the election of the holder, at the Company’s option in its capacity as general partner of our Operating Company, for: (i) cash equal to the then fair value of one share of the Company’s Class A common stock; or (ii) one share of the Company’s Class A common stock. Deferred stock units are held by certain of our non-executive directors and are payable in shares of the Company’s Class A common stock either upon a director’s departure from our board of directors or in annual installments over three years following departure. Except as set forth in footnote (3) below, does not include securities issuable pursuant to NorthStar Realty Finance Corp’s Third Amended and Restated 2004 Omnibus Stock Incentive Plan, which the Company assumed on January 10, 2017 in accordance with the merger agreement.</w:t>
      </w:r>
    </w:p>
    <w:p>
      <w:pPr>
        <w:spacing w:after="0" w:line="53" w:lineRule="exact"/>
        <w:rPr>
          <w:rFonts w:ascii="Arial" w:cs="Arial" w:eastAsia="Arial" w:hAnsi="Arial"/>
          <w:sz w:val="15"/>
          <w:szCs w:val="15"/>
          <w:color w:val="auto"/>
        </w:rPr>
      </w:pPr>
    </w:p>
    <w:p>
      <w:pPr>
        <w:ind w:left="300" w:right="20" w:hanging="293"/>
        <w:spacing w:after="0" w:line="256" w:lineRule="auto"/>
        <w:tabs>
          <w:tab w:leader="none" w:pos="30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Includes the maximum number of shares of the Company’s Class A common stock issuable pursuant to (i) awards of 782,006 restricted stock units subject to performance-based conditions at the maximum payout of 200%, (ii) 607,156 LTIP units, of which 125,000 LTIP units are subject to performance-based conditions, and (iii) 141,079 deferred stock units issued to our non-executive directors pursuant to the deferred compensation program, in each case, that were outstanding as of December 31, 2024.</w:t>
      </w:r>
    </w:p>
    <w:p>
      <w:pPr>
        <w:spacing w:after="0" w:line="30" w:lineRule="exact"/>
        <w:rPr>
          <w:rFonts w:ascii="Arial" w:cs="Arial" w:eastAsia="Arial" w:hAnsi="Arial"/>
          <w:sz w:val="15"/>
          <w:szCs w:val="15"/>
          <w:color w:val="auto"/>
        </w:rPr>
      </w:pPr>
    </w:p>
    <w:p>
      <w:pPr>
        <w:ind w:left="300" w:right="180" w:hanging="293"/>
        <w:spacing w:after="0" w:line="250" w:lineRule="auto"/>
        <w:tabs>
          <w:tab w:leader="none" w:pos="30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Represents shares of the Company’s Class A common stock issuable pursuant to outstanding OP Units originally granted by, or issued with respect to awards that were originally granted by, NorthStar Realty Finance Corp (“NRF”) prior to the merger among the Company, NorthStar Asset Management Group Inc. and NRF on January 10, 2017 (“Merger”), which were outstanding as a result of anti-dilution adjustments made in connection with the Merger. The issuance of shares of the Company’s Class A common stock pursuant to these awards was approved by NRF’s stockholders prior to the Merger and, as disclosed in connection with the Merger, the shares of the Company’s Class A common stock to be issued pursuant to these awards will not be issued pursuant to, and will not reduce availability under, the 2014 Stock Incentive Plan.</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CEO Pay Ratio</w:t>
      </w:r>
    </w:p>
    <w:p>
      <w:pPr>
        <w:spacing w:after="0" w:line="2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ratio of our Chief Executive Officer’s annual total compensation for 2024 to that of the median employee’s annual total compensation for 2024 is 21.8x. This ratio is based on the 2024 annual total compensation of $6,037,189 for Mr. Ganzi, as our Chief Executive Officer as of December 31, 2024 (the “Measurement Date”), as reported in the Summary Compensation Table above and the 2024 annual total compensation of $276,696 for the median employee, using the same components of compensation as used in the Summary Compensation Table for the Chief Executive Officer. The pay ratio reported above is a reasonable estimate calculated in a manner consistent with SEC rules based on our internal records and the methodology described below.</w:t>
      </w:r>
    </w:p>
    <w:p>
      <w:pPr>
        <w:spacing w:after="0" w:line="200" w:lineRule="exact"/>
        <w:rPr>
          <w:sz w:val="20"/>
          <w:szCs w:val="20"/>
          <w:color w:val="auto"/>
        </w:rPr>
      </w:pPr>
    </w:p>
    <w:p>
      <w:pPr>
        <w:spacing w:after="0" w:line="36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9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median employee was determined using annual total compensation paid by the Company during 2024 to our employees (other than our Chief Executive Officer) as of the Measurement Date, which was consistent with the methodology used for last year’s determination as of December 31, 2023. Any compensation paid to employees in foreign currencies was converted to U.S. dollars as of the Measurement Date.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Pay Versus Performance</w:t>
      </w:r>
    </w:p>
    <w:p>
      <w:pPr>
        <w:spacing w:after="0" w:line="21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The disclosure included in this section is prescribed by SEC rules and does not necessarily align with how the Company or the Compensation Committee views the link between the Company’s performance and NEO pay. For a discussion of how the Company views its executive compensation structure, including alignment with Company performance, see “Compensation Discussion and Analysis.” The Compensation Committee did not consider the pay versus performance disclosure below in making its pay decisions for any of the years shown.</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2"/>
                <w:szCs w:val="12"/>
                <w:b w:val="1"/>
                <w:bCs w:val="1"/>
                <w:color w:val="001544"/>
                <w:w w:val="97"/>
              </w:rPr>
              <w:t>Average</w:t>
            </w:r>
          </w:p>
        </w:tc>
        <w:tc>
          <w:tcPr>
            <w:tcW w:w="1020" w:type="dxa"/>
            <w:vAlign w:val="bottom"/>
          </w:tcPr>
          <w:p>
            <w:pPr>
              <w:spacing w:after="0"/>
              <w:rPr>
                <w:sz w:val="12"/>
                <w:szCs w:val="12"/>
                <w:color w:val="auto"/>
              </w:rPr>
            </w:pPr>
          </w:p>
        </w:tc>
        <w:tc>
          <w:tcPr>
            <w:tcW w:w="1580" w:type="dxa"/>
            <w:vAlign w:val="bottom"/>
            <w:gridSpan w:val="2"/>
          </w:tcPr>
          <w:p>
            <w:pPr>
              <w:jc w:val="center"/>
              <w:spacing w:after="0"/>
              <w:rPr>
                <w:sz w:val="20"/>
                <w:szCs w:val="20"/>
                <w:color w:val="auto"/>
              </w:rPr>
            </w:pPr>
            <w:r>
              <w:rPr>
                <w:rFonts w:ascii="Arial" w:cs="Arial" w:eastAsia="Arial" w:hAnsi="Arial"/>
                <w:sz w:val="12"/>
                <w:szCs w:val="12"/>
                <w:b w:val="1"/>
                <w:bCs w:val="1"/>
                <w:color w:val="001544"/>
                <w:w w:val="96"/>
              </w:rPr>
              <w:t>Value of Initial Fixed</w:t>
            </w: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2"/>
                <w:szCs w:val="12"/>
                <w:b w:val="1"/>
                <w:bCs w:val="1"/>
                <w:color w:val="001544"/>
                <w:w w:val="97"/>
              </w:rPr>
              <w:t>Average</w:t>
            </w:r>
          </w:p>
        </w:tc>
        <w:tc>
          <w:tcPr>
            <w:tcW w:w="1580" w:type="dxa"/>
            <w:vAlign w:val="bottom"/>
            <w:gridSpan w:val="2"/>
          </w:tcPr>
          <w:p>
            <w:pPr>
              <w:jc w:val="center"/>
              <w:spacing w:after="0" w:line="126" w:lineRule="exact"/>
              <w:rPr>
                <w:sz w:val="20"/>
                <w:szCs w:val="20"/>
                <w:color w:val="auto"/>
              </w:rPr>
            </w:pPr>
            <w:r>
              <w:rPr>
                <w:rFonts w:ascii="Arial" w:cs="Arial" w:eastAsia="Arial" w:hAnsi="Arial"/>
                <w:sz w:val="12"/>
                <w:szCs w:val="12"/>
                <w:b w:val="1"/>
                <w:bCs w:val="1"/>
                <w:color w:val="001544"/>
                <w:w w:val="98"/>
              </w:rPr>
              <w:t>$100 Investment</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jc w:val="center"/>
              <w:ind w:left="2"/>
              <w:spacing w:after="0"/>
              <w:rPr>
                <w:sz w:val="20"/>
                <w:szCs w:val="20"/>
                <w:color w:val="auto"/>
              </w:rPr>
            </w:pPr>
            <w:r>
              <w:rPr>
                <w:rFonts w:ascii="Arial" w:cs="Arial" w:eastAsia="Arial" w:hAnsi="Arial"/>
                <w:sz w:val="12"/>
                <w:szCs w:val="12"/>
                <w:b w:val="1"/>
                <w:bCs w:val="1"/>
                <w:color w:val="001544"/>
                <w:w w:val="95"/>
              </w:rPr>
              <w:t>Summary</w:t>
            </w:r>
          </w:p>
        </w:tc>
        <w:tc>
          <w:tcPr>
            <w:tcW w:w="1020" w:type="dxa"/>
            <w:vAlign w:val="bottom"/>
            <w:vMerge w:val="continue"/>
          </w:tcPr>
          <w:p>
            <w:pPr>
              <w:spacing w:after="0"/>
              <w:rPr>
                <w:sz w:val="12"/>
                <w:szCs w:val="12"/>
                <w:color w:val="auto"/>
              </w:rPr>
            </w:pPr>
          </w:p>
        </w:tc>
        <w:tc>
          <w:tcPr>
            <w:tcW w:w="1580" w:type="dxa"/>
            <w:vAlign w:val="bottom"/>
            <w:tcBorders>
              <w:bottom w:val="single" w:sz="8" w:color="001544"/>
            </w:tcBorders>
            <w:gridSpan w:val="2"/>
          </w:tcPr>
          <w:p>
            <w:pPr>
              <w:jc w:val="center"/>
              <w:spacing w:after="0"/>
              <w:rPr>
                <w:sz w:val="20"/>
                <w:szCs w:val="20"/>
                <w:color w:val="auto"/>
              </w:rPr>
            </w:pPr>
            <w:r>
              <w:rPr>
                <w:rFonts w:ascii="Arial" w:cs="Arial" w:eastAsia="Arial" w:hAnsi="Arial"/>
                <w:sz w:val="12"/>
                <w:szCs w:val="12"/>
                <w:b w:val="1"/>
                <w:bCs w:val="1"/>
                <w:color w:val="001544"/>
                <w:w w:val="99"/>
              </w:rPr>
              <w:t>Based On:</w:t>
            </w: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gridSpan w:val="3"/>
          </w:tcPr>
          <w:p>
            <w:pPr>
              <w:jc w:val="right"/>
              <w:ind w:right="161"/>
              <w:spacing w:after="0" w:line="101" w:lineRule="exact"/>
              <w:rPr>
                <w:sz w:val="20"/>
                <w:szCs w:val="20"/>
                <w:color w:val="auto"/>
              </w:rPr>
            </w:pPr>
            <w:r>
              <w:rPr>
                <w:rFonts w:ascii="Arial" w:cs="Arial" w:eastAsia="Arial" w:hAnsi="Arial"/>
                <w:sz w:val="11"/>
                <w:szCs w:val="11"/>
                <w:b w:val="1"/>
                <w:bCs w:val="1"/>
                <w:color w:val="001544"/>
              </w:rPr>
              <w:t>Summary Compensation</w:t>
            </w:r>
          </w:p>
        </w:tc>
        <w:tc>
          <w:tcPr>
            <w:tcW w:w="1580" w:type="dxa"/>
            <w:vAlign w:val="bottom"/>
            <w:gridSpan w:val="2"/>
          </w:tcPr>
          <w:p>
            <w:pPr>
              <w:jc w:val="center"/>
              <w:spacing w:after="0" w:line="101" w:lineRule="exact"/>
              <w:rPr>
                <w:sz w:val="20"/>
                <w:szCs w:val="20"/>
                <w:color w:val="auto"/>
              </w:rPr>
            </w:pPr>
            <w:r>
              <w:rPr>
                <w:rFonts w:ascii="Arial" w:cs="Arial" w:eastAsia="Arial" w:hAnsi="Arial"/>
                <w:sz w:val="11"/>
                <w:szCs w:val="11"/>
                <w:b w:val="1"/>
                <w:bCs w:val="1"/>
                <w:color w:val="001544"/>
              </w:rPr>
              <w:t>Compensation Actually</w:t>
            </w:r>
          </w:p>
        </w:tc>
        <w:tc>
          <w:tcPr>
            <w:tcW w:w="1020" w:type="dxa"/>
            <w:vAlign w:val="bottom"/>
          </w:tcPr>
          <w:p>
            <w:pPr>
              <w:jc w:val="center"/>
              <w:ind w:left="2"/>
              <w:spacing w:after="0" w:line="101" w:lineRule="exact"/>
              <w:rPr>
                <w:sz w:val="20"/>
                <w:szCs w:val="20"/>
                <w:color w:val="auto"/>
              </w:rPr>
            </w:pPr>
            <w:r>
              <w:rPr>
                <w:rFonts w:ascii="Arial" w:cs="Arial" w:eastAsia="Arial" w:hAnsi="Arial"/>
                <w:sz w:val="11"/>
                <w:szCs w:val="11"/>
                <w:b w:val="1"/>
                <w:bCs w:val="1"/>
                <w:color w:val="001544"/>
              </w:rPr>
              <w:t>Compensation</w:t>
            </w:r>
          </w:p>
        </w:tc>
        <w:tc>
          <w:tcPr>
            <w:tcW w:w="1020" w:type="dxa"/>
            <w:vAlign w:val="bottom"/>
          </w:tcPr>
          <w:p>
            <w:pPr>
              <w:jc w:val="center"/>
              <w:spacing w:after="0" w:line="101" w:lineRule="exact"/>
              <w:rPr>
                <w:sz w:val="20"/>
                <w:szCs w:val="20"/>
                <w:color w:val="auto"/>
              </w:rPr>
            </w:pPr>
            <w:r>
              <w:rPr>
                <w:rFonts w:ascii="Arial" w:cs="Arial" w:eastAsia="Arial" w:hAnsi="Arial"/>
                <w:sz w:val="11"/>
                <w:szCs w:val="11"/>
                <w:b w:val="1"/>
                <w:bCs w:val="1"/>
                <w:color w:val="001544"/>
              </w:rPr>
              <w:t>Compensation</w:t>
            </w:r>
          </w:p>
        </w:tc>
        <w:tc>
          <w:tcPr>
            <w:tcW w:w="800" w:type="dxa"/>
            <w:vAlign w:val="bottom"/>
          </w:tcPr>
          <w:p>
            <w:pPr>
              <w:spacing w:after="0"/>
              <w:rPr>
                <w:sz w:val="8"/>
                <w:szCs w:val="8"/>
                <w:color w:val="auto"/>
              </w:rPr>
            </w:pPr>
          </w:p>
        </w:tc>
        <w:tc>
          <w:tcPr>
            <w:tcW w:w="780" w:type="dxa"/>
            <w:vAlign w:val="bottom"/>
          </w:tcPr>
          <w:p>
            <w:pPr>
              <w:jc w:val="center"/>
              <w:spacing w:after="0" w:line="101" w:lineRule="exact"/>
              <w:rPr>
                <w:sz w:val="20"/>
                <w:szCs w:val="20"/>
                <w:color w:val="auto"/>
              </w:rPr>
            </w:pPr>
            <w:r>
              <w:rPr>
                <w:rFonts w:ascii="Arial" w:cs="Arial" w:eastAsia="Arial" w:hAnsi="Arial"/>
                <w:sz w:val="11"/>
                <w:szCs w:val="11"/>
                <w:b w:val="1"/>
                <w:bCs w:val="1"/>
                <w:color w:val="001544"/>
              </w:rPr>
              <w:t>Peer</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3"/>
          </w:tcPr>
          <w:p>
            <w:pPr>
              <w:jc w:val="right"/>
              <w:ind w:right="261"/>
              <w:spacing w:after="0" w:line="126" w:lineRule="exact"/>
              <w:rPr>
                <w:sz w:val="20"/>
                <w:szCs w:val="20"/>
                <w:color w:val="auto"/>
              </w:rPr>
            </w:pPr>
            <w:r>
              <w:rPr>
                <w:rFonts w:ascii="Arial" w:cs="Arial" w:eastAsia="Arial" w:hAnsi="Arial"/>
                <w:sz w:val="10"/>
                <w:szCs w:val="10"/>
                <w:b w:val="1"/>
                <w:bCs w:val="1"/>
                <w:color w:val="001544"/>
              </w:rPr>
              <w:t>Table Total for PEO</w:t>
            </w:r>
            <w:r>
              <w:rPr>
                <w:rFonts w:ascii="Arial" w:cs="Arial" w:eastAsia="Arial" w:hAnsi="Arial"/>
                <w:sz w:val="14"/>
                <w:szCs w:val="14"/>
                <w:b w:val="1"/>
                <w:bCs w:val="1"/>
                <w:color w:val="001544"/>
                <w:vertAlign w:val="superscript"/>
              </w:rPr>
              <w:t>(1)</w:t>
            </w:r>
          </w:p>
        </w:tc>
        <w:tc>
          <w:tcPr>
            <w:tcW w:w="1580" w:type="dxa"/>
            <w:vAlign w:val="bottom"/>
            <w:gridSpan w:val="2"/>
          </w:tcPr>
          <w:p>
            <w:pPr>
              <w:jc w:val="center"/>
              <w:spacing w:after="0" w:line="126" w:lineRule="exact"/>
              <w:rPr>
                <w:sz w:val="20"/>
                <w:szCs w:val="20"/>
                <w:color w:val="auto"/>
              </w:rPr>
            </w:pPr>
            <w:r>
              <w:rPr>
                <w:rFonts w:ascii="Arial" w:cs="Arial" w:eastAsia="Arial" w:hAnsi="Arial"/>
                <w:sz w:val="10"/>
                <w:szCs w:val="10"/>
                <w:b w:val="1"/>
                <w:bCs w:val="1"/>
                <w:color w:val="001544"/>
              </w:rPr>
              <w:t>Paid to PEO</w:t>
            </w:r>
            <w:r>
              <w:rPr>
                <w:rFonts w:ascii="Arial" w:cs="Arial" w:eastAsia="Arial" w:hAnsi="Arial"/>
                <w:sz w:val="14"/>
                <w:szCs w:val="14"/>
                <w:b w:val="1"/>
                <w:bCs w:val="1"/>
                <w:color w:val="001544"/>
                <w:vertAlign w:val="superscript"/>
              </w:rPr>
              <w:t>(2)</w:t>
            </w:r>
          </w:p>
        </w:tc>
        <w:tc>
          <w:tcPr>
            <w:tcW w:w="1020" w:type="dxa"/>
            <w:vAlign w:val="bottom"/>
          </w:tcPr>
          <w:p>
            <w:pPr>
              <w:jc w:val="center"/>
              <w:spacing w:after="0" w:line="126" w:lineRule="exact"/>
              <w:rPr>
                <w:sz w:val="20"/>
                <w:szCs w:val="20"/>
                <w:color w:val="auto"/>
              </w:rPr>
            </w:pPr>
            <w:r>
              <w:rPr>
                <w:rFonts w:ascii="Arial" w:cs="Arial" w:eastAsia="Arial" w:hAnsi="Arial"/>
                <w:sz w:val="12"/>
                <w:szCs w:val="12"/>
                <w:b w:val="1"/>
                <w:bCs w:val="1"/>
                <w:color w:val="001544"/>
                <w:w w:val="95"/>
              </w:rPr>
              <w:t>Table</w:t>
            </w:r>
          </w:p>
        </w:tc>
        <w:tc>
          <w:tcPr>
            <w:tcW w:w="1020" w:type="dxa"/>
            <w:vAlign w:val="bottom"/>
          </w:tcPr>
          <w:p>
            <w:pPr>
              <w:jc w:val="center"/>
              <w:spacing w:after="0" w:line="126" w:lineRule="exact"/>
              <w:rPr>
                <w:sz w:val="20"/>
                <w:szCs w:val="20"/>
                <w:color w:val="auto"/>
              </w:rPr>
            </w:pPr>
            <w:r>
              <w:rPr>
                <w:rFonts w:ascii="Arial" w:cs="Arial" w:eastAsia="Arial" w:hAnsi="Arial"/>
                <w:sz w:val="12"/>
                <w:szCs w:val="12"/>
                <w:b w:val="1"/>
                <w:bCs w:val="1"/>
                <w:color w:val="001544"/>
                <w:w w:val="98"/>
              </w:rPr>
              <w:t>Actually</w:t>
            </w:r>
          </w:p>
        </w:tc>
        <w:tc>
          <w:tcPr>
            <w:tcW w:w="800" w:type="dxa"/>
            <w:vAlign w:val="bottom"/>
            <w:vMerge w:val="restart"/>
          </w:tcPr>
          <w:p>
            <w:pPr>
              <w:jc w:val="center"/>
              <w:spacing w:after="0"/>
              <w:rPr>
                <w:sz w:val="20"/>
                <w:szCs w:val="20"/>
                <w:color w:val="auto"/>
              </w:rPr>
            </w:pPr>
            <w:r>
              <w:rPr>
                <w:rFonts w:ascii="Arial" w:cs="Arial" w:eastAsia="Arial" w:hAnsi="Arial"/>
                <w:sz w:val="12"/>
                <w:szCs w:val="12"/>
                <w:b w:val="1"/>
                <w:bCs w:val="1"/>
                <w:color w:val="001544"/>
                <w:w w:val="97"/>
              </w:rPr>
              <w:t>Total</w:t>
            </w:r>
          </w:p>
        </w:tc>
        <w:tc>
          <w:tcPr>
            <w:tcW w:w="780" w:type="dxa"/>
            <w:vAlign w:val="bottom"/>
          </w:tcPr>
          <w:p>
            <w:pPr>
              <w:jc w:val="center"/>
              <w:spacing w:after="0" w:line="126" w:lineRule="exact"/>
              <w:rPr>
                <w:sz w:val="20"/>
                <w:szCs w:val="20"/>
                <w:color w:val="auto"/>
              </w:rPr>
            </w:pPr>
            <w:r>
              <w:rPr>
                <w:rFonts w:ascii="Arial" w:cs="Arial" w:eastAsia="Arial" w:hAnsi="Arial"/>
                <w:sz w:val="12"/>
                <w:szCs w:val="12"/>
                <w:b w:val="1"/>
                <w:bCs w:val="1"/>
                <w:color w:val="001544"/>
                <w:w w:val="94"/>
              </w:rPr>
              <w:t>Group</w:t>
            </w:r>
          </w:p>
        </w:tc>
        <w:tc>
          <w:tcPr>
            <w:tcW w:w="94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b w:val="1"/>
                <w:bCs w:val="1"/>
                <w:color w:val="001544"/>
                <w:w w:val="99"/>
              </w:rPr>
              <w:t>FEEUM</w:t>
            </w:r>
          </w:p>
        </w:tc>
        <w:tc>
          <w:tcPr>
            <w:tcW w:w="0" w:type="dxa"/>
            <w:vAlign w:val="bottom"/>
          </w:tcPr>
          <w:p>
            <w:pPr>
              <w:spacing w:after="0"/>
              <w:rPr>
                <w:sz w:val="1"/>
                <w:szCs w:val="1"/>
                <w:color w:val="auto"/>
              </w:rPr>
            </w:pPr>
          </w:p>
        </w:tc>
      </w:tr>
      <w:tr>
        <w:trPr>
          <w:trHeight w:val="143"/>
        </w:trPr>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bottom w:val="single" w:sz="8" w:color="001544"/>
            </w:tcBorders>
          </w:tcPr>
          <w:p>
            <w:pPr>
              <w:spacing w:after="0"/>
              <w:rPr>
                <w:sz w:val="12"/>
                <w:szCs w:val="12"/>
                <w:color w:val="auto"/>
              </w:rPr>
            </w:pPr>
          </w:p>
        </w:tc>
        <w:tc>
          <w:tcPr>
            <w:tcW w:w="980" w:type="dxa"/>
            <w:vAlign w:val="bottom"/>
            <w:tcBorders>
              <w:bottom w:val="single" w:sz="8" w:color="001544"/>
            </w:tcBorders>
            <w:gridSpan w:val="2"/>
          </w:tcPr>
          <w:p>
            <w:pPr>
              <w:jc w:val="right"/>
              <w:ind w:right="781"/>
              <w:spacing w:after="0"/>
              <w:rPr>
                <w:sz w:val="20"/>
                <w:szCs w:val="20"/>
                <w:color w:val="auto"/>
              </w:rPr>
            </w:pPr>
            <w:r>
              <w:rPr>
                <w:rFonts w:ascii="Arial" w:cs="Arial" w:eastAsia="Arial" w:hAnsi="Arial"/>
                <w:sz w:val="12"/>
                <w:szCs w:val="12"/>
                <w:b w:val="1"/>
                <w:bCs w:val="1"/>
                <w:color w:val="001544"/>
                <w:w w:val="81"/>
              </w:rPr>
              <w:t>($)</w:t>
            </w:r>
          </w:p>
        </w:tc>
        <w:tc>
          <w:tcPr>
            <w:tcW w:w="880" w:type="dxa"/>
            <w:vAlign w:val="bottom"/>
            <w:tcBorders>
              <w:bottom w:val="single" w:sz="8" w:color="001544"/>
            </w:tcBorders>
          </w:tcPr>
          <w:p>
            <w:pPr>
              <w:jc w:val="center"/>
              <w:ind w:left="643"/>
              <w:spacing w:after="0"/>
              <w:rPr>
                <w:sz w:val="20"/>
                <w:szCs w:val="20"/>
                <w:color w:val="auto"/>
              </w:rPr>
            </w:pPr>
            <w:r>
              <w:rPr>
                <w:rFonts w:ascii="Arial" w:cs="Arial" w:eastAsia="Arial" w:hAnsi="Arial"/>
                <w:sz w:val="12"/>
                <w:szCs w:val="12"/>
                <w:b w:val="1"/>
                <w:bCs w:val="1"/>
                <w:color w:val="001544"/>
                <w:w w:val="95"/>
              </w:rPr>
              <w:t>($)</w:t>
            </w:r>
          </w:p>
        </w:tc>
        <w:tc>
          <w:tcPr>
            <w:tcW w:w="700" w:type="dxa"/>
            <w:vAlign w:val="bottom"/>
            <w:tcBorders>
              <w:bottom w:val="single" w:sz="8" w:color="001544"/>
            </w:tcBorders>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001544"/>
                <w:w w:val="95"/>
              </w:rPr>
              <w:t>Total for</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001544"/>
                <w:w w:val="99"/>
              </w:rPr>
              <w:t>Paid to</w:t>
            </w:r>
          </w:p>
        </w:tc>
        <w:tc>
          <w:tcPr>
            <w:tcW w:w="800" w:type="dxa"/>
            <w:vAlign w:val="bottom"/>
            <w:vMerge w:val="continue"/>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001544"/>
                <w:w w:val="90"/>
              </w:rPr>
              <w:t>Total</w:t>
            </w:r>
          </w:p>
        </w:tc>
        <w:tc>
          <w:tcPr>
            <w:tcW w:w="9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b w:val="1"/>
                <w:bCs w:val="1"/>
                <w:color w:val="001544"/>
                <w:w w:val="96"/>
              </w:rPr>
              <w:t>Marc C.</w:t>
            </w:r>
          </w:p>
        </w:tc>
        <w:tc>
          <w:tcPr>
            <w:tcW w:w="100" w:type="dxa"/>
            <w:vAlign w:val="bottom"/>
          </w:tcPr>
          <w:p>
            <w:pPr>
              <w:spacing w:after="0"/>
              <w:rPr>
                <w:sz w:val="8"/>
                <w:szCs w:val="8"/>
                <w:color w:val="auto"/>
              </w:rPr>
            </w:pPr>
          </w:p>
        </w:tc>
        <w:tc>
          <w:tcPr>
            <w:tcW w:w="880" w:type="dxa"/>
            <w:vAlign w:val="bottom"/>
            <w:vMerge w:val="restart"/>
          </w:tcPr>
          <w:p>
            <w:pPr>
              <w:jc w:val="right"/>
              <w:ind w:right="181"/>
              <w:spacing w:after="0"/>
              <w:rPr>
                <w:sz w:val="20"/>
                <w:szCs w:val="20"/>
                <w:color w:val="auto"/>
              </w:rPr>
            </w:pPr>
            <w:r>
              <w:rPr>
                <w:rFonts w:ascii="Arial" w:cs="Arial" w:eastAsia="Arial" w:hAnsi="Arial"/>
                <w:sz w:val="12"/>
                <w:szCs w:val="12"/>
                <w:b w:val="1"/>
                <w:bCs w:val="1"/>
                <w:color w:val="001544"/>
              </w:rPr>
              <w:t>Thomas</w:t>
            </w:r>
          </w:p>
        </w:tc>
        <w:tc>
          <w:tcPr>
            <w:tcW w:w="880" w:type="dxa"/>
            <w:vAlign w:val="bottom"/>
            <w:vMerge w:val="restart"/>
          </w:tcPr>
          <w:p>
            <w:pPr>
              <w:jc w:val="center"/>
              <w:ind w:right="43"/>
              <w:spacing w:after="0"/>
              <w:rPr>
                <w:sz w:val="20"/>
                <w:szCs w:val="20"/>
                <w:color w:val="auto"/>
              </w:rPr>
            </w:pPr>
            <w:r>
              <w:rPr>
                <w:rFonts w:ascii="Arial" w:cs="Arial" w:eastAsia="Arial" w:hAnsi="Arial"/>
                <w:sz w:val="12"/>
                <w:szCs w:val="12"/>
                <w:b w:val="1"/>
                <w:bCs w:val="1"/>
                <w:color w:val="001544"/>
                <w:w w:val="96"/>
              </w:rPr>
              <w:t>Marc C.</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001544"/>
                <w:w w:val="97"/>
              </w:rPr>
              <w:t>Thomas J.</w:t>
            </w:r>
          </w:p>
        </w:tc>
        <w:tc>
          <w:tcPr>
            <w:tcW w:w="1020" w:type="dxa"/>
            <w:vAlign w:val="bottom"/>
          </w:tcPr>
          <w:p>
            <w:pPr>
              <w:jc w:val="center"/>
              <w:ind w:left="2"/>
              <w:spacing w:after="0" w:line="101" w:lineRule="exact"/>
              <w:rPr>
                <w:sz w:val="20"/>
                <w:szCs w:val="20"/>
                <w:color w:val="auto"/>
              </w:rPr>
            </w:pPr>
            <w:r>
              <w:rPr>
                <w:rFonts w:ascii="Arial" w:cs="Arial" w:eastAsia="Arial" w:hAnsi="Arial"/>
                <w:sz w:val="11"/>
                <w:szCs w:val="11"/>
                <w:b w:val="1"/>
                <w:bCs w:val="1"/>
                <w:color w:val="001544"/>
              </w:rPr>
              <w:t>Non-PEO</w:t>
            </w:r>
          </w:p>
        </w:tc>
        <w:tc>
          <w:tcPr>
            <w:tcW w:w="1020" w:type="dxa"/>
            <w:vAlign w:val="bottom"/>
          </w:tcPr>
          <w:p>
            <w:pPr>
              <w:jc w:val="center"/>
              <w:spacing w:after="0" w:line="101" w:lineRule="exact"/>
              <w:rPr>
                <w:sz w:val="20"/>
                <w:szCs w:val="20"/>
                <w:color w:val="auto"/>
              </w:rPr>
            </w:pPr>
            <w:r>
              <w:rPr>
                <w:rFonts w:ascii="Arial" w:cs="Arial" w:eastAsia="Arial" w:hAnsi="Arial"/>
                <w:sz w:val="11"/>
                <w:szCs w:val="11"/>
                <w:b w:val="1"/>
                <w:bCs w:val="1"/>
                <w:color w:val="001544"/>
              </w:rPr>
              <w:t>Non-PEO</w:t>
            </w:r>
          </w:p>
        </w:tc>
        <w:tc>
          <w:tcPr>
            <w:tcW w:w="800" w:type="dxa"/>
            <w:vAlign w:val="bottom"/>
          </w:tcPr>
          <w:p>
            <w:pPr>
              <w:jc w:val="center"/>
              <w:spacing w:after="0" w:line="101" w:lineRule="exact"/>
              <w:rPr>
                <w:sz w:val="20"/>
                <w:szCs w:val="20"/>
                <w:color w:val="auto"/>
              </w:rPr>
            </w:pPr>
            <w:r>
              <w:rPr>
                <w:rFonts w:ascii="Arial" w:cs="Arial" w:eastAsia="Arial" w:hAnsi="Arial"/>
                <w:sz w:val="11"/>
                <w:szCs w:val="11"/>
                <w:b w:val="1"/>
                <w:bCs w:val="1"/>
                <w:color w:val="001544"/>
              </w:rPr>
              <w:t>Shareholder</w:t>
            </w:r>
          </w:p>
        </w:tc>
        <w:tc>
          <w:tcPr>
            <w:tcW w:w="780" w:type="dxa"/>
            <w:vAlign w:val="bottom"/>
          </w:tcPr>
          <w:p>
            <w:pPr>
              <w:jc w:val="center"/>
              <w:spacing w:after="0" w:line="101" w:lineRule="exact"/>
              <w:rPr>
                <w:sz w:val="20"/>
                <w:szCs w:val="20"/>
                <w:color w:val="auto"/>
              </w:rPr>
            </w:pPr>
            <w:r>
              <w:rPr>
                <w:rFonts w:ascii="Arial" w:cs="Arial" w:eastAsia="Arial" w:hAnsi="Arial"/>
                <w:sz w:val="11"/>
                <w:szCs w:val="11"/>
                <w:b w:val="1"/>
                <w:bCs w:val="1"/>
                <w:color w:val="001544"/>
              </w:rPr>
              <w:t>Shareholder</w:t>
            </w:r>
          </w:p>
        </w:tc>
        <w:tc>
          <w:tcPr>
            <w:tcW w:w="940" w:type="dxa"/>
            <w:vAlign w:val="bottom"/>
          </w:tcPr>
          <w:p>
            <w:pPr>
              <w:jc w:val="center"/>
              <w:spacing w:after="0" w:line="101" w:lineRule="exact"/>
              <w:rPr>
                <w:sz w:val="20"/>
                <w:szCs w:val="20"/>
                <w:color w:val="auto"/>
              </w:rPr>
            </w:pPr>
            <w:r>
              <w:rPr>
                <w:rFonts w:ascii="Arial" w:cs="Arial" w:eastAsia="Arial" w:hAnsi="Arial"/>
                <w:sz w:val="11"/>
                <w:szCs w:val="11"/>
                <w:b w:val="1"/>
                <w:bCs w:val="1"/>
                <w:color w:val="001544"/>
              </w:rPr>
              <w:t>Net</w:t>
            </w:r>
          </w:p>
        </w:tc>
        <w:tc>
          <w:tcPr>
            <w:tcW w:w="820" w:type="dxa"/>
            <w:vAlign w:val="bottom"/>
          </w:tcPr>
          <w:p>
            <w:pPr>
              <w:jc w:val="center"/>
              <w:spacing w:after="0" w:line="101" w:lineRule="exact"/>
              <w:rPr>
                <w:sz w:val="20"/>
                <w:szCs w:val="20"/>
                <w:color w:val="auto"/>
              </w:rPr>
            </w:pPr>
            <w:r>
              <w:rPr>
                <w:rFonts w:ascii="Arial" w:cs="Arial" w:eastAsia="Arial" w:hAnsi="Arial"/>
                <w:sz w:val="11"/>
                <w:szCs w:val="11"/>
                <w:b w:val="1"/>
                <w:bCs w:val="1"/>
                <w:color w:val="001544"/>
              </w:rPr>
              <w:t>Capital</w:t>
            </w: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020" w:type="dxa"/>
            <w:vAlign w:val="bottom"/>
          </w:tcPr>
          <w:p>
            <w:pPr>
              <w:jc w:val="center"/>
              <w:ind w:left="2"/>
              <w:spacing w:after="0" w:line="151" w:lineRule="exact"/>
              <w:rPr>
                <w:sz w:val="20"/>
                <w:szCs w:val="20"/>
                <w:color w:val="auto"/>
              </w:rPr>
            </w:pPr>
            <w:r>
              <w:rPr>
                <w:rFonts w:ascii="Arial" w:cs="Arial" w:eastAsia="Arial" w:hAnsi="Arial"/>
                <w:sz w:val="12"/>
                <w:szCs w:val="12"/>
                <w:b w:val="1"/>
                <w:bCs w:val="1"/>
                <w:color w:val="001544"/>
                <w:w w:val="94"/>
              </w:rPr>
              <w:t>NEOs</w:t>
            </w:r>
            <w:r>
              <w:rPr>
                <w:rFonts w:ascii="Arial" w:cs="Arial" w:eastAsia="Arial" w:hAnsi="Arial"/>
                <w:sz w:val="17"/>
                <w:szCs w:val="17"/>
                <w:b w:val="1"/>
                <w:bCs w:val="1"/>
                <w:color w:val="001544"/>
                <w:w w:val="94"/>
                <w:vertAlign w:val="superscript"/>
              </w:rPr>
              <w:t>(3)</w:t>
            </w:r>
          </w:p>
        </w:tc>
        <w:tc>
          <w:tcPr>
            <w:tcW w:w="1020" w:type="dxa"/>
            <w:vAlign w:val="bottom"/>
          </w:tcPr>
          <w:p>
            <w:pPr>
              <w:jc w:val="center"/>
              <w:spacing w:after="0" w:line="151" w:lineRule="exact"/>
              <w:rPr>
                <w:sz w:val="20"/>
                <w:szCs w:val="20"/>
                <w:color w:val="auto"/>
              </w:rPr>
            </w:pPr>
            <w:r>
              <w:rPr>
                <w:rFonts w:ascii="Arial" w:cs="Arial" w:eastAsia="Arial" w:hAnsi="Arial"/>
                <w:sz w:val="12"/>
                <w:szCs w:val="12"/>
                <w:b w:val="1"/>
                <w:bCs w:val="1"/>
                <w:color w:val="001544"/>
                <w:w w:val="94"/>
              </w:rPr>
              <w:t>NEOs</w:t>
            </w:r>
            <w:r>
              <w:rPr>
                <w:rFonts w:ascii="Arial" w:cs="Arial" w:eastAsia="Arial" w:hAnsi="Arial"/>
                <w:sz w:val="17"/>
                <w:szCs w:val="17"/>
                <w:b w:val="1"/>
                <w:bCs w:val="1"/>
                <w:color w:val="001544"/>
                <w:w w:val="94"/>
                <w:vertAlign w:val="superscript"/>
              </w:rPr>
              <w:t>(4)</w:t>
            </w:r>
          </w:p>
        </w:tc>
        <w:tc>
          <w:tcPr>
            <w:tcW w:w="800" w:type="dxa"/>
            <w:vAlign w:val="bottom"/>
          </w:tcPr>
          <w:p>
            <w:pPr>
              <w:jc w:val="center"/>
              <w:spacing w:after="0" w:line="151" w:lineRule="exact"/>
              <w:rPr>
                <w:sz w:val="20"/>
                <w:szCs w:val="20"/>
                <w:color w:val="auto"/>
              </w:rPr>
            </w:pPr>
            <w:r>
              <w:rPr>
                <w:rFonts w:ascii="Arial" w:cs="Arial" w:eastAsia="Arial" w:hAnsi="Arial"/>
                <w:sz w:val="12"/>
                <w:szCs w:val="12"/>
                <w:b w:val="1"/>
                <w:bCs w:val="1"/>
                <w:color w:val="001544"/>
                <w:w w:val="91"/>
              </w:rPr>
              <w:t>Return</w:t>
            </w:r>
            <w:r>
              <w:rPr>
                <w:rFonts w:ascii="Arial" w:cs="Arial" w:eastAsia="Arial" w:hAnsi="Arial"/>
                <w:sz w:val="17"/>
                <w:szCs w:val="17"/>
                <w:b w:val="1"/>
                <w:bCs w:val="1"/>
                <w:color w:val="001544"/>
                <w:w w:val="91"/>
                <w:vertAlign w:val="superscript"/>
              </w:rPr>
              <w:t>(5)</w:t>
            </w:r>
          </w:p>
        </w:tc>
        <w:tc>
          <w:tcPr>
            <w:tcW w:w="780" w:type="dxa"/>
            <w:vAlign w:val="bottom"/>
          </w:tcPr>
          <w:p>
            <w:pPr>
              <w:jc w:val="center"/>
              <w:spacing w:after="0" w:line="151" w:lineRule="exact"/>
              <w:rPr>
                <w:sz w:val="20"/>
                <w:szCs w:val="20"/>
                <w:color w:val="auto"/>
              </w:rPr>
            </w:pPr>
            <w:r>
              <w:rPr>
                <w:rFonts w:ascii="Arial" w:cs="Arial" w:eastAsia="Arial" w:hAnsi="Arial"/>
                <w:sz w:val="12"/>
                <w:szCs w:val="12"/>
                <w:b w:val="1"/>
                <w:bCs w:val="1"/>
                <w:color w:val="001544"/>
                <w:w w:val="95"/>
              </w:rPr>
              <w:t>Return</w:t>
            </w:r>
            <w:r>
              <w:rPr>
                <w:rFonts w:ascii="Arial" w:cs="Arial" w:eastAsia="Arial" w:hAnsi="Arial"/>
                <w:sz w:val="17"/>
                <w:szCs w:val="17"/>
                <w:b w:val="1"/>
                <w:bCs w:val="1"/>
                <w:color w:val="001544"/>
                <w:w w:val="95"/>
                <w:vertAlign w:val="superscript"/>
              </w:rPr>
              <w:t>(6)</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001544"/>
                <w:w w:val="95"/>
              </w:rPr>
              <w:t>Income</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001544"/>
                <w:w w:val="93"/>
              </w:rPr>
              <w:t>Raise</w:t>
            </w:r>
          </w:p>
        </w:tc>
        <w:tc>
          <w:tcPr>
            <w:tcW w:w="0" w:type="dxa"/>
            <w:vAlign w:val="bottom"/>
          </w:tcPr>
          <w:p>
            <w:pPr>
              <w:spacing w:after="0"/>
              <w:rPr>
                <w:sz w:val="1"/>
                <w:szCs w:val="1"/>
                <w:color w:val="auto"/>
              </w:rPr>
            </w:pPr>
          </w:p>
        </w:tc>
      </w:tr>
      <w:tr>
        <w:trPr>
          <w:trHeight w:val="168"/>
        </w:trPr>
        <w:tc>
          <w:tcPr>
            <w:tcW w:w="660" w:type="dxa"/>
            <w:vAlign w:val="bottom"/>
            <w:tcBorders>
              <w:bottom w:val="single" w:sz="8" w:color="001544"/>
            </w:tcBorders>
          </w:tcPr>
          <w:p>
            <w:pPr>
              <w:ind w:left="100"/>
              <w:spacing w:after="0"/>
              <w:rPr>
                <w:sz w:val="20"/>
                <w:szCs w:val="20"/>
                <w:color w:val="auto"/>
              </w:rPr>
            </w:pPr>
            <w:r>
              <w:rPr>
                <w:rFonts w:ascii="Arial" w:cs="Arial" w:eastAsia="Arial" w:hAnsi="Arial"/>
                <w:sz w:val="12"/>
                <w:szCs w:val="12"/>
                <w:b w:val="1"/>
                <w:bCs w:val="1"/>
                <w:color w:val="001544"/>
              </w:rPr>
              <w:t>Year</w:t>
            </w:r>
          </w:p>
        </w:tc>
        <w:tc>
          <w:tcPr>
            <w:tcW w:w="80" w:type="dxa"/>
            <w:vAlign w:val="bottom"/>
            <w:tcBorders>
              <w:bottom w:val="single" w:sz="8" w:color="001544"/>
            </w:tcBorders>
          </w:tcPr>
          <w:p>
            <w:pPr>
              <w:spacing w:after="0"/>
              <w:rPr>
                <w:sz w:val="14"/>
                <w:szCs w:val="14"/>
                <w:color w:val="auto"/>
              </w:rPr>
            </w:pPr>
          </w:p>
        </w:tc>
        <w:tc>
          <w:tcPr>
            <w:tcW w:w="780" w:type="dxa"/>
            <w:vAlign w:val="bottom"/>
            <w:tcBorders>
              <w:bottom w:val="single" w:sz="8" w:color="001544"/>
            </w:tcBorders>
          </w:tcPr>
          <w:p>
            <w:pPr>
              <w:jc w:val="center"/>
              <w:spacing w:after="0"/>
              <w:rPr>
                <w:sz w:val="20"/>
                <w:szCs w:val="20"/>
                <w:color w:val="auto"/>
              </w:rPr>
            </w:pPr>
            <w:r>
              <w:rPr>
                <w:rFonts w:ascii="Arial" w:cs="Arial" w:eastAsia="Arial" w:hAnsi="Arial"/>
                <w:sz w:val="12"/>
                <w:szCs w:val="12"/>
                <w:b w:val="1"/>
                <w:bCs w:val="1"/>
                <w:color w:val="001544"/>
                <w:w w:val="97"/>
              </w:rPr>
              <w:t>Ganzi</w:t>
            </w:r>
          </w:p>
        </w:tc>
        <w:tc>
          <w:tcPr>
            <w:tcW w:w="100" w:type="dxa"/>
            <w:vAlign w:val="bottom"/>
            <w:tcBorders>
              <w:bottom w:val="single" w:sz="8" w:color="001544"/>
            </w:tcBorders>
          </w:tcPr>
          <w:p>
            <w:pPr>
              <w:spacing w:after="0"/>
              <w:rPr>
                <w:sz w:val="14"/>
                <w:szCs w:val="14"/>
                <w:color w:val="auto"/>
              </w:rPr>
            </w:pPr>
          </w:p>
        </w:tc>
        <w:tc>
          <w:tcPr>
            <w:tcW w:w="880" w:type="dxa"/>
            <w:vAlign w:val="bottom"/>
            <w:tcBorders>
              <w:bottom w:val="single" w:sz="8" w:color="001544"/>
            </w:tcBorders>
          </w:tcPr>
          <w:p>
            <w:pPr>
              <w:jc w:val="right"/>
              <w:ind w:right="101"/>
              <w:spacing w:after="0"/>
              <w:rPr>
                <w:sz w:val="20"/>
                <w:szCs w:val="20"/>
                <w:color w:val="auto"/>
              </w:rPr>
            </w:pPr>
            <w:r>
              <w:rPr>
                <w:rFonts w:ascii="Arial" w:cs="Arial" w:eastAsia="Arial" w:hAnsi="Arial"/>
                <w:sz w:val="12"/>
                <w:szCs w:val="12"/>
                <w:b w:val="1"/>
                <w:bCs w:val="1"/>
                <w:color w:val="001544"/>
              </w:rPr>
              <w:t>Barrack, Jr.</w:t>
            </w:r>
          </w:p>
        </w:tc>
        <w:tc>
          <w:tcPr>
            <w:tcW w:w="880" w:type="dxa"/>
            <w:vAlign w:val="bottom"/>
            <w:tcBorders>
              <w:bottom w:val="single" w:sz="8" w:color="001544"/>
            </w:tcBorders>
          </w:tcPr>
          <w:p>
            <w:pPr>
              <w:jc w:val="center"/>
              <w:ind w:right="63"/>
              <w:spacing w:after="0"/>
              <w:rPr>
                <w:sz w:val="20"/>
                <w:szCs w:val="20"/>
                <w:color w:val="auto"/>
              </w:rPr>
            </w:pPr>
            <w:r>
              <w:rPr>
                <w:rFonts w:ascii="Arial" w:cs="Arial" w:eastAsia="Arial" w:hAnsi="Arial"/>
                <w:sz w:val="12"/>
                <w:szCs w:val="12"/>
                <w:b w:val="1"/>
                <w:bCs w:val="1"/>
                <w:color w:val="001544"/>
                <w:w w:val="97"/>
              </w:rPr>
              <w:t>Ganzi</w:t>
            </w:r>
          </w:p>
        </w:tc>
        <w:tc>
          <w:tcPr>
            <w:tcW w:w="700" w:type="dxa"/>
            <w:vAlign w:val="bottom"/>
            <w:tcBorders>
              <w:bottom w:val="single" w:sz="8" w:color="001544"/>
            </w:tcBorders>
          </w:tcPr>
          <w:p>
            <w:pPr>
              <w:jc w:val="center"/>
              <w:spacing w:after="0"/>
              <w:rPr>
                <w:sz w:val="20"/>
                <w:szCs w:val="20"/>
                <w:color w:val="auto"/>
              </w:rPr>
            </w:pPr>
            <w:r>
              <w:rPr>
                <w:rFonts w:ascii="Arial" w:cs="Arial" w:eastAsia="Arial" w:hAnsi="Arial"/>
                <w:sz w:val="12"/>
                <w:szCs w:val="12"/>
                <w:b w:val="1"/>
                <w:bCs w:val="1"/>
                <w:color w:val="001544"/>
                <w:w w:val="96"/>
              </w:rPr>
              <w:t>Barrack, Jr.</w:t>
            </w:r>
          </w:p>
        </w:tc>
        <w:tc>
          <w:tcPr>
            <w:tcW w:w="1020" w:type="dxa"/>
            <w:vAlign w:val="bottom"/>
            <w:tcBorders>
              <w:bottom w:val="single" w:sz="8" w:color="001544"/>
            </w:tcBorders>
          </w:tcPr>
          <w:p>
            <w:pPr>
              <w:jc w:val="center"/>
              <w:spacing w:after="0"/>
              <w:rPr>
                <w:sz w:val="20"/>
                <w:szCs w:val="20"/>
                <w:color w:val="auto"/>
              </w:rPr>
            </w:pPr>
            <w:r>
              <w:rPr>
                <w:rFonts w:ascii="Arial" w:cs="Arial" w:eastAsia="Arial" w:hAnsi="Arial"/>
                <w:sz w:val="12"/>
                <w:szCs w:val="12"/>
                <w:b w:val="1"/>
                <w:bCs w:val="1"/>
                <w:color w:val="001544"/>
                <w:w w:val="95"/>
              </w:rPr>
              <w:t>($)</w:t>
            </w:r>
          </w:p>
        </w:tc>
        <w:tc>
          <w:tcPr>
            <w:tcW w:w="1020" w:type="dxa"/>
            <w:vAlign w:val="bottom"/>
            <w:tcBorders>
              <w:bottom w:val="single" w:sz="8" w:color="001544"/>
            </w:tcBorders>
          </w:tcPr>
          <w:p>
            <w:pPr>
              <w:jc w:val="center"/>
              <w:spacing w:after="0"/>
              <w:rPr>
                <w:sz w:val="20"/>
                <w:szCs w:val="20"/>
                <w:color w:val="auto"/>
              </w:rPr>
            </w:pPr>
            <w:r>
              <w:rPr>
                <w:rFonts w:ascii="Arial" w:cs="Arial" w:eastAsia="Arial" w:hAnsi="Arial"/>
                <w:sz w:val="12"/>
                <w:szCs w:val="12"/>
                <w:b w:val="1"/>
                <w:bCs w:val="1"/>
                <w:color w:val="001544"/>
                <w:w w:val="95"/>
              </w:rPr>
              <w:t>($)</w:t>
            </w:r>
          </w:p>
        </w:tc>
        <w:tc>
          <w:tcPr>
            <w:tcW w:w="800" w:type="dxa"/>
            <w:vAlign w:val="bottom"/>
            <w:tcBorders>
              <w:bottom w:val="single" w:sz="8" w:color="001544"/>
            </w:tcBorders>
          </w:tcPr>
          <w:p>
            <w:pPr>
              <w:jc w:val="center"/>
              <w:spacing w:after="0"/>
              <w:rPr>
                <w:sz w:val="20"/>
                <w:szCs w:val="20"/>
                <w:color w:val="auto"/>
              </w:rPr>
            </w:pPr>
            <w:r>
              <w:rPr>
                <w:rFonts w:ascii="Arial" w:cs="Arial" w:eastAsia="Arial" w:hAnsi="Arial"/>
                <w:sz w:val="12"/>
                <w:szCs w:val="12"/>
                <w:b w:val="1"/>
                <w:bCs w:val="1"/>
                <w:color w:val="001544"/>
                <w:w w:val="95"/>
              </w:rPr>
              <w:t>($)</w:t>
            </w:r>
          </w:p>
        </w:tc>
        <w:tc>
          <w:tcPr>
            <w:tcW w:w="780" w:type="dxa"/>
            <w:vAlign w:val="bottom"/>
            <w:tcBorders>
              <w:bottom w:val="single" w:sz="8" w:color="001544"/>
            </w:tcBorders>
          </w:tcPr>
          <w:p>
            <w:pPr>
              <w:jc w:val="center"/>
              <w:spacing w:after="0"/>
              <w:rPr>
                <w:sz w:val="20"/>
                <w:szCs w:val="20"/>
                <w:color w:val="auto"/>
              </w:rPr>
            </w:pPr>
            <w:r>
              <w:rPr>
                <w:rFonts w:ascii="Arial" w:cs="Arial" w:eastAsia="Arial" w:hAnsi="Arial"/>
                <w:sz w:val="12"/>
                <w:szCs w:val="12"/>
                <w:b w:val="1"/>
                <w:bCs w:val="1"/>
                <w:color w:val="001544"/>
                <w:w w:val="95"/>
              </w:rPr>
              <w:t>($)</w:t>
            </w:r>
          </w:p>
        </w:tc>
        <w:tc>
          <w:tcPr>
            <w:tcW w:w="940" w:type="dxa"/>
            <w:vAlign w:val="bottom"/>
            <w:tcBorders>
              <w:bottom w:val="single" w:sz="8" w:color="001544"/>
            </w:tcBorders>
          </w:tcPr>
          <w:p>
            <w:pPr>
              <w:jc w:val="center"/>
              <w:spacing w:after="0" w:line="168" w:lineRule="exact"/>
              <w:rPr>
                <w:sz w:val="20"/>
                <w:szCs w:val="20"/>
                <w:color w:val="auto"/>
              </w:rPr>
            </w:pPr>
            <w:r>
              <w:rPr>
                <w:rFonts w:ascii="Arial" w:cs="Arial" w:eastAsia="Arial" w:hAnsi="Arial"/>
                <w:sz w:val="12"/>
                <w:szCs w:val="12"/>
                <w:b w:val="1"/>
                <w:bCs w:val="1"/>
                <w:color w:val="001544"/>
                <w:w w:val="93"/>
              </w:rPr>
              <w:t>($ millions)</w:t>
            </w:r>
            <w:r>
              <w:rPr>
                <w:rFonts w:ascii="Arial" w:cs="Arial" w:eastAsia="Arial" w:hAnsi="Arial"/>
                <w:sz w:val="17"/>
                <w:szCs w:val="17"/>
                <w:b w:val="1"/>
                <w:bCs w:val="1"/>
                <w:color w:val="001544"/>
                <w:w w:val="93"/>
                <w:vertAlign w:val="superscript"/>
              </w:rPr>
              <w:t>(7)</w:t>
            </w:r>
          </w:p>
        </w:tc>
        <w:tc>
          <w:tcPr>
            <w:tcW w:w="820" w:type="dxa"/>
            <w:vAlign w:val="bottom"/>
            <w:tcBorders>
              <w:bottom w:val="single" w:sz="8" w:color="001544"/>
            </w:tcBorders>
          </w:tcPr>
          <w:p>
            <w:pPr>
              <w:jc w:val="right"/>
              <w:spacing w:after="0" w:line="168" w:lineRule="exact"/>
              <w:rPr>
                <w:sz w:val="20"/>
                <w:szCs w:val="20"/>
                <w:color w:val="auto"/>
              </w:rPr>
            </w:pPr>
            <w:r>
              <w:rPr>
                <w:rFonts w:ascii="Arial" w:cs="Arial" w:eastAsia="Arial" w:hAnsi="Arial"/>
                <w:sz w:val="12"/>
                <w:szCs w:val="12"/>
                <w:b w:val="1"/>
                <w:bCs w:val="1"/>
                <w:color w:val="001544"/>
                <w:w w:val="98"/>
              </w:rPr>
              <w:t>($ millions)</w:t>
            </w:r>
            <w:r>
              <w:rPr>
                <w:rFonts w:ascii="Arial" w:cs="Arial" w:eastAsia="Arial" w:hAnsi="Arial"/>
                <w:sz w:val="17"/>
                <w:szCs w:val="17"/>
                <w:b w:val="1"/>
                <w:bCs w:val="1"/>
                <w:color w:val="001544"/>
                <w:w w:val="98"/>
                <w:vertAlign w:val="superscript"/>
              </w:rPr>
              <w:t>(8)</w:t>
            </w:r>
          </w:p>
        </w:tc>
        <w:tc>
          <w:tcPr>
            <w:tcW w:w="0" w:type="dxa"/>
            <w:vAlign w:val="bottom"/>
          </w:tcPr>
          <w:p>
            <w:pPr>
              <w:spacing w:after="0"/>
              <w:rPr>
                <w:sz w:val="1"/>
                <w:szCs w:val="1"/>
                <w:color w:val="auto"/>
              </w:rPr>
            </w:pPr>
          </w:p>
        </w:tc>
      </w:tr>
      <w:tr>
        <w:trPr>
          <w:trHeight w:val="164"/>
        </w:trPr>
        <w:tc>
          <w:tcPr>
            <w:tcW w:w="660" w:type="dxa"/>
            <w:vAlign w:val="bottom"/>
            <w:tcBorders>
              <w:bottom w:val="single" w:sz="8" w:color="001544"/>
            </w:tcBorders>
          </w:tcPr>
          <w:p>
            <w:pPr>
              <w:ind w:left="100"/>
              <w:spacing w:after="0"/>
              <w:rPr>
                <w:sz w:val="20"/>
                <w:szCs w:val="20"/>
                <w:color w:val="auto"/>
              </w:rPr>
            </w:pPr>
            <w:r>
              <w:rPr>
                <w:rFonts w:ascii="Arial" w:cs="Arial" w:eastAsia="Arial" w:hAnsi="Arial"/>
                <w:sz w:val="12"/>
                <w:szCs w:val="12"/>
                <w:b w:val="1"/>
                <w:bCs w:val="1"/>
                <w:color w:val="001544"/>
              </w:rPr>
              <w:t xml:space="preserve">(a)   </w:t>
            </w:r>
          </w:p>
        </w:tc>
        <w:tc>
          <w:tcPr>
            <w:tcW w:w="80" w:type="dxa"/>
            <w:vAlign w:val="bottom"/>
            <w:tcBorders>
              <w:bottom w:val="single" w:sz="8" w:color="001544"/>
            </w:tcBorders>
          </w:tcPr>
          <w:p>
            <w:pPr>
              <w:spacing w:after="0"/>
              <w:rPr>
                <w:sz w:val="14"/>
                <w:szCs w:val="14"/>
                <w:color w:val="auto"/>
              </w:rPr>
            </w:pPr>
          </w:p>
        </w:tc>
        <w:tc>
          <w:tcPr>
            <w:tcW w:w="780" w:type="dxa"/>
            <w:vAlign w:val="bottom"/>
            <w:tcBorders>
              <w:bottom w:val="single" w:sz="8" w:color="001544"/>
            </w:tcBorders>
          </w:tcPr>
          <w:p>
            <w:pPr>
              <w:jc w:val="center"/>
              <w:spacing w:after="0"/>
              <w:rPr>
                <w:sz w:val="20"/>
                <w:szCs w:val="20"/>
                <w:color w:val="auto"/>
              </w:rPr>
            </w:pPr>
            <w:r>
              <w:rPr>
                <w:rFonts w:ascii="Arial" w:cs="Arial" w:eastAsia="Arial" w:hAnsi="Arial"/>
                <w:sz w:val="12"/>
                <w:szCs w:val="12"/>
                <w:b w:val="1"/>
                <w:bCs w:val="1"/>
                <w:color w:val="001544"/>
                <w:w w:val="97"/>
              </w:rPr>
              <w:t>(b)(i)</w:t>
            </w:r>
          </w:p>
        </w:tc>
        <w:tc>
          <w:tcPr>
            <w:tcW w:w="100" w:type="dxa"/>
            <w:vAlign w:val="bottom"/>
            <w:tcBorders>
              <w:bottom w:val="single" w:sz="8" w:color="001544"/>
            </w:tcBorders>
          </w:tcPr>
          <w:p>
            <w:pPr>
              <w:spacing w:after="0"/>
              <w:rPr>
                <w:sz w:val="14"/>
                <w:szCs w:val="14"/>
                <w:color w:val="auto"/>
              </w:rPr>
            </w:pPr>
          </w:p>
        </w:tc>
        <w:tc>
          <w:tcPr>
            <w:tcW w:w="880" w:type="dxa"/>
            <w:vAlign w:val="bottom"/>
            <w:tcBorders>
              <w:bottom w:val="single" w:sz="8" w:color="001544"/>
            </w:tcBorders>
          </w:tcPr>
          <w:p>
            <w:pPr>
              <w:jc w:val="right"/>
              <w:ind w:right="261"/>
              <w:spacing w:after="0"/>
              <w:rPr>
                <w:sz w:val="20"/>
                <w:szCs w:val="20"/>
                <w:color w:val="auto"/>
              </w:rPr>
            </w:pPr>
            <w:r>
              <w:rPr>
                <w:rFonts w:ascii="Arial" w:cs="Arial" w:eastAsia="Arial" w:hAnsi="Arial"/>
                <w:sz w:val="12"/>
                <w:szCs w:val="12"/>
                <w:b w:val="1"/>
                <w:bCs w:val="1"/>
                <w:color w:val="001544"/>
              </w:rPr>
              <w:t>(b)(ii)</w:t>
            </w:r>
          </w:p>
        </w:tc>
        <w:tc>
          <w:tcPr>
            <w:tcW w:w="880" w:type="dxa"/>
            <w:vAlign w:val="bottom"/>
            <w:tcBorders>
              <w:bottom w:val="single" w:sz="8" w:color="001544"/>
            </w:tcBorders>
          </w:tcPr>
          <w:p>
            <w:pPr>
              <w:jc w:val="center"/>
              <w:ind w:right="43"/>
              <w:spacing w:after="0"/>
              <w:rPr>
                <w:sz w:val="20"/>
                <w:szCs w:val="20"/>
                <w:color w:val="auto"/>
              </w:rPr>
            </w:pPr>
            <w:r>
              <w:rPr>
                <w:rFonts w:ascii="Arial" w:cs="Arial" w:eastAsia="Arial" w:hAnsi="Arial"/>
                <w:sz w:val="12"/>
                <w:szCs w:val="12"/>
                <w:b w:val="1"/>
                <w:bCs w:val="1"/>
                <w:color w:val="001544"/>
                <w:w w:val="99"/>
              </w:rPr>
              <w:t>(c)(i)</w:t>
            </w:r>
          </w:p>
        </w:tc>
        <w:tc>
          <w:tcPr>
            <w:tcW w:w="700" w:type="dxa"/>
            <w:vAlign w:val="bottom"/>
            <w:tcBorders>
              <w:bottom w:val="single" w:sz="8" w:color="001544"/>
            </w:tcBorders>
          </w:tcPr>
          <w:p>
            <w:pPr>
              <w:jc w:val="center"/>
              <w:spacing w:after="0"/>
              <w:rPr>
                <w:sz w:val="20"/>
                <w:szCs w:val="20"/>
                <w:color w:val="auto"/>
              </w:rPr>
            </w:pPr>
            <w:r>
              <w:rPr>
                <w:rFonts w:ascii="Arial" w:cs="Arial" w:eastAsia="Arial" w:hAnsi="Arial"/>
                <w:sz w:val="12"/>
                <w:szCs w:val="12"/>
                <w:b w:val="1"/>
                <w:bCs w:val="1"/>
                <w:color w:val="001544"/>
                <w:w w:val="95"/>
              </w:rPr>
              <w:t>(c)(ii)</w:t>
            </w:r>
          </w:p>
        </w:tc>
        <w:tc>
          <w:tcPr>
            <w:tcW w:w="1020" w:type="dxa"/>
            <w:vAlign w:val="bottom"/>
            <w:tcBorders>
              <w:bottom w:val="single" w:sz="8" w:color="001544"/>
            </w:tcBorders>
          </w:tcPr>
          <w:p>
            <w:pPr>
              <w:jc w:val="center"/>
              <w:ind w:left="2"/>
              <w:spacing w:after="0"/>
              <w:rPr>
                <w:sz w:val="20"/>
                <w:szCs w:val="20"/>
                <w:color w:val="auto"/>
              </w:rPr>
            </w:pPr>
            <w:r>
              <w:rPr>
                <w:rFonts w:ascii="Arial" w:cs="Arial" w:eastAsia="Arial" w:hAnsi="Arial"/>
                <w:sz w:val="12"/>
                <w:szCs w:val="12"/>
                <w:b w:val="1"/>
                <w:bCs w:val="1"/>
                <w:color w:val="001544"/>
              </w:rPr>
              <w:t>(d)</w:t>
            </w:r>
          </w:p>
        </w:tc>
        <w:tc>
          <w:tcPr>
            <w:tcW w:w="1020" w:type="dxa"/>
            <w:vAlign w:val="bottom"/>
            <w:tcBorders>
              <w:bottom w:val="single" w:sz="8" w:color="001544"/>
            </w:tcBorders>
          </w:tcPr>
          <w:p>
            <w:pPr>
              <w:jc w:val="center"/>
              <w:spacing w:after="0"/>
              <w:rPr>
                <w:sz w:val="20"/>
                <w:szCs w:val="20"/>
                <w:color w:val="auto"/>
              </w:rPr>
            </w:pPr>
            <w:r>
              <w:rPr>
                <w:rFonts w:ascii="Arial" w:cs="Arial" w:eastAsia="Arial" w:hAnsi="Arial"/>
                <w:sz w:val="12"/>
                <w:szCs w:val="12"/>
                <w:b w:val="1"/>
                <w:bCs w:val="1"/>
                <w:color w:val="001544"/>
                <w:w w:val="95"/>
              </w:rPr>
              <w:t>(e)</w:t>
            </w:r>
          </w:p>
        </w:tc>
        <w:tc>
          <w:tcPr>
            <w:tcW w:w="800" w:type="dxa"/>
            <w:vAlign w:val="bottom"/>
            <w:tcBorders>
              <w:bottom w:val="single" w:sz="8" w:color="001544"/>
            </w:tcBorders>
          </w:tcPr>
          <w:p>
            <w:pPr>
              <w:jc w:val="center"/>
              <w:spacing w:after="0"/>
              <w:rPr>
                <w:sz w:val="20"/>
                <w:szCs w:val="20"/>
                <w:color w:val="auto"/>
              </w:rPr>
            </w:pPr>
            <w:r>
              <w:rPr>
                <w:rFonts w:ascii="Arial" w:cs="Arial" w:eastAsia="Arial" w:hAnsi="Arial"/>
                <w:sz w:val="12"/>
                <w:szCs w:val="12"/>
                <w:b w:val="1"/>
                <w:bCs w:val="1"/>
                <w:color w:val="001544"/>
                <w:w w:val="99"/>
              </w:rPr>
              <w:t>(f)</w:t>
            </w:r>
          </w:p>
        </w:tc>
        <w:tc>
          <w:tcPr>
            <w:tcW w:w="780" w:type="dxa"/>
            <w:vAlign w:val="bottom"/>
            <w:tcBorders>
              <w:bottom w:val="single" w:sz="8" w:color="001544"/>
            </w:tcBorders>
          </w:tcPr>
          <w:p>
            <w:pPr>
              <w:jc w:val="center"/>
              <w:spacing w:after="0"/>
              <w:rPr>
                <w:sz w:val="20"/>
                <w:szCs w:val="20"/>
                <w:color w:val="auto"/>
              </w:rPr>
            </w:pPr>
            <w:r>
              <w:rPr>
                <w:rFonts w:ascii="Arial" w:cs="Arial" w:eastAsia="Arial" w:hAnsi="Arial"/>
                <w:sz w:val="12"/>
                <w:szCs w:val="12"/>
                <w:b w:val="1"/>
                <w:bCs w:val="1"/>
                <w:color w:val="001544"/>
                <w:w w:val="91"/>
              </w:rPr>
              <w:t>(g)</w:t>
            </w:r>
          </w:p>
        </w:tc>
        <w:tc>
          <w:tcPr>
            <w:tcW w:w="940" w:type="dxa"/>
            <w:vAlign w:val="bottom"/>
            <w:tcBorders>
              <w:bottom w:val="single" w:sz="8" w:color="001544"/>
            </w:tcBorders>
          </w:tcPr>
          <w:p>
            <w:pPr>
              <w:jc w:val="center"/>
              <w:spacing w:after="0"/>
              <w:rPr>
                <w:sz w:val="20"/>
                <w:szCs w:val="20"/>
                <w:color w:val="auto"/>
              </w:rPr>
            </w:pPr>
            <w:r>
              <w:rPr>
                <w:rFonts w:ascii="Arial" w:cs="Arial" w:eastAsia="Arial" w:hAnsi="Arial"/>
                <w:sz w:val="12"/>
                <w:szCs w:val="12"/>
                <w:b w:val="1"/>
                <w:bCs w:val="1"/>
                <w:color w:val="001544"/>
              </w:rPr>
              <w:t>(h)</w:t>
            </w:r>
          </w:p>
        </w:tc>
        <w:tc>
          <w:tcPr>
            <w:tcW w:w="820" w:type="dxa"/>
            <w:vAlign w:val="bottom"/>
            <w:tcBorders>
              <w:bottom w:val="single" w:sz="8" w:color="001544"/>
            </w:tcBorders>
          </w:tcPr>
          <w:p>
            <w:pPr>
              <w:jc w:val="center"/>
              <w:spacing w:after="0"/>
              <w:rPr>
                <w:sz w:val="20"/>
                <w:szCs w:val="20"/>
                <w:color w:val="auto"/>
              </w:rPr>
            </w:pPr>
            <w:r>
              <w:rPr>
                <w:rFonts w:ascii="Arial" w:cs="Arial" w:eastAsia="Arial" w:hAnsi="Arial"/>
                <w:sz w:val="12"/>
                <w:szCs w:val="12"/>
                <w:b w:val="1"/>
                <w:bCs w:val="1"/>
                <w:color w:val="001544"/>
                <w:w w:val="87"/>
              </w:rPr>
              <w:t>(i)</w:t>
            </w:r>
          </w:p>
        </w:tc>
        <w:tc>
          <w:tcPr>
            <w:tcW w:w="0" w:type="dxa"/>
            <w:vAlign w:val="bottom"/>
          </w:tcPr>
          <w:p>
            <w:pPr>
              <w:spacing w:after="0"/>
              <w:rPr>
                <w:sz w:val="1"/>
                <w:szCs w:val="1"/>
                <w:color w:val="auto"/>
              </w:rPr>
            </w:pPr>
          </w:p>
        </w:tc>
      </w:tr>
      <w:tr>
        <w:trPr>
          <w:trHeight w:val="165"/>
        </w:trPr>
        <w:tc>
          <w:tcPr>
            <w:tcW w:w="66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2"/>
                <w:szCs w:val="12"/>
                <w:color w:val="auto"/>
              </w:rPr>
              <w:t>2024</w:t>
            </w:r>
          </w:p>
        </w:tc>
        <w:tc>
          <w:tcPr>
            <w:tcW w:w="86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2"/>
                <w:szCs w:val="12"/>
                <w:color w:val="auto"/>
              </w:rPr>
              <w:t>6,037,189</w:t>
            </w:r>
          </w:p>
        </w:tc>
        <w:tc>
          <w:tcPr>
            <w:tcW w:w="100" w:type="dxa"/>
            <w:vAlign w:val="bottom"/>
            <w:tcBorders>
              <w:bottom w:val="single" w:sz="8" w:color="001544"/>
            </w:tcBorders>
            <w:shd w:val="clear" w:color="auto" w:fill="DBDFEA"/>
          </w:tcPr>
          <w:p>
            <w:pPr>
              <w:spacing w:after="0"/>
              <w:rPr>
                <w:sz w:val="14"/>
                <w:szCs w:val="14"/>
                <w:color w:val="auto"/>
              </w:rPr>
            </w:pPr>
          </w:p>
        </w:tc>
        <w:tc>
          <w:tcPr>
            <w:tcW w:w="880" w:type="dxa"/>
            <w:vAlign w:val="bottom"/>
            <w:tcBorders>
              <w:bottom w:val="single" w:sz="8" w:color="001544"/>
            </w:tcBorders>
            <w:shd w:val="clear" w:color="auto" w:fill="DBDFEA"/>
          </w:tcPr>
          <w:p>
            <w:pPr>
              <w:jc w:val="right"/>
              <w:ind w:right="61"/>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001544"/>
            </w:tcBorders>
            <w:shd w:val="clear" w:color="auto" w:fill="DBDFEA"/>
          </w:tcPr>
          <w:p>
            <w:pPr>
              <w:jc w:val="right"/>
              <w:ind w:right="83"/>
              <w:spacing w:after="0"/>
              <w:rPr>
                <w:sz w:val="20"/>
                <w:szCs w:val="20"/>
                <w:color w:val="auto"/>
              </w:rPr>
            </w:pPr>
            <w:r>
              <w:rPr>
                <w:rFonts w:ascii="Arial" w:cs="Arial" w:eastAsia="Arial" w:hAnsi="Arial"/>
                <w:sz w:val="12"/>
                <w:szCs w:val="12"/>
                <w:color w:val="auto"/>
              </w:rPr>
              <w:t>633,166</w:t>
            </w:r>
          </w:p>
        </w:tc>
        <w:tc>
          <w:tcPr>
            <w:tcW w:w="7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001544"/>
            </w:tcBorders>
            <w:shd w:val="clear" w:color="auto" w:fill="DBDFEA"/>
          </w:tcPr>
          <w:p>
            <w:pPr>
              <w:jc w:val="right"/>
              <w:ind w:right="22"/>
              <w:spacing w:after="0"/>
              <w:rPr>
                <w:sz w:val="20"/>
                <w:szCs w:val="20"/>
                <w:color w:val="auto"/>
              </w:rPr>
            </w:pPr>
            <w:r>
              <w:rPr>
                <w:rFonts w:ascii="Arial" w:cs="Arial" w:eastAsia="Arial" w:hAnsi="Arial"/>
                <w:sz w:val="12"/>
                <w:szCs w:val="12"/>
                <w:color w:val="auto"/>
              </w:rPr>
              <w:t>3,431,210</w:t>
            </w:r>
          </w:p>
        </w:tc>
        <w:tc>
          <w:tcPr>
            <w:tcW w:w="1020" w:type="dxa"/>
            <w:vAlign w:val="bottom"/>
            <w:tcBorders>
              <w:bottom w:val="single" w:sz="8" w:color="001544"/>
            </w:tcBorders>
            <w:shd w:val="clear" w:color="auto" w:fill="DBDFEA"/>
          </w:tcPr>
          <w:p>
            <w:pPr>
              <w:jc w:val="right"/>
              <w:ind w:right="62"/>
              <w:spacing w:after="0"/>
              <w:rPr>
                <w:sz w:val="20"/>
                <w:szCs w:val="20"/>
                <w:color w:val="auto"/>
              </w:rPr>
            </w:pPr>
            <w:r>
              <w:rPr>
                <w:rFonts w:ascii="Arial" w:cs="Arial" w:eastAsia="Arial" w:hAnsi="Arial"/>
                <w:sz w:val="12"/>
                <w:szCs w:val="12"/>
                <w:color w:val="auto"/>
              </w:rPr>
              <w:t>1,411,495</w:t>
            </w:r>
          </w:p>
        </w:tc>
        <w:tc>
          <w:tcPr>
            <w:tcW w:w="800" w:type="dxa"/>
            <w:vAlign w:val="bottom"/>
            <w:tcBorders>
              <w:bottom w:val="single" w:sz="8" w:color="001544"/>
            </w:tcBorders>
            <w:shd w:val="clear" w:color="auto" w:fill="DBDFEA"/>
          </w:tcPr>
          <w:p>
            <w:pPr>
              <w:jc w:val="right"/>
              <w:ind w:right="22"/>
              <w:spacing w:after="0"/>
              <w:rPr>
                <w:sz w:val="20"/>
                <w:szCs w:val="20"/>
                <w:color w:val="auto"/>
              </w:rPr>
            </w:pPr>
            <w:r>
              <w:rPr>
                <w:rFonts w:ascii="Arial" w:cs="Arial" w:eastAsia="Arial" w:hAnsi="Arial"/>
                <w:sz w:val="12"/>
                <w:szCs w:val="12"/>
                <w:color w:val="auto"/>
              </w:rPr>
              <w:t>62.57</w:t>
            </w:r>
          </w:p>
        </w:tc>
        <w:tc>
          <w:tcPr>
            <w:tcW w:w="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188.38</w:t>
            </w:r>
          </w:p>
        </w:tc>
        <w:tc>
          <w:tcPr>
            <w:tcW w:w="940" w:type="dxa"/>
            <w:vAlign w:val="bottom"/>
            <w:tcBorders>
              <w:bottom w:val="single" w:sz="8" w:color="001544"/>
            </w:tcBorders>
            <w:shd w:val="clear" w:color="auto" w:fill="DBDFEA"/>
          </w:tcPr>
          <w:p>
            <w:pPr>
              <w:jc w:val="right"/>
              <w:ind w:right="42"/>
              <w:spacing w:after="0"/>
              <w:rPr>
                <w:sz w:val="20"/>
                <w:szCs w:val="20"/>
                <w:color w:val="auto"/>
              </w:rPr>
            </w:pPr>
            <w:r>
              <w:rPr>
                <w:rFonts w:ascii="Arial" w:cs="Arial" w:eastAsia="Arial" w:hAnsi="Arial"/>
                <w:sz w:val="12"/>
                <w:szCs w:val="12"/>
                <w:color w:val="auto"/>
              </w:rPr>
              <w:t>147</w:t>
            </w: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8,978</w:t>
            </w:r>
          </w:p>
        </w:tc>
        <w:tc>
          <w:tcPr>
            <w:tcW w:w="0" w:type="dxa"/>
            <w:vAlign w:val="bottom"/>
          </w:tcPr>
          <w:p>
            <w:pPr>
              <w:spacing w:after="0"/>
              <w:rPr>
                <w:sz w:val="1"/>
                <w:szCs w:val="1"/>
                <w:color w:val="auto"/>
              </w:rPr>
            </w:pPr>
          </w:p>
        </w:tc>
      </w:tr>
      <w:tr>
        <w:trPr>
          <w:trHeight w:val="168"/>
        </w:trPr>
        <w:tc>
          <w:tcPr>
            <w:tcW w:w="66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2"/>
                <w:szCs w:val="12"/>
                <w:color w:val="auto"/>
              </w:rPr>
              <w:t>2023</w:t>
            </w:r>
          </w:p>
        </w:tc>
        <w:tc>
          <w:tcPr>
            <w:tcW w:w="80" w:type="dxa"/>
            <w:vAlign w:val="bottom"/>
            <w:tcBorders>
              <w:bottom w:val="single" w:sz="8" w:color="001544"/>
            </w:tcBorders>
            <w:shd w:val="clear" w:color="auto" w:fill="DBDFEA"/>
          </w:tcPr>
          <w:p>
            <w:pPr>
              <w:spacing w:after="0"/>
              <w:rPr>
                <w:sz w:val="14"/>
                <w:szCs w:val="14"/>
                <w:color w:val="auto"/>
              </w:rPr>
            </w:pPr>
          </w:p>
        </w:tc>
        <w:tc>
          <w:tcPr>
            <w:tcW w:w="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7,782,550</w:t>
            </w:r>
          </w:p>
        </w:tc>
        <w:tc>
          <w:tcPr>
            <w:tcW w:w="100" w:type="dxa"/>
            <w:vAlign w:val="bottom"/>
            <w:tcBorders>
              <w:bottom w:val="single" w:sz="8" w:color="001544"/>
            </w:tcBorders>
            <w:shd w:val="clear" w:color="auto" w:fill="DBDFEA"/>
          </w:tcPr>
          <w:p>
            <w:pPr>
              <w:spacing w:after="0"/>
              <w:rPr>
                <w:sz w:val="14"/>
                <w:szCs w:val="14"/>
                <w:color w:val="auto"/>
              </w:rPr>
            </w:pPr>
          </w:p>
        </w:tc>
        <w:tc>
          <w:tcPr>
            <w:tcW w:w="880" w:type="dxa"/>
            <w:vAlign w:val="bottom"/>
            <w:tcBorders>
              <w:bottom w:val="single" w:sz="8" w:color="001544"/>
            </w:tcBorders>
            <w:shd w:val="clear" w:color="auto" w:fill="DBDFEA"/>
          </w:tcPr>
          <w:p>
            <w:pPr>
              <w:jc w:val="right"/>
              <w:ind w:right="61"/>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001544"/>
            </w:tcBorders>
            <w:shd w:val="clear" w:color="auto" w:fill="DBDFEA"/>
          </w:tcPr>
          <w:p>
            <w:pPr>
              <w:jc w:val="right"/>
              <w:ind w:right="83"/>
              <w:spacing w:after="0"/>
              <w:rPr>
                <w:sz w:val="20"/>
                <w:szCs w:val="20"/>
                <w:color w:val="auto"/>
              </w:rPr>
            </w:pPr>
            <w:r>
              <w:rPr>
                <w:rFonts w:ascii="Arial" w:cs="Arial" w:eastAsia="Arial" w:hAnsi="Arial"/>
                <w:sz w:val="12"/>
                <w:szCs w:val="12"/>
                <w:color w:val="auto"/>
              </w:rPr>
              <w:t>10,591,279</w:t>
            </w:r>
          </w:p>
        </w:tc>
        <w:tc>
          <w:tcPr>
            <w:tcW w:w="7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001544"/>
            </w:tcBorders>
            <w:shd w:val="clear" w:color="auto" w:fill="DBDFEA"/>
          </w:tcPr>
          <w:p>
            <w:pPr>
              <w:jc w:val="right"/>
              <w:ind w:right="22"/>
              <w:spacing w:after="0"/>
              <w:rPr>
                <w:sz w:val="20"/>
                <w:szCs w:val="20"/>
                <w:color w:val="auto"/>
              </w:rPr>
            </w:pPr>
            <w:r>
              <w:rPr>
                <w:rFonts w:ascii="Arial" w:cs="Arial" w:eastAsia="Arial" w:hAnsi="Arial"/>
                <w:sz w:val="12"/>
                <w:szCs w:val="12"/>
                <w:color w:val="auto"/>
              </w:rPr>
              <w:t>4,175,207</w:t>
            </w:r>
          </w:p>
        </w:tc>
        <w:tc>
          <w:tcPr>
            <w:tcW w:w="1020" w:type="dxa"/>
            <w:vAlign w:val="bottom"/>
            <w:tcBorders>
              <w:bottom w:val="single" w:sz="8" w:color="001544"/>
            </w:tcBorders>
            <w:shd w:val="clear" w:color="auto" w:fill="DBDFEA"/>
          </w:tcPr>
          <w:p>
            <w:pPr>
              <w:jc w:val="right"/>
              <w:ind w:right="62"/>
              <w:spacing w:after="0"/>
              <w:rPr>
                <w:sz w:val="20"/>
                <w:szCs w:val="20"/>
                <w:color w:val="auto"/>
              </w:rPr>
            </w:pPr>
            <w:r>
              <w:rPr>
                <w:rFonts w:ascii="Arial" w:cs="Arial" w:eastAsia="Arial" w:hAnsi="Arial"/>
                <w:sz w:val="12"/>
                <w:szCs w:val="12"/>
                <w:color w:val="auto"/>
              </w:rPr>
              <w:t>5,159,367</w:t>
            </w:r>
          </w:p>
        </w:tc>
        <w:tc>
          <w:tcPr>
            <w:tcW w:w="800" w:type="dxa"/>
            <w:vAlign w:val="bottom"/>
            <w:tcBorders>
              <w:bottom w:val="single" w:sz="8" w:color="001544"/>
            </w:tcBorders>
            <w:shd w:val="clear" w:color="auto" w:fill="DBDFEA"/>
          </w:tcPr>
          <w:p>
            <w:pPr>
              <w:jc w:val="right"/>
              <w:ind w:right="22"/>
              <w:spacing w:after="0"/>
              <w:rPr>
                <w:sz w:val="20"/>
                <w:szCs w:val="20"/>
                <w:color w:val="auto"/>
              </w:rPr>
            </w:pPr>
            <w:r>
              <w:rPr>
                <w:rFonts w:ascii="Arial" w:cs="Arial" w:eastAsia="Arial" w:hAnsi="Arial"/>
                <w:sz w:val="12"/>
                <w:szCs w:val="12"/>
                <w:color w:val="auto"/>
              </w:rPr>
              <w:t>97.29</w:t>
            </w:r>
          </w:p>
        </w:tc>
        <w:tc>
          <w:tcPr>
            <w:tcW w:w="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139.77</w:t>
            </w:r>
          </w:p>
        </w:tc>
        <w:tc>
          <w:tcPr>
            <w:tcW w:w="940" w:type="dxa"/>
            <w:vAlign w:val="bottom"/>
            <w:tcBorders>
              <w:bottom w:val="single" w:sz="8" w:color="001544"/>
            </w:tcBorders>
            <w:shd w:val="clear" w:color="auto" w:fill="DBDFEA"/>
          </w:tcPr>
          <w:p>
            <w:pPr>
              <w:jc w:val="right"/>
              <w:ind w:right="42"/>
              <w:spacing w:after="0"/>
              <w:rPr>
                <w:sz w:val="20"/>
                <w:szCs w:val="20"/>
                <w:color w:val="auto"/>
              </w:rPr>
            </w:pPr>
            <w:r>
              <w:rPr>
                <w:rFonts w:ascii="Arial" w:cs="Arial" w:eastAsia="Arial" w:hAnsi="Arial"/>
                <w:sz w:val="12"/>
                <w:szCs w:val="12"/>
                <w:color w:val="auto"/>
              </w:rPr>
              <w:t>45</w:t>
            </w: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6,853</w:t>
            </w:r>
          </w:p>
        </w:tc>
        <w:tc>
          <w:tcPr>
            <w:tcW w:w="0" w:type="dxa"/>
            <w:vAlign w:val="bottom"/>
          </w:tcPr>
          <w:p>
            <w:pPr>
              <w:spacing w:after="0"/>
              <w:rPr>
                <w:sz w:val="1"/>
                <w:szCs w:val="1"/>
                <w:color w:val="auto"/>
              </w:rPr>
            </w:pPr>
          </w:p>
        </w:tc>
      </w:tr>
      <w:tr>
        <w:trPr>
          <w:trHeight w:val="168"/>
        </w:trPr>
        <w:tc>
          <w:tcPr>
            <w:tcW w:w="66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2"/>
                <w:szCs w:val="12"/>
                <w:color w:val="auto"/>
              </w:rPr>
              <w:t>2022</w:t>
            </w:r>
          </w:p>
        </w:tc>
        <w:tc>
          <w:tcPr>
            <w:tcW w:w="80" w:type="dxa"/>
            <w:vAlign w:val="bottom"/>
            <w:tcBorders>
              <w:bottom w:val="single" w:sz="8" w:color="001544"/>
            </w:tcBorders>
            <w:shd w:val="clear" w:color="auto" w:fill="DBDFEA"/>
          </w:tcPr>
          <w:p>
            <w:pPr>
              <w:spacing w:after="0"/>
              <w:rPr>
                <w:sz w:val="14"/>
                <w:szCs w:val="14"/>
                <w:color w:val="auto"/>
              </w:rPr>
            </w:pPr>
          </w:p>
        </w:tc>
        <w:tc>
          <w:tcPr>
            <w:tcW w:w="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38,321,508</w:t>
            </w:r>
          </w:p>
        </w:tc>
        <w:tc>
          <w:tcPr>
            <w:tcW w:w="100" w:type="dxa"/>
            <w:vAlign w:val="bottom"/>
            <w:tcBorders>
              <w:bottom w:val="single" w:sz="8" w:color="001544"/>
            </w:tcBorders>
            <w:shd w:val="clear" w:color="auto" w:fill="DBDFEA"/>
          </w:tcPr>
          <w:p>
            <w:pPr>
              <w:spacing w:after="0"/>
              <w:rPr>
                <w:sz w:val="14"/>
                <w:szCs w:val="14"/>
                <w:color w:val="auto"/>
              </w:rPr>
            </w:pPr>
          </w:p>
        </w:tc>
        <w:tc>
          <w:tcPr>
            <w:tcW w:w="880" w:type="dxa"/>
            <w:vAlign w:val="bottom"/>
            <w:tcBorders>
              <w:bottom w:val="single" w:sz="8" w:color="001544"/>
            </w:tcBorders>
            <w:shd w:val="clear" w:color="auto" w:fill="DBDFEA"/>
          </w:tcPr>
          <w:p>
            <w:pPr>
              <w:jc w:val="right"/>
              <w:ind w:right="61"/>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001544"/>
            </w:tcBorders>
            <w:shd w:val="clear" w:color="auto" w:fill="DBDFEA"/>
          </w:tcPr>
          <w:p>
            <w:pPr>
              <w:jc w:val="right"/>
              <w:ind w:right="43"/>
              <w:spacing w:after="0"/>
              <w:rPr>
                <w:sz w:val="20"/>
                <w:szCs w:val="20"/>
                <w:color w:val="auto"/>
              </w:rPr>
            </w:pPr>
            <w:r>
              <w:rPr>
                <w:rFonts w:ascii="Arial" w:cs="Arial" w:eastAsia="Arial" w:hAnsi="Arial"/>
                <w:sz w:val="12"/>
                <w:szCs w:val="12"/>
                <w:color w:val="auto"/>
              </w:rPr>
              <w:t>(23,388,454)</w:t>
            </w:r>
          </w:p>
        </w:tc>
        <w:tc>
          <w:tcPr>
            <w:tcW w:w="7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001544"/>
            </w:tcBorders>
            <w:shd w:val="clear" w:color="auto" w:fill="DBDFEA"/>
          </w:tcPr>
          <w:p>
            <w:pPr>
              <w:jc w:val="right"/>
              <w:ind w:right="22"/>
              <w:spacing w:after="0"/>
              <w:rPr>
                <w:sz w:val="20"/>
                <w:szCs w:val="20"/>
                <w:color w:val="auto"/>
              </w:rPr>
            </w:pPr>
            <w:r>
              <w:rPr>
                <w:rFonts w:ascii="Arial" w:cs="Arial" w:eastAsia="Arial" w:hAnsi="Arial"/>
                <w:sz w:val="12"/>
                <w:szCs w:val="12"/>
                <w:color w:val="auto"/>
              </w:rPr>
              <w:t>7,646,528</w:t>
            </w:r>
          </w:p>
        </w:tc>
        <w:tc>
          <w:tcPr>
            <w:tcW w:w="1020" w:type="dxa"/>
            <w:vAlign w:val="bottom"/>
            <w:tcBorders>
              <w:bottom w:val="single" w:sz="8" w:color="001544"/>
            </w:tcBorders>
            <w:shd w:val="clear" w:color="auto" w:fill="DBDFEA"/>
          </w:tcPr>
          <w:p>
            <w:pPr>
              <w:jc w:val="right"/>
              <w:ind w:right="62"/>
              <w:spacing w:after="0"/>
              <w:rPr>
                <w:sz w:val="20"/>
                <w:szCs w:val="20"/>
                <w:color w:val="auto"/>
              </w:rPr>
            </w:pPr>
            <w:r>
              <w:rPr>
                <w:rFonts w:ascii="Arial" w:cs="Arial" w:eastAsia="Arial" w:hAnsi="Arial"/>
                <w:sz w:val="12"/>
                <w:szCs w:val="12"/>
                <w:color w:val="auto"/>
              </w:rPr>
              <w:t>3,902,589</w:t>
            </w:r>
          </w:p>
        </w:tc>
        <w:tc>
          <w:tcPr>
            <w:tcW w:w="800" w:type="dxa"/>
            <w:vAlign w:val="bottom"/>
            <w:tcBorders>
              <w:bottom w:val="single" w:sz="8" w:color="001544"/>
            </w:tcBorders>
            <w:shd w:val="clear" w:color="auto" w:fill="DBDFEA"/>
          </w:tcPr>
          <w:p>
            <w:pPr>
              <w:jc w:val="right"/>
              <w:ind w:right="22"/>
              <w:spacing w:after="0"/>
              <w:rPr>
                <w:sz w:val="20"/>
                <w:szCs w:val="20"/>
                <w:color w:val="auto"/>
              </w:rPr>
            </w:pPr>
            <w:r>
              <w:rPr>
                <w:rFonts w:ascii="Arial" w:cs="Arial" w:eastAsia="Arial" w:hAnsi="Arial"/>
                <w:sz w:val="12"/>
                <w:szCs w:val="12"/>
                <w:color w:val="auto"/>
              </w:rPr>
              <w:t>60.68</w:t>
            </w:r>
          </w:p>
        </w:tc>
        <w:tc>
          <w:tcPr>
            <w:tcW w:w="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117.15</w:t>
            </w:r>
          </w:p>
        </w:tc>
        <w:tc>
          <w:tcPr>
            <w:tcW w:w="940" w:type="dxa"/>
            <w:vAlign w:val="bottom"/>
            <w:tcBorders>
              <w:bottom w:val="single" w:sz="8" w:color="001544"/>
            </w:tcBorders>
            <w:shd w:val="clear" w:color="auto" w:fill="DBDFEA"/>
          </w:tcPr>
          <w:p>
            <w:pPr>
              <w:jc w:val="right"/>
              <w:ind w:right="2"/>
              <w:spacing w:after="0"/>
              <w:rPr>
                <w:sz w:val="20"/>
                <w:szCs w:val="20"/>
                <w:color w:val="auto"/>
              </w:rPr>
            </w:pPr>
            <w:r>
              <w:rPr>
                <w:rFonts w:ascii="Arial" w:cs="Arial" w:eastAsia="Arial" w:hAnsi="Arial"/>
                <w:sz w:val="12"/>
                <w:szCs w:val="12"/>
                <w:color w:val="auto"/>
              </w:rPr>
              <w:t>(570)</w:t>
            </w: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4,618</w:t>
            </w:r>
          </w:p>
        </w:tc>
        <w:tc>
          <w:tcPr>
            <w:tcW w:w="0" w:type="dxa"/>
            <w:vAlign w:val="bottom"/>
          </w:tcPr>
          <w:p>
            <w:pPr>
              <w:spacing w:after="0"/>
              <w:rPr>
                <w:sz w:val="1"/>
                <w:szCs w:val="1"/>
                <w:color w:val="auto"/>
              </w:rPr>
            </w:pPr>
          </w:p>
        </w:tc>
      </w:tr>
      <w:tr>
        <w:trPr>
          <w:trHeight w:val="168"/>
        </w:trPr>
        <w:tc>
          <w:tcPr>
            <w:tcW w:w="66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2"/>
                <w:szCs w:val="12"/>
                <w:color w:val="auto"/>
              </w:rPr>
              <w:t>2021</w:t>
            </w:r>
          </w:p>
        </w:tc>
        <w:tc>
          <w:tcPr>
            <w:tcW w:w="80" w:type="dxa"/>
            <w:vAlign w:val="bottom"/>
            <w:tcBorders>
              <w:bottom w:val="single" w:sz="8" w:color="001544"/>
            </w:tcBorders>
            <w:shd w:val="clear" w:color="auto" w:fill="DBDFEA"/>
          </w:tcPr>
          <w:p>
            <w:pPr>
              <w:spacing w:after="0"/>
              <w:rPr>
                <w:sz w:val="14"/>
                <w:szCs w:val="14"/>
                <w:color w:val="auto"/>
              </w:rPr>
            </w:pPr>
          </w:p>
        </w:tc>
        <w:tc>
          <w:tcPr>
            <w:tcW w:w="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22,459,034</w:t>
            </w:r>
          </w:p>
        </w:tc>
        <w:tc>
          <w:tcPr>
            <w:tcW w:w="100" w:type="dxa"/>
            <w:vAlign w:val="bottom"/>
            <w:tcBorders>
              <w:bottom w:val="single" w:sz="8" w:color="001544"/>
            </w:tcBorders>
            <w:shd w:val="clear" w:color="auto" w:fill="DBDFEA"/>
          </w:tcPr>
          <w:p>
            <w:pPr>
              <w:spacing w:after="0"/>
              <w:rPr>
                <w:sz w:val="14"/>
                <w:szCs w:val="14"/>
                <w:color w:val="auto"/>
              </w:rPr>
            </w:pPr>
          </w:p>
        </w:tc>
        <w:tc>
          <w:tcPr>
            <w:tcW w:w="880" w:type="dxa"/>
            <w:vAlign w:val="bottom"/>
            <w:tcBorders>
              <w:bottom w:val="single" w:sz="8" w:color="001544"/>
            </w:tcBorders>
            <w:shd w:val="clear" w:color="auto" w:fill="DBDFEA"/>
          </w:tcPr>
          <w:p>
            <w:pPr>
              <w:jc w:val="right"/>
              <w:ind w:right="61"/>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001544"/>
            </w:tcBorders>
            <w:shd w:val="clear" w:color="auto" w:fill="DBDFEA"/>
          </w:tcPr>
          <w:p>
            <w:pPr>
              <w:jc w:val="right"/>
              <w:ind w:right="83"/>
              <w:spacing w:after="0"/>
              <w:rPr>
                <w:sz w:val="20"/>
                <w:szCs w:val="20"/>
                <w:color w:val="auto"/>
              </w:rPr>
            </w:pPr>
            <w:r>
              <w:rPr>
                <w:rFonts w:ascii="Arial" w:cs="Arial" w:eastAsia="Arial" w:hAnsi="Arial"/>
                <w:sz w:val="12"/>
                <w:szCs w:val="12"/>
                <w:color w:val="auto"/>
              </w:rPr>
              <w:t>63,324,484</w:t>
            </w:r>
          </w:p>
        </w:tc>
        <w:tc>
          <w:tcPr>
            <w:tcW w:w="7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001544"/>
            </w:tcBorders>
            <w:shd w:val="clear" w:color="auto" w:fill="DBDFEA"/>
          </w:tcPr>
          <w:p>
            <w:pPr>
              <w:jc w:val="right"/>
              <w:ind w:right="22"/>
              <w:spacing w:after="0"/>
              <w:rPr>
                <w:sz w:val="20"/>
                <w:szCs w:val="20"/>
                <w:color w:val="auto"/>
              </w:rPr>
            </w:pPr>
            <w:r>
              <w:rPr>
                <w:rFonts w:ascii="Arial" w:cs="Arial" w:eastAsia="Arial" w:hAnsi="Arial"/>
                <w:sz w:val="12"/>
                <w:szCs w:val="12"/>
                <w:color w:val="auto"/>
              </w:rPr>
              <w:t>9,614,818</w:t>
            </w:r>
          </w:p>
        </w:tc>
        <w:tc>
          <w:tcPr>
            <w:tcW w:w="1020" w:type="dxa"/>
            <w:vAlign w:val="bottom"/>
            <w:tcBorders>
              <w:bottom w:val="single" w:sz="8" w:color="001544"/>
            </w:tcBorders>
            <w:shd w:val="clear" w:color="auto" w:fill="DBDFEA"/>
          </w:tcPr>
          <w:p>
            <w:pPr>
              <w:jc w:val="right"/>
              <w:ind w:right="62"/>
              <w:spacing w:after="0"/>
              <w:rPr>
                <w:sz w:val="20"/>
                <w:szCs w:val="20"/>
                <w:color w:val="auto"/>
              </w:rPr>
            </w:pPr>
            <w:r>
              <w:rPr>
                <w:rFonts w:ascii="Arial" w:cs="Arial" w:eastAsia="Arial" w:hAnsi="Arial"/>
                <w:sz w:val="12"/>
                <w:szCs w:val="12"/>
                <w:color w:val="auto"/>
              </w:rPr>
              <w:t>14,986,393</w:t>
            </w:r>
          </w:p>
        </w:tc>
        <w:tc>
          <w:tcPr>
            <w:tcW w:w="800" w:type="dxa"/>
            <w:vAlign w:val="bottom"/>
            <w:tcBorders>
              <w:bottom w:val="single" w:sz="8" w:color="001544"/>
            </w:tcBorders>
            <w:shd w:val="clear" w:color="auto" w:fill="DBDFEA"/>
          </w:tcPr>
          <w:p>
            <w:pPr>
              <w:jc w:val="right"/>
              <w:ind w:right="22"/>
              <w:spacing w:after="0"/>
              <w:rPr>
                <w:sz w:val="20"/>
                <w:szCs w:val="20"/>
                <w:color w:val="auto"/>
              </w:rPr>
            </w:pPr>
            <w:r>
              <w:rPr>
                <w:rFonts w:ascii="Arial" w:cs="Arial" w:eastAsia="Arial" w:hAnsi="Arial"/>
                <w:sz w:val="12"/>
                <w:szCs w:val="12"/>
                <w:color w:val="auto"/>
              </w:rPr>
              <w:t>184.51</w:t>
            </w:r>
          </w:p>
        </w:tc>
        <w:tc>
          <w:tcPr>
            <w:tcW w:w="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153.75</w:t>
            </w:r>
          </w:p>
        </w:tc>
        <w:tc>
          <w:tcPr>
            <w:tcW w:w="940" w:type="dxa"/>
            <w:vAlign w:val="bottom"/>
            <w:tcBorders>
              <w:bottom w:val="single" w:sz="8" w:color="001544"/>
            </w:tcBorders>
            <w:shd w:val="clear" w:color="auto" w:fill="DBDFEA"/>
          </w:tcPr>
          <w:p>
            <w:pPr>
              <w:jc w:val="right"/>
              <w:ind w:right="2"/>
              <w:spacing w:after="0"/>
              <w:rPr>
                <w:sz w:val="20"/>
                <w:szCs w:val="20"/>
                <w:color w:val="auto"/>
              </w:rPr>
            </w:pPr>
            <w:r>
              <w:rPr>
                <w:rFonts w:ascii="Arial" w:cs="Arial" w:eastAsia="Arial" w:hAnsi="Arial"/>
                <w:sz w:val="12"/>
                <w:szCs w:val="12"/>
                <w:color w:val="auto"/>
              </w:rPr>
              <w:t>(817)</w:t>
            </w: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6,810</w:t>
            </w:r>
          </w:p>
        </w:tc>
        <w:tc>
          <w:tcPr>
            <w:tcW w:w="0" w:type="dxa"/>
            <w:vAlign w:val="bottom"/>
          </w:tcPr>
          <w:p>
            <w:pPr>
              <w:spacing w:after="0"/>
              <w:rPr>
                <w:sz w:val="1"/>
                <w:szCs w:val="1"/>
                <w:color w:val="auto"/>
              </w:rPr>
            </w:pPr>
          </w:p>
        </w:tc>
      </w:tr>
      <w:tr>
        <w:trPr>
          <w:trHeight w:val="168"/>
        </w:trPr>
        <w:tc>
          <w:tcPr>
            <w:tcW w:w="66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2"/>
                <w:szCs w:val="12"/>
                <w:color w:val="auto"/>
              </w:rPr>
              <w:t>2020</w:t>
            </w:r>
          </w:p>
        </w:tc>
        <w:tc>
          <w:tcPr>
            <w:tcW w:w="80" w:type="dxa"/>
            <w:vAlign w:val="bottom"/>
            <w:tcBorders>
              <w:bottom w:val="single" w:sz="8" w:color="001544"/>
            </w:tcBorders>
            <w:shd w:val="clear" w:color="auto" w:fill="DBDFEA"/>
          </w:tcPr>
          <w:p>
            <w:pPr>
              <w:spacing w:after="0"/>
              <w:rPr>
                <w:sz w:val="14"/>
                <w:szCs w:val="14"/>
                <w:color w:val="auto"/>
              </w:rPr>
            </w:pPr>
          </w:p>
        </w:tc>
        <w:tc>
          <w:tcPr>
            <w:tcW w:w="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4,815,779</w:t>
            </w:r>
          </w:p>
        </w:tc>
        <w:tc>
          <w:tcPr>
            <w:tcW w:w="100" w:type="dxa"/>
            <w:vAlign w:val="bottom"/>
            <w:tcBorders>
              <w:bottom w:val="single" w:sz="8" w:color="001544"/>
            </w:tcBorders>
            <w:shd w:val="clear" w:color="auto" w:fill="DBDFEA"/>
          </w:tcPr>
          <w:p>
            <w:pPr>
              <w:spacing w:after="0"/>
              <w:rPr>
                <w:sz w:val="14"/>
                <w:szCs w:val="14"/>
                <w:color w:val="auto"/>
              </w:rPr>
            </w:pPr>
          </w:p>
        </w:tc>
        <w:tc>
          <w:tcPr>
            <w:tcW w:w="880" w:type="dxa"/>
            <w:vAlign w:val="bottom"/>
            <w:tcBorders>
              <w:bottom w:val="single" w:sz="8" w:color="001544"/>
            </w:tcBorders>
            <w:shd w:val="clear" w:color="auto" w:fill="DBDFEA"/>
          </w:tcPr>
          <w:p>
            <w:pPr>
              <w:jc w:val="right"/>
              <w:ind w:right="61"/>
              <w:spacing w:after="0"/>
              <w:rPr>
                <w:sz w:val="20"/>
                <w:szCs w:val="20"/>
                <w:color w:val="auto"/>
              </w:rPr>
            </w:pPr>
            <w:r>
              <w:rPr>
                <w:rFonts w:ascii="Arial" w:cs="Arial" w:eastAsia="Arial" w:hAnsi="Arial"/>
                <w:sz w:val="12"/>
                <w:szCs w:val="12"/>
                <w:color w:val="auto"/>
              </w:rPr>
              <w:t>10,200,262</w:t>
            </w:r>
          </w:p>
        </w:tc>
        <w:tc>
          <w:tcPr>
            <w:tcW w:w="880" w:type="dxa"/>
            <w:vAlign w:val="bottom"/>
            <w:tcBorders>
              <w:bottom w:val="single" w:sz="8" w:color="001544"/>
            </w:tcBorders>
            <w:shd w:val="clear" w:color="auto" w:fill="DBDFEA"/>
          </w:tcPr>
          <w:p>
            <w:pPr>
              <w:jc w:val="right"/>
              <w:ind w:right="83"/>
              <w:spacing w:after="0"/>
              <w:rPr>
                <w:sz w:val="20"/>
                <w:szCs w:val="20"/>
                <w:color w:val="auto"/>
              </w:rPr>
            </w:pPr>
            <w:r>
              <w:rPr>
                <w:rFonts w:ascii="Arial" w:cs="Arial" w:eastAsia="Arial" w:hAnsi="Arial"/>
                <w:sz w:val="12"/>
                <w:szCs w:val="12"/>
                <w:color w:val="auto"/>
              </w:rPr>
              <w:t>10,390,831</w:t>
            </w:r>
          </w:p>
        </w:tc>
        <w:tc>
          <w:tcPr>
            <w:tcW w:w="7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28,177,174</w:t>
            </w:r>
          </w:p>
        </w:tc>
        <w:tc>
          <w:tcPr>
            <w:tcW w:w="1020" w:type="dxa"/>
            <w:vAlign w:val="bottom"/>
            <w:tcBorders>
              <w:bottom w:val="single" w:sz="8" w:color="001544"/>
            </w:tcBorders>
            <w:shd w:val="clear" w:color="auto" w:fill="DBDFEA"/>
          </w:tcPr>
          <w:p>
            <w:pPr>
              <w:jc w:val="right"/>
              <w:ind w:right="22"/>
              <w:spacing w:after="0"/>
              <w:rPr>
                <w:sz w:val="20"/>
                <w:szCs w:val="20"/>
                <w:color w:val="auto"/>
              </w:rPr>
            </w:pPr>
            <w:r>
              <w:rPr>
                <w:rFonts w:ascii="Arial" w:cs="Arial" w:eastAsia="Arial" w:hAnsi="Arial"/>
                <w:sz w:val="12"/>
                <w:szCs w:val="12"/>
                <w:color w:val="auto"/>
              </w:rPr>
              <w:t>4,573,017</w:t>
            </w:r>
          </w:p>
        </w:tc>
        <w:tc>
          <w:tcPr>
            <w:tcW w:w="1020" w:type="dxa"/>
            <w:vAlign w:val="bottom"/>
            <w:tcBorders>
              <w:bottom w:val="single" w:sz="8" w:color="001544"/>
            </w:tcBorders>
            <w:shd w:val="clear" w:color="auto" w:fill="DBDFEA"/>
          </w:tcPr>
          <w:p>
            <w:pPr>
              <w:jc w:val="right"/>
              <w:ind w:right="62"/>
              <w:spacing w:after="0"/>
              <w:rPr>
                <w:sz w:val="20"/>
                <w:szCs w:val="20"/>
                <w:color w:val="auto"/>
              </w:rPr>
            </w:pPr>
            <w:r>
              <w:rPr>
                <w:rFonts w:ascii="Arial" w:cs="Arial" w:eastAsia="Arial" w:hAnsi="Arial"/>
                <w:sz w:val="12"/>
                <w:szCs w:val="12"/>
                <w:color w:val="auto"/>
              </w:rPr>
              <w:t>6,045,206</w:t>
            </w:r>
          </w:p>
        </w:tc>
        <w:tc>
          <w:tcPr>
            <w:tcW w:w="800" w:type="dxa"/>
            <w:vAlign w:val="bottom"/>
            <w:tcBorders>
              <w:bottom w:val="single" w:sz="8" w:color="001544"/>
            </w:tcBorders>
            <w:shd w:val="clear" w:color="auto" w:fill="DBDFEA"/>
          </w:tcPr>
          <w:p>
            <w:pPr>
              <w:jc w:val="right"/>
              <w:ind w:right="22"/>
              <w:spacing w:after="0"/>
              <w:rPr>
                <w:sz w:val="20"/>
                <w:szCs w:val="20"/>
                <w:color w:val="auto"/>
              </w:rPr>
            </w:pPr>
            <w:r>
              <w:rPr>
                <w:rFonts w:ascii="Arial" w:cs="Arial" w:eastAsia="Arial" w:hAnsi="Arial"/>
                <w:sz w:val="12"/>
                <w:szCs w:val="12"/>
                <w:color w:val="auto"/>
              </w:rPr>
              <w:t>106.54</w:t>
            </w:r>
          </w:p>
        </w:tc>
        <w:tc>
          <w:tcPr>
            <w:tcW w:w="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111.72</w:t>
            </w:r>
          </w:p>
        </w:tc>
        <w:tc>
          <w:tcPr>
            <w:tcW w:w="940" w:type="dxa"/>
            <w:vAlign w:val="bottom"/>
            <w:tcBorders>
              <w:bottom w:val="single" w:sz="8" w:color="001544"/>
            </w:tcBorders>
            <w:shd w:val="clear" w:color="auto" w:fill="DBDFEA"/>
          </w:tcPr>
          <w:p>
            <w:pPr>
              <w:jc w:val="right"/>
              <w:ind w:right="2"/>
              <w:spacing w:after="0"/>
              <w:rPr>
                <w:sz w:val="20"/>
                <w:szCs w:val="20"/>
                <w:color w:val="auto"/>
              </w:rPr>
            </w:pPr>
            <w:r>
              <w:rPr>
                <w:rFonts w:ascii="Arial" w:cs="Arial" w:eastAsia="Arial" w:hAnsi="Arial"/>
                <w:sz w:val="12"/>
                <w:szCs w:val="12"/>
                <w:color w:val="auto"/>
              </w:rPr>
              <w:t>(3,790)</w:t>
            </w: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7,246</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00" w:right="120" w:hanging="293"/>
        <w:spacing w:after="0" w:line="256" w:lineRule="auto"/>
        <w:tabs>
          <w:tab w:leader="none" w:pos="3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dollar amounts in columns (b)(i) and (b)(ii) are the amounts of total compensation reported for each principal executive officer (“PEO”) as reported in the “Total” column of the Summary Compensation Table for each year in which they served as PEO, and we refer to Mr. Barrack as our “Prior PEO.” Refer to “Executive Compensation—Executive Compensation Tables—Summary Compensation Table.”</w:t>
      </w:r>
    </w:p>
    <w:p>
      <w:pPr>
        <w:spacing w:after="0" w:line="30" w:lineRule="exact"/>
        <w:rPr>
          <w:rFonts w:ascii="Arial" w:cs="Arial" w:eastAsia="Arial" w:hAnsi="Arial"/>
          <w:sz w:val="15"/>
          <w:szCs w:val="15"/>
          <w:color w:val="auto"/>
        </w:rPr>
      </w:pPr>
    </w:p>
    <w:p>
      <w:pPr>
        <w:ind w:left="300" w:right="40" w:hanging="293"/>
        <w:spacing w:after="0" w:line="253" w:lineRule="auto"/>
        <w:tabs>
          <w:tab w:leader="none" w:pos="3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dollar amounts in columns (c)(i) and (c)(ii) represent the amount of “compensation actually paid” to each PEO as computed in accordance with Item 402(v) of Regulation S-K for each corresponding year in which they served as PEO. The dollar amounts do not reflect the actual amount of compensation earned by or paid to Mr. Ganzi or our Prior PEO during the applicable year. In accordance with the requirements of Item 402(v) of Regulation S-K, the following adjustments were made to Mr. Ganzi’s total compensation for each year to determine the compensation actually paid:</w:t>
      </w:r>
    </w:p>
    <w:p>
      <w:pPr>
        <w:spacing w:after="0" w:line="184" w:lineRule="exact"/>
        <w:rPr>
          <w:sz w:val="20"/>
          <w:szCs w:val="20"/>
          <w:color w:val="auto"/>
        </w:rPr>
      </w:pPr>
    </w:p>
    <w:tbl>
      <w:tblPr>
        <w:tblLayout w:type="fixed"/>
        <w:tblInd w:w="32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1340" w:type="dxa"/>
            <w:vAlign w:val="bottom"/>
          </w:tcPr>
          <w:p>
            <w:pPr>
              <w:jc w:val="center"/>
              <w:ind w:left="125"/>
              <w:spacing w:after="0"/>
              <w:rPr>
                <w:sz w:val="20"/>
                <w:szCs w:val="20"/>
                <w:color w:val="auto"/>
              </w:rPr>
            </w:pPr>
            <w:r>
              <w:rPr>
                <w:rFonts w:ascii="Arial" w:cs="Arial" w:eastAsia="Arial" w:hAnsi="Arial"/>
                <w:sz w:val="15"/>
                <w:szCs w:val="15"/>
                <w:b w:val="1"/>
                <w:bCs w:val="1"/>
                <w:color w:val="001544"/>
              </w:rPr>
              <w:t>Reported</w:t>
            </w: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3840" w:type="dxa"/>
            <w:vAlign w:val="bottom"/>
          </w:tcPr>
          <w:p>
            <w:pPr>
              <w:spacing w:after="0"/>
              <w:rPr>
                <w:sz w:val="15"/>
                <w:szCs w:val="15"/>
                <w:color w:val="auto"/>
              </w:rPr>
            </w:pPr>
          </w:p>
        </w:tc>
        <w:tc>
          <w:tcPr>
            <w:tcW w:w="1340" w:type="dxa"/>
            <w:vAlign w:val="bottom"/>
          </w:tcPr>
          <w:p>
            <w:pPr>
              <w:jc w:val="center"/>
              <w:ind w:left="125"/>
              <w:spacing w:after="0"/>
              <w:rPr>
                <w:sz w:val="20"/>
                <w:szCs w:val="20"/>
                <w:color w:val="auto"/>
              </w:rPr>
            </w:pPr>
            <w:r>
              <w:rPr>
                <w:rFonts w:ascii="Arial" w:cs="Arial" w:eastAsia="Arial" w:hAnsi="Arial"/>
                <w:sz w:val="15"/>
                <w:szCs w:val="15"/>
                <w:b w:val="1"/>
                <w:bCs w:val="1"/>
                <w:color w:val="001544"/>
              </w:rPr>
              <w:t>Summary</w:t>
            </w:r>
          </w:p>
        </w:tc>
        <w:tc>
          <w:tcPr>
            <w:tcW w:w="1200" w:type="dxa"/>
            <w:vAlign w:val="bottom"/>
          </w:tcPr>
          <w:p>
            <w:pPr>
              <w:jc w:val="center"/>
              <w:spacing w:after="0"/>
              <w:rPr>
                <w:sz w:val="20"/>
                <w:szCs w:val="20"/>
                <w:color w:val="auto"/>
              </w:rPr>
            </w:pPr>
            <w:r>
              <w:rPr>
                <w:rFonts w:ascii="Arial" w:cs="Arial" w:eastAsia="Arial" w:hAnsi="Arial"/>
                <w:sz w:val="15"/>
                <w:szCs w:val="15"/>
                <w:b w:val="1"/>
                <w:bCs w:val="1"/>
                <w:color w:val="001544"/>
              </w:rPr>
              <w:t>Reported</w:t>
            </w: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3840" w:type="dxa"/>
            <w:vAlign w:val="bottom"/>
          </w:tcPr>
          <w:p>
            <w:pPr>
              <w:spacing w:after="0"/>
              <w:rPr>
                <w:sz w:val="15"/>
                <w:szCs w:val="15"/>
                <w:color w:val="auto"/>
              </w:rPr>
            </w:pPr>
          </w:p>
        </w:tc>
        <w:tc>
          <w:tcPr>
            <w:tcW w:w="1340" w:type="dxa"/>
            <w:vAlign w:val="bottom"/>
          </w:tcPr>
          <w:p>
            <w:pPr>
              <w:jc w:val="center"/>
              <w:ind w:left="125"/>
              <w:spacing w:after="0"/>
              <w:rPr>
                <w:sz w:val="20"/>
                <w:szCs w:val="20"/>
                <w:color w:val="auto"/>
              </w:rPr>
            </w:pPr>
            <w:r>
              <w:rPr>
                <w:rFonts w:ascii="Arial" w:cs="Arial" w:eastAsia="Arial" w:hAnsi="Arial"/>
                <w:sz w:val="15"/>
                <w:szCs w:val="15"/>
                <w:b w:val="1"/>
                <w:bCs w:val="1"/>
                <w:color w:val="001544"/>
              </w:rPr>
              <w:t>Compensation</w:t>
            </w:r>
          </w:p>
        </w:tc>
        <w:tc>
          <w:tcPr>
            <w:tcW w:w="1200" w:type="dxa"/>
            <w:vAlign w:val="bottom"/>
          </w:tcPr>
          <w:p>
            <w:pPr>
              <w:jc w:val="center"/>
              <w:spacing w:after="0"/>
              <w:rPr>
                <w:sz w:val="20"/>
                <w:szCs w:val="20"/>
                <w:color w:val="auto"/>
              </w:rPr>
            </w:pPr>
            <w:r>
              <w:rPr>
                <w:rFonts w:ascii="Arial" w:cs="Arial" w:eastAsia="Arial" w:hAnsi="Arial"/>
                <w:sz w:val="15"/>
                <w:szCs w:val="15"/>
                <w:b w:val="1"/>
                <w:bCs w:val="1"/>
                <w:color w:val="001544"/>
                <w:w w:val="99"/>
              </w:rPr>
              <w:t>Value of</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rPr>
              <w:t>Equity</w:t>
            </w:r>
          </w:p>
        </w:tc>
        <w:tc>
          <w:tcPr>
            <w:tcW w:w="1220" w:type="dxa"/>
            <w:vAlign w:val="bottom"/>
          </w:tcPr>
          <w:p>
            <w:pPr>
              <w:jc w:val="center"/>
              <w:spacing w:after="0"/>
              <w:rPr>
                <w:sz w:val="20"/>
                <w:szCs w:val="20"/>
                <w:color w:val="auto"/>
              </w:rPr>
            </w:pPr>
            <w:r>
              <w:rPr>
                <w:rFonts w:ascii="Arial" w:cs="Arial" w:eastAsia="Arial" w:hAnsi="Arial"/>
                <w:sz w:val="15"/>
                <w:szCs w:val="15"/>
                <w:b w:val="1"/>
                <w:bCs w:val="1"/>
                <w:color w:val="001544"/>
                <w:w w:val="99"/>
              </w:rPr>
              <w:t>Compensation</w:t>
            </w:r>
          </w:p>
        </w:tc>
      </w:tr>
      <w:tr>
        <w:trPr>
          <w:trHeight w:val="164"/>
        </w:trPr>
        <w:tc>
          <w:tcPr>
            <w:tcW w:w="3840" w:type="dxa"/>
            <w:vAlign w:val="bottom"/>
          </w:tcPr>
          <w:p>
            <w:pPr>
              <w:spacing w:after="0"/>
              <w:rPr>
                <w:sz w:val="14"/>
                <w:szCs w:val="14"/>
                <w:color w:val="auto"/>
              </w:rPr>
            </w:pPr>
          </w:p>
        </w:tc>
        <w:tc>
          <w:tcPr>
            <w:tcW w:w="1340" w:type="dxa"/>
            <w:vAlign w:val="bottom"/>
          </w:tcPr>
          <w:p>
            <w:pPr>
              <w:jc w:val="center"/>
              <w:ind w:left="125"/>
              <w:spacing w:after="0" w:line="164" w:lineRule="exact"/>
              <w:rPr>
                <w:sz w:val="20"/>
                <w:szCs w:val="20"/>
                <w:color w:val="auto"/>
              </w:rPr>
            </w:pPr>
            <w:r>
              <w:rPr>
                <w:rFonts w:ascii="Arial" w:cs="Arial" w:eastAsia="Arial" w:hAnsi="Arial"/>
                <w:sz w:val="15"/>
                <w:szCs w:val="15"/>
                <w:b w:val="1"/>
                <w:bCs w:val="1"/>
                <w:color w:val="001544"/>
                <w:w w:val="98"/>
              </w:rPr>
              <w:t>Table Total</w:t>
            </w:r>
          </w:p>
        </w:tc>
        <w:tc>
          <w:tcPr>
            <w:tcW w:w="1200" w:type="dxa"/>
            <w:vAlign w:val="bottom"/>
          </w:tcPr>
          <w:p>
            <w:pPr>
              <w:jc w:val="center"/>
              <w:spacing w:after="0" w:line="164" w:lineRule="exact"/>
              <w:rPr>
                <w:sz w:val="20"/>
                <w:szCs w:val="20"/>
                <w:color w:val="auto"/>
              </w:rPr>
            </w:pPr>
            <w:r>
              <w:rPr>
                <w:rFonts w:ascii="Arial" w:cs="Arial" w:eastAsia="Arial" w:hAnsi="Arial"/>
                <w:sz w:val="15"/>
                <w:szCs w:val="15"/>
                <w:b w:val="1"/>
                <w:bCs w:val="1"/>
                <w:color w:val="001544"/>
              </w:rPr>
              <w:t>Equity</w:t>
            </w:r>
          </w:p>
        </w:tc>
        <w:tc>
          <w:tcPr>
            <w:tcW w:w="1300" w:type="dxa"/>
            <w:vAlign w:val="bottom"/>
          </w:tcPr>
          <w:p>
            <w:pPr>
              <w:jc w:val="center"/>
              <w:spacing w:after="0" w:line="164" w:lineRule="exact"/>
              <w:rPr>
                <w:sz w:val="20"/>
                <w:szCs w:val="20"/>
                <w:color w:val="auto"/>
              </w:rPr>
            </w:pPr>
            <w:r>
              <w:rPr>
                <w:rFonts w:ascii="Arial" w:cs="Arial" w:eastAsia="Arial" w:hAnsi="Arial"/>
                <w:sz w:val="15"/>
                <w:szCs w:val="15"/>
                <w:b w:val="1"/>
                <w:bCs w:val="1"/>
                <w:color w:val="001544"/>
                <w:w w:val="95"/>
              </w:rPr>
              <w:t>Award</w:t>
            </w:r>
          </w:p>
        </w:tc>
        <w:tc>
          <w:tcPr>
            <w:tcW w:w="1220" w:type="dxa"/>
            <w:vAlign w:val="bottom"/>
          </w:tcPr>
          <w:p>
            <w:pPr>
              <w:jc w:val="center"/>
              <w:spacing w:after="0" w:line="164" w:lineRule="exact"/>
              <w:rPr>
                <w:sz w:val="20"/>
                <w:szCs w:val="20"/>
                <w:color w:val="auto"/>
              </w:rPr>
            </w:pPr>
            <w:r>
              <w:rPr>
                <w:rFonts w:ascii="Arial" w:cs="Arial" w:eastAsia="Arial" w:hAnsi="Arial"/>
                <w:sz w:val="15"/>
                <w:szCs w:val="15"/>
                <w:b w:val="1"/>
                <w:bCs w:val="1"/>
                <w:color w:val="001544"/>
              </w:rPr>
              <w:t>Actually</w:t>
            </w:r>
          </w:p>
        </w:tc>
      </w:tr>
      <w:tr>
        <w:trPr>
          <w:trHeight w:val="188"/>
        </w:trPr>
        <w:tc>
          <w:tcPr>
            <w:tcW w:w="3840" w:type="dxa"/>
            <w:vAlign w:val="bottom"/>
          </w:tcPr>
          <w:p>
            <w:pPr>
              <w:spacing w:after="0"/>
              <w:rPr>
                <w:sz w:val="16"/>
                <w:szCs w:val="16"/>
                <w:color w:val="auto"/>
              </w:rPr>
            </w:pPr>
          </w:p>
        </w:tc>
        <w:tc>
          <w:tcPr>
            <w:tcW w:w="1340" w:type="dxa"/>
            <w:vAlign w:val="bottom"/>
          </w:tcPr>
          <w:p>
            <w:pPr>
              <w:jc w:val="center"/>
              <w:ind w:left="145"/>
              <w:spacing w:after="0"/>
              <w:rPr>
                <w:sz w:val="20"/>
                <w:szCs w:val="20"/>
                <w:color w:val="auto"/>
              </w:rPr>
            </w:pPr>
            <w:r>
              <w:rPr>
                <w:rFonts w:ascii="Arial" w:cs="Arial" w:eastAsia="Arial" w:hAnsi="Arial"/>
                <w:sz w:val="15"/>
                <w:szCs w:val="15"/>
                <w:b w:val="1"/>
                <w:bCs w:val="1"/>
                <w:color w:val="001544"/>
              </w:rPr>
              <w:t>for PEO</w:t>
            </w:r>
          </w:p>
        </w:tc>
        <w:tc>
          <w:tcPr>
            <w:tcW w:w="1200" w:type="dxa"/>
            <w:vAlign w:val="bottom"/>
          </w:tcPr>
          <w:p>
            <w:pPr>
              <w:jc w:val="center"/>
              <w:ind w:left="5"/>
              <w:spacing w:after="0" w:line="188" w:lineRule="exact"/>
              <w:rPr>
                <w:sz w:val="20"/>
                <w:szCs w:val="20"/>
                <w:color w:val="auto"/>
              </w:rPr>
            </w:pPr>
            <w:r>
              <w:rPr>
                <w:rFonts w:ascii="Arial" w:cs="Arial" w:eastAsia="Arial" w:hAnsi="Arial"/>
                <w:sz w:val="14"/>
                <w:szCs w:val="14"/>
                <w:b w:val="1"/>
                <w:bCs w:val="1"/>
                <w:color w:val="001544"/>
              </w:rPr>
              <w:t>Awards</w:t>
            </w:r>
            <w:r>
              <w:rPr>
                <w:rFonts w:ascii="Arial" w:cs="Arial" w:eastAsia="Arial" w:hAnsi="Arial"/>
                <w:sz w:val="21"/>
                <w:szCs w:val="21"/>
                <w:b w:val="1"/>
                <w:bCs w:val="1"/>
                <w:color w:val="001544"/>
                <w:vertAlign w:val="superscript"/>
              </w:rPr>
              <w:t>(a)</w:t>
            </w:r>
          </w:p>
        </w:tc>
        <w:tc>
          <w:tcPr>
            <w:tcW w:w="1300" w:type="dxa"/>
            <w:vAlign w:val="bottom"/>
          </w:tcPr>
          <w:p>
            <w:pPr>
              <w:jc w:val="center"/>
              <w:spacing w:after="0" w:line="188" w:lineRule="exact"/>
              <w:rPr>
                <w:sz w:val="20"/>
                <w:szCs w:val="20"/>
                <w:color w:val="auto"/>
              </w:rPr>
            </w:pPr>
            <w:r>
              <w:rPr>
                <w:rFonts w:ascii="Arial" w:cs="Arial" w:eastAsia="Arial" w:hAnsi="Arial"/>
                <w:sz w:val="14"/>
                <w:szCs w:val="14"/>
                <w:b w:val="1"/>
                <w:bCs w:val="1"/>
                <w:color w:val="001544"/>
              </w:rPr>
              <w:t>Adjustments</w:t>
            </w:r>
            <w:r>
              <w:rPr>
                <w:rFonts w:ascii="Arial" w:cs="Arial" w:eastAsia="Arial" w:hAnsi="Arial"/>
                <w:sz w:val="21"/>
                <w:szCs w:val="21"/>
                <w:b w:val="1"/>
                <w:bCs w:val="1"/>
                <w:color w:val="001544"/>
                <w:vertAlign w:val="superscript"/>
              </w:rPr>
              <w:t>(b)</w:t>
            </w:r>
          </w:p>
        </w:tc>
        <w:tc>
          <w:tcPr>
            <w:tcW w:w="1220" w:type="dxa"/>
            <w:vAlign w:val="bottom"/>
          </w:tcPr>
          <w:p>
            <w:pPr>
              <w:jc w:val="center"/>
              <w:spacing w:after="0"/>
              <w:rPr>
                <w:sz w:val="20"/>
                <w:szCs w:val="20"/>
                <w:color w:val="auto"/>
              </w:rPr>
            </w:pPr>
            <w:r>
              <w:rPr>
                <w:rFonts w:ascii="Arial" w:cs="Arial" w:eastAsia="Arial" w:hAnsi="Arial"/>
                <w:sz w:val="15"/>
                <w:szCs w:val="15"/>
                <w:b w:val="1"/>
                <w:bCs w:val="1"/>
                <w:color w:val="001544"/>
              </w:rPr>
              <w:t>Paid to PEO</w:t>
            </w:r>
          </w:p>
        </w:tc>
      </w:tr>
      <w:tr>
        <w:trPr>
          <w:trHeight w:val="206"/>
        </w:trPr>
        <w:tc>
          <w:tcPr>
            <w:tcW w:w="3840" w:type="dxa"/>
            <w:vAlign w:val="bottom"/>
          </w:tcPr>
          <w:p>
            <w:pPr>
              <w:ind w:left="80"/>
              <w:spacing w:after="0"/>
              <w:rPr>
                <w:sz w:val="20"/>
                <w:szCs w:val="20"/>
                <w:color w:val="auto"/>
              </w:rPr>
            </w:pPr>
            <w:r>
              <w:rPr>
                <w:rFonts w:ascii="Arial" w:cs="Arial" w:eastAsia="Arial" w:hAnsi="Arial"/>
                <w:sz w:val="15"/>
                <w:szCs w:val="15"/>
                <w:b w:val="1"/>
                <w:bCs w:val="1"/>
                <w:color w:val="001544"/>
              </w:rPr>
              <w:t>Year</w:t>
            </w:r>
          </w:p>
        </w:tc>
        <w:tc>
          <w:tcPr>
            <w:tcW w:w="1340" w:type="dxa"/>
            <w:vAlign w:val="bottom"/>
          </w:tcPr>
          <w:p>
            <w:pPr>
              <w:jc w:val="center"/>
              <w:ind w:left="125"/>
              <w:spacing w:after="0"/>
              <w:rPr>
                <w:sz w:val="20"/>
                <w:szCs w:val="20"/>
                <w:color w:val="auto"/>
              </w:rPr>
            </w:pPr>
            <w:r>
              <w:rPr>
                <w:rFonts w:ascii="Arial" w:cs="Arial" w:eastAsia="Arial" w:hAnsi="Arial"/>
                <w:sz w:val="15"/>
                <w:szCs w:val="15"/>
                <w:b w:val="1"/>
                <w:bCs w:val="1"/>
                <w:color w:val="001544"/>
                <w:w w:val="97"/>
              </w:rPr>
              <w:t>($)</w:t>
            </w:r>
          </w:p>
        </w:tc>
        <w:tc>
          <w:tcPr>
            <w:tcW w:w="1200" w:type="dxa"/>
            <w:vAlign w:val="bottom"/>
          </w:tcPr>
          <w:p>
            <w:pPr>
              <w:jc w:val="center"/>
              <w:spacing w:after="0"/>
              <w:rPr>
                <w:sz w:val="20"/>
                <w:szCs w:val="20"/>
                <w:color w:val="auto"/>
              </w:rPr>
            </w:pPr>
            <w:r>
              <w:rPr>
                <w:rFonts w:ascii="Arial" w:cs="Arial" w:eastAsia="Arial" w:hAnsi="Arial"/>
                <w:sz w:val="15"/>
                <w:szCs w:val="15"/>
                <w:b w:val="1"/>
                <w:bCs w:val="1"/>
                <w:color w:val="001544"/>
                <w:w w:val="97"/>
              </w:rPr>
              <w:t>($)</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rPr>
              <w:t>($)</w:t>
            </w:r>
          </w:p>
        </w:tc>
        <w:tc>
          <w:tcPr>
            <w:tcW w:w="1220" w:type="dxa"/>
            <w:vAlign w:val="bottom"/>
          </w:tcPr>
          <w:p>
            <w:pPr>
              <w:jc w:val="center"/>
              <w:spacing w:after="0"/>
              <w:rPr>
                <w:sz w:val="20"/>
                <w:szCs w:val="20"/>
                <w:color w:val="auto"/>
              </w:rPr>
            </w:pPr>
            <w:r>
              <w:rPr>
                <w:rFonts w:ascii="Arial" w:cs="Arial" w:eastAsia="Arial" w:hAnsi="Arial"/>
                <w:sz w:val="15"/>
                <w:szCs w:val="15"/>
                <w:b w:val="1"/>
                <w:bCs w:val="1"/>
                <w:color w:val="001544"/>
              </w:rPr>
              <w:t>($)</w:t>
            </w:r>
          </w:p>
        </w:tc>
      </w:tr>
      <w:tr>
        <w:trPr>
          <w:trHeight w:val="32"/>
        </w:trPr>
        <w:tc>
          <w:tcPr>
            <w:tcW w:w="3840" w:type="dxa"/>
            <w:vAlign w:val="bottom"/>
            <w:tcBorders>
              <w:bottom w:val="single" w:sz="8" w:color="001544"/>
            </w:tcBorders>
          </w:tcPr>
          <w:p>
            <w:pPr>
              <w:spacing w:after="0"/>
              <w:rPr>
                <w:sz w:val="2"/>
                <w:szCs w:val="2"/>
                <w:color w:val="auto"/>
              </w:rPr>
            </w:pPr>
          </w:p>
        </w:tc>
        <w:tc>
          <w:tcPr>
            <w:tcW w:w="1340" w:type="dxa"/>
            <w:vAlign w:val="bottom"/>
            <w:tcBorders>
              <w:bottom w:val="single" w:sz="8" w:color="001544"/>
            </w:tcBorders>
          </w:tcPr>
          <w:p>
            <w:pPr>
              <w:spacing w:after="0"/>
              <w:rPr>
                <w:sz w:val="2"/>
                <w:szCs w:val="2"/>
                <w:color w:val="auto"/>
              </w:rPr>
            </w:pPr>
          </w:p>
        </w:tc>
        <w:tc>
          <w:tcPr>
            <w:tcW w:w="120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220" w:type="dxa"/>
            <w:vAlign w:val="bottom"/>
            <w:tcBorders>
              <w:bottom w:val="single" w:sz="8" w:color="001544"/>
            </w:tcBorders>
          </w:tcPr>
          <w:p>
            <w:pPr>
              <w:spacing w:after="0"/>
              <w:rPr>
                <w:sz w:val="2"/>
                <w:szCs w:val="2"/>
                <w:color w:val="auto"/>
              </w:rPr>
            </w:pPr>
          </w:p>
        </w:tc>
      </w:tr>
      <w:tr>
        <w:trPr>
          <w:trHeight w:val="211"/>
        </w:trPr>
        <w:tc>
          <w:tcPr>
            <w:tcW w:w="38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2024</w:t>
            </w:r>
          </w:p>
        </w:tc>
        <w:tc>
          <w:tcPr>
            <w:tcW w:w="13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6,037,189</w:t>
            </w:r>
          </w:p>
        </w:tc>
        <w:tc>
          <w:tcPr>
            <w:tcW w:w="120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(3,075,995)</w:t>
            </w:r>
          </w:p>
        </w:tc>
        <w:tc>
          <w:tcPr>
            <w:tcW w:w="130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(2,328,029)</w:t>
            </w: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633,166</w:t>
            </w:r>
          </w:p>
        </w:tc>
      </w:tr>
      <w:tr>
        <w:trPr>
          <w:trHeight w:val="219"/>
        </w:trPr>
        <w:tc>
          <w:tcPr>
            <w:tcW w:w="38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2023</w:t>
            </w:r>
          </w:p>
        </w:tc>
        <w:tc>
          <w:tcPr>
            <w:tcW w:w="13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7,782,550</w:t>
            </w:r>
          </w:p>
        </w:tc>
        <w:tc>
          <w:tcPr>
            <w:tcW w:w="120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(2,597,650)</w:t>
            </w:r>
          </w:p>
        </w:tc>
        <w:tc>
          <w:tcPr>
            <w:tcW w:w="1300" w:type="dxa"/>
            <w:vAlign w:val="bottom"/>
            <w:tcBorders>
              <w:bottom w:val="single" w:sz="8" w:color="001544"/>
            </w:tcBorders>
            <w:shd w:val="clear" w:color="auto" w:fill="DBDFEA"/>
          </w:tcPr>
          <w:p>
            <w:pPr>
              <w:jc w:val="right"/>
              <w:ind w:right="85"/>
              <w:spacing w:after="0"/>
              <w:rPr>
                <w:sz w:val="20"/>
                <w:szCs w:val="20"/>
                <w:color w:val="auto"/>
              </w:rPr>
            </w:pPr>
            <w:r>
              <w:rPr>
                <w:rFonts w:ascii="Arial" w:cs="Arial" w:eastAsia="Arial" w:hAnsi="Arial"/>
                <w:sz w:val="15"/>
                <w:szCs w:val="15"/>
                <w:color w:val="auto"/>
              </w:rPr>
              <w:t>5,406,378</w:t>
            </w: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10,591,279</w:t>
            </w:r>
          </w:p>
        </w:tc>
      </w:tr>
      <w:tr>
        <w:trPr>
          <w:trHeight w:val="219"/>
        </w:trPr>
        <w:tc>
          <w:tcPr>
            <w:tcW w:w="38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2022</w:t>
            </w:r>
          </w:p>
        </w:tc>
        <w:tc>
          <w:tcPr>
            <w:tcW w:w="13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38,321,508</w:t>
            </w:r>
          </w:p>
        </w:tc>
        <w:tc>
          <w:tcPr>
            <w:tcW w:w="120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(7,246,051)</w:t>
            </w:r>
          </w:p>
        </w:tc>
        <w:tc>
          <w:tcPr>
            <w:tcW w:w="130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(54,463,911)</w:t>
            </w: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(23,388,454)</w:t>
            </w:r>
          </w:p>
        </w:tc>
      </w:tr>
      <w:tr>
        <w:trPr>
          <w:trHeight w:val="219"/>
        </w:trPr>
        <w:tc>
          <w:tcPr>
            <w:tcW w:w="38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2021</w:t>
            </w:r>
          </w:p>
        </w:tc>
        <w:tc>
          <w:tcPr>
            <w:tcW w:w="13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22,459,034</w:t>
            </w:r>
          </w:p>
        </w:tc>
        <w:tc>
          <w:tcPr>
            <w:tcW w:w="120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(10,922,100)</w:t>
            </w:r>
          </w:p>
        </w:tc>
        <w:tc>
          <w:tcPr>
            <w:tcW w:w="1300" w:type="dxa"/>
            <w:vAlign w:val="bottom"/>
            <w:tcBorders>
              <w:bottom w:val="single" w:sz="8" w:color="001544"/>
            </w:tcBorders>
            <w:shd w:val="clear" w:color="auto" w:fill="DBDFEA"/>
          </w:tcPr>
          <w:p>
            <w:pPr>
              <w:jc w:val="right"/>
              <w:ind w:right="85"/>
              <w:spacing w:after="0"/>
              <w:rPr>
                <w:sz w:val="20"/>
                <w:szCs w:val="20"/>
                <w:color w:val="auto"/>
              </w:rPr>
            </w:pPr>
            <w:r>
              <w:rPr>
                <w:rFonts w:ascii="Arial" w:cs="Arial" w:eastAsia="Arial" w:hAnsi="Arial"/>
                <w:sz w:val="15"/>
                <w:szCs w:val="15"/>
                <w:color w:val="auto"/>
              </w:rPr>
              <w:t>51,787,549</w:t>
            </w: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63,324,484</w:t>
            </w:r>
          </w:p>
        </w:tc>
      </w:tr>
      <w:tr>
        <w:trPr>
          <w:trHeight w:val="219"/>
        </w:trPr>
        <w:tc>
          <w:tcPr>
            <w:tcW w:w="38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2020</w:t>
            </w:r>
          </w:p>
        </w:tc>
        <w:tc>
          <w:tcPr>
            <w:tcW w:w="13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4,815,779</w:t>
            </w:r>
          </w:p>
        </w:tc>
        <w:tc>
          <w:tcPr>
            <w:tcW w:w="120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(176,489)</w:t>
            </w:r>
          </w:p>
        </w:tc>
        <w:tc>
          <w:tcPr>
            <w:tcW w:w="1300" w:type="dxa"/>
            <w:vAlign w:val="bottom"/>
            <w:tcBorders>
              <w:bottom w:val="single" w:sz="8" w:color="001544"/>
            </w:tcBorders>
            <w:shd w:val="clear" w:color="auto" w:fill="DBDFEA"/>
          </w:tcPr>
          <w:p>
            <w:pPr>
              <w:jc w:val="right"/>
              <w:ind w:right="85"/>
              <w:spacing w:after="0"/>
              <w:rPr>
                <w:sz w:val="20"/>
                <w:szCs w:val="20"/>
                <w:color w:val="auto"/>
              </w:rPr>
            </w:pPr>
            <w:r>
              <w:rPr>
                <w:rFonts w:ascii="Arial" w:cs="Arial" w:eastAsia="Arial" w:hAnsi="Arial"/>
                <w:sz w:val="15"/>
                <w:szCs w:val="15"/>
                <w:color w:val="auto"/>
              </w:rPr>
              <w:t>5,751,542</w:t>
            </w: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10,390,831</w:t>
            </w:r>
          </w:p>
        </w:tc>
      </w:tr>
    </w:tbl>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5800"/>
        <w:spacing w:after="0"/>
        <w:rPr>
          <w:sz w:val="20"/>
          <w:szCs w:val="20"/>
          <w:color w:val="auto"/>
        </w:rPr>
      </w:pPr>
      <w:r>
        <w:rPr>
          <w:rFonts w:ascii="Arial" w:cs="Arial" w:eastAsia="Arial" w:hAnsi="Arial"/>
          <w:sz w:val="16"/>
          <w:szCs w:val="16"/>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60090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accordance with the requirements of Item 402(v) of Regulation S-K, the following adjustments were made to our</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Prior PEOs total compensation to determine the compensation actually paid in 2020:</w:t>
      </w:r>
    </w:p>
    <w:p>
      <w:pPr>
        <w:spacing w:after="0" w:line="191" w:lineRule="exact"/>
        <w:rPr>
          <w:sz w:val="20"/>
          <w:szCs w:val="20"/>
          <w:color w:val="auto"/>
        </w:rPr>
      </w:pPr>
    </w:p>
    <w:tbl>
      <w:tblPr>
        <w:tblLayout w:type="fixed"/>
        <w:tblInd w:w="320" w:type="dxa"/>
        <w:tblCellMar>
          <w:top w:w="0" w:type="dxa"/>
          <w:left w:w="0" w:type="dxa"/>
          <w:bottom w:w="0" w:type="dxa"/>
          <w:right w:w="0" w:type="dxa"/>
        </w:tblCellMar>
      </w:tblPr>
      <w:tr>
        <w:trPr>
          <w:trHeight w:val="176"/>
        </w:trPr>
        <w:tc>
          <w:tcPr>
            <w:tcW w:w="2300" w:type="dxa"/>
            <w:vAlign w:val="bottom"/>
          </w:tcPr>
          <w:p>
            <w:pPr>
              <w:spacing w:after="0"/>
              <w:rPr>
                <w:sz w:val="15"/>
                <w:szCs w:val="15"/>
                <w:color w:val="auto"/>
              </w:rPr>
            </w:pPr>
          </w:p>
        </w:tc>
        <w:tc>
          <w:tcPr>
            <w:tcW w:w="3060" w:type="dxa"/>
            <w:vAlign w:val="bottom"/>
          </w:tcPr>
          <w:p>
            <w:pPr>
              <w:jc w:val="center"/>
              <w:ind w:left="1665"/>
              <w:spacing w:after="0"/>
              <w:rPr>
                <w:sz w:val="20"/>
                <w:szCs w:val="20"/>
                <w:color w:val="auto"/>
              </w:rPr>
            </w:pPr>
            <w:r>
              <w:rPr>
                <w:rFonts w:ascii="Arial" w:cs="Arial" w:eastAsia="Arial" w:hAnsi="Arial"/>
                <w:sz w:val="15"/>
                <w:szCs w:val="15"/>
                <w:b w:val="1"/>
                <w:bCs w:val="1"/>
                <w:color w:val="001544"/>
              </w:rPr>
              <w:t>Reported</w:t>
            </w: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300" w:type="dxa"/>
            <w:vAlign w:val="bottom"/>
          </w:tcPr>
          <w:p>
            <w:pPr>
              <w:spacing w:after="0"/>
              <w:rPr>
                <w:sz w:val="15"/>
                <w:szCs w:val="15"/>
                <w:color w:val="auto"/>
              </w:rPr>
            </w:pPr>
          </w:p>
        </w:tc>
        <w:tc>
          <w:tcPr>
            <w:tcW w:w="3060" w:type="dxa"/>
            <w:vAlign w:val="bottom"/>
          </w:tcPr>
          <w:p>
            <w:pPr>
              <w:jc w:val="center"/>
              <w:ind w:left="1665"/>
              <w:spacing w:after="0"/>
              <w:rPr>
                <w:sz w:val="20"/>
                <w:szCs w:val="20"/>
                <w:color w:val="auto"/>
              </w:rPr>
            </w:pPr>
            <w:r>
              <w:rPr>
                <w:rFonts w:ascii="Arial" w:cs="Arial" w:eastAsia="Arial" w:hAnsi="Arial"/>
                <w:sz w:val="15"/>
                <w:szCs w:val="15"/>
                <w:b w:val="1"/>
                <w:bCs w:val="1"/>
                <w:color w:val="001544"/>
                <w:w w:val="99"/>
              </w:rPr>
              <w:t>Summary</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rPr>
              <w:t>Reported</w:t>
            </w: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300" w:type="dxa"/>
            <w:vAlign w:val="bottom"/>
          </w:tcPr>
          <w:p>
            <w:pPr>
              <w:spacing w:after="0"/>
              <w:rPr>
                <w:sz w:val="15"/>
                <w:szCs w:val="15"/>
                <w:color w:val="auto"/>
              </w:rPr>
            </w:pPr>
          </w:p>
        </w:tc>
        <w:tc>
          <w:tcPr>
            <w:tcW w:w="3060" w:type="dxa"/>
            <w:vAlign w:val="bottom"/>
          </w:tcPr>
          <w:p>
            <w:pPr>
              <w:jc w:val="center"/>
              <w:ind w:left="1665"/>
              <w:spacing w:after="0"/>
              <w:rPr>
                <w:sz w:val="20"/>
                <w:szCs w:val="20"/>
                <w:color w:val="auto"/>
              </w:rPr>
            </w:pPr>
            <w:r>
              <w:rPr>
                <w:rFonts w:ascii="Arial" w:cs="Arial" w:eastAsia="Arial" w:hAnsi="Arial"/>
                <w:sz w:val="15"/>
                <w:szCs w:val="15"/>
                <w:b w:val="1"/>
                <w:bCs w:val="1"/>
                <w:color w:val="001544"/>
                <w:w w:val="99"/>
              </w:rPr>
              <w:t>Compensation</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w w:val="99"/>
              </w:rPr>
              <w:t>Value of</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rPr>
              <w:t>Equity</w:t>
            </w:r>
          </w:p>
        </w:tc>
        <w:tc>
          <w:tcPr>
            <w:tcW w:w="1220" w:type="dxa"/>
            <w:vAlign w:val="bottom"/>
          </w:tcPr>
          <w:p>
            <w:pPr>
              <w:jc w:val="center"/>
              <w:spacing w:after="0"/>
              <w:rPr>
                <w:sz w:val="20"/>
                <w:szCs w:val="20"/>
                <w:color w:val="auto"/>
              </w:rPr>
            </w:pPr>
            <w:r>
              <w:rPr>
                <w:rFonts w:ascii="Arial" w:cs="Arial" w:eastAsia="Arial" w:hAnsi="Arial"/>
                <w:sz w:val="15"/>
                <w:szCs w:val="15"/>
                <w:b w:val="1"/>
                <w:bCs w:val="1"/>
                <w:color w:val="001544"/>
                <w:w w:val="99"/>
              </w:rPr>
              <w:t>Compensation</w:t>
            </w:r>
          </w:p>
        </w:tc>
      </w:tr>
      <w:tr>
        <w:trPr>
          <w:trHeight w:val="164"/>
        </w:trPr>
        <w:tc>
          <w:tcPr>
            <w:tcW w:w="2300" w:type="dxa"/>
            <w:vAlign w:val="bottom"/>
          </w:tcPr>
          <w:p>
            <w:pPr>
              <w:spacing w:after="0"/>
              <w:rPr>
                <w:sz w:val="14"/>
                <w:szCs w:val="14"/>
                <w:color w:val="auto"/>
              </w:rPr>
            </w:pPr>
          </w:p>
        </w:tc>
        <w:tc>
          <w:tcPr>
            <w:tcW w:w="3060" w:type="dxa"/>
            <w:vAlign w:val="bottom"/>
          </w:tcPr>
          <w:p>
            <w:pPr>
              <w:jc w:val="center"/>
              <w:ind w:left="1665"/>
              <w:spacing w:after="0" w:line="164" w:lineRule="exact"/>
              <w:rPr>
                <w:sz w:val="20"/>
                <w:szCs w:val="20"/>
                <w:color w:val="auto"/>
              </w:rPr>
            </w:pPr>
            <w:r>
              <w:rPr>
                <w:rFonts w:ascii="Arial" w:cs="Arial" w:eastAsia="Arial" w:hAnsi="Arial"/>
                <w:sz w:val="15"/>
                <w:szCs w:val="15"/>
                <w:b w:val="1"/>
                <w:bCs w:val="1"/>
                <w:color w:val="001544"/>
                <w:w w:val="95"/>
              </w:rPr>
              <w:t>Table Total</w:t>
            </w:r>
          </w:p>
        </w:tc>
        <w:tc>
          <w:tcPr>
            <w:tcW w:w="1020" w:type="dxa"/>
            <w:vAlign w:val="bottom"/>
          </w:tcPr>
          <w:p>
            <w:pPr>
              <w:jc w:val="center"/>
              <w:spacing w:after="0" w:line="164" w:lineRule="exact"/>
              <w:rPr>
                <w:sz w:val="20"/>
                <w:szCs w:val="20"/>
                <w:color w:val="auto"/>
              </w:rPr>
            </w:pPr>
            <w:r>
              <w:rPr>
                <w:rFonts w:ascii="Arial" w:cs="Arial" w:eastAsia="Arial" w:hAnsi="Arial"/>
                <w:sz w:val="15"/>
                <w:szCs w:val="15"/>
                <w:b w:val="1"/>
                <w:bCs w:val="1"/>
                <w:color w:val="001544"/>
              </w:rPr>
              <w:t>Equity</w:t>
            </w:r>
          </w:p>
        </w:tc>
        <w:tc>
          <w:tcPr>
            <w:tcW w:w="1300" w:type="dxa"/>
            <w:vAlign w:val="bottom"/>
          </w:tcPr>
          <w:p>
            <w:pPr>
              <w:jc w:val="center"/>
              <w:spacing w:after="0" w:line="164" w:lineRule="exact"/>
              <w:rPr>
                <w:sz w:val="20"/>
                <w:szCs w:val="20"/>
                <w:color w:val="auto"/>
              </w:rPr>
            </w:pPr>
            <w:r>
              <w:rPr>
                <w:rFonts w:ascii="Arial" w:cs="Arial" w:eastAsia="Arial" w:hAnsi="Arial"/>
                <w:sz w:val="15"/>
                <w:szCs w:val="15"/>
                <w:b w:val="1"/>
                <w:bCs w:val="1"/>
                <w:color w:val="001544"/>
                <w:w w:val="95"/>
              </w:rPr>
              <w:t>Award</w:t>
            </w:r>
          </w:p>
        </w:tc>
        <w:tc>
          <w:tcPr>
            <w:tcW w:w="1220" w:type="dxa"/>
            <w:vAlign w:val="bottom"/>
          </w:tcPr>
          <w:p>
            <w:pPr>
              <w:jc w:val="center"/>
              <w:spacing w:after="0" w:line="164" w:lineRule="exact"/>
              <w:rPr>
                <w:sz w:val="20"/>
                <w:szCs w:val="20"/>
                <w:color w:val="auto"/>
              </w:rPr>
            </w:pPr>
            <w:r>
              <w:rPr>
                <w:rFonts w:ascii="Arial" w:cs="Arial" w:eastAsia="Arial" w:hAnsi="Arial"/>
                <w:sz w:val="15"/>
                <w:szCs w:val="15"/>
                <w:b w:val="1"/>
                <w:bCs w:val="1"/>
                <w:color w:val="001544"/>
              </w:rPr>
              <w:t>Actually</w:t>
            </w:r>
          </w:p>
        </w:tc>
      </w:tr>
      <w:tr>
        <w:trPr>
          <w:trHeight w:val="188"/>
        </w:trPr>
        <w:tc>
          <w:tcPr>
            <w:tcW w:w="2300" w:type="dxa"/>
            <w:vAlign w:val="bottom"/>
          </w:tcPr>
          <w:p>
            <w:pPr>
              <w:spacing w:after="0"/>
              <w:rPr>
                <w:sz w:val="16"/>
                <w:szCs w:val="16"/>
                <w:color w:val="auto"/>
              </w:rPr>
            </w:pPr>
          </w:p>
        </w:tc>
        <w:tc>
          <w:tcPr>
            <w:tcW w:w="3060" w:type="dxa"/>
            <w:vAlign w:val="bottom"/>
          </w:tcPr>
          <w:p>
            <w:pPr>
              <w:jc w:val="center"/>
              <w:ind w:left="1665"/>
              <w:spacing w:after="0"/>
              <w:rPr>
                <w:sz w:val="20"/>
                <w:szCs w:val="20"/>
                <w:color w:val="auto"/>
              </w:rPr>
            </w:pPr>
            <w:r>
              <w:rPr>
                <w:rFonts w:ascii="Arial" w:cs="Arial" w:eastAsia="Arial" w:hAnsi="Arial"/>
                <w:sz w:val="15"/>
                <w:szCs w:val="15"/>
                <w:b w:val="1"/>
                <w:bCs w:val="1"/>
                <w:color w:val="001544"/>
              </w:rPr>
              <w:t>for PEO</w:t>
            </w:r>
          </w:p>
        </w:tc>
        <w:tc>
          <w:tcPr>
            <w:tcW w:w="1020" w:type="dxa"/>
            <w:vAlign w:val="bottom"/>
          </w:tcPr>
          <w:p>
            <w:pPr>
              <w:jc w:val="center"/>
              <w:spacing w:after="0" w:line="188" w:lineRule="exact"/>
              <w:rPr>
                <w:sz w:val="20"/>
                <w:szCs w:val="20"/>
                <w:color w:val="auto"/>
              </w:rPr>
            </w:pPr>
            <w:r>
              <w:rPr>
                <w:rFonts w:ascii="Arial" w:cs="Arial" w:eastAsia="Arial" w:hAnsi="Arial"/>
                <w:sz w:val="14"/>
                <w:szCs w:val="14"/>
                <w:b w:val="1"/>
                <w:bCs w:val="1"/>
                <w:color w:val="001544"/>
              </w:rPr>
              <w:t>Awards</w:t>
            </w:r>
            <w:r>
              <w:rPr>
                <w:rFonts w:ascii="Arial" w:cs="Arial" w:eastAsia="Arial" w:hAnsi="Arial"/>
                <w:sz w:val="21"/>
                <w:szCs w:val="21"/>
                <w:b w:val="1"/>
                <w:bCs w:val="1"/>
                <w:color w:val="001544"/>
                <w:vertAlign w:val="superscript"/>
              </w:rPr>
              <w:t>(a)</w:t>
            </w:r>
          </w:p>
        </w:tc>
        <w:tc>
          <w:tcPr>
            <w:tcW w:w="1300" w:type="dxa"/>
            <w:vAlign w:val="bottom"/>
          </w:tcPr>
          <w:p>
            <w:pPr>
              <w:jc w:val="center"/>
              <w:spacing w:after="0" w:line="188" w:lineRule="exact"/>
              <w:rPr>
                <w:sz w:val="20"/>
                <w:szCs w:val="20"/>
                <w:color w:val="auto"/>
              </w:rPr>
            </w:pPr>
            <w:r>
              <w:rPr>
                <w:rFonts w:ascii="Arial" w:cs="Arial" w:eastAsia="Arial" w:hAnsi="Arial"/>
                <w:sz w:val="14"/>
                <w:szCs w:val="14"/>
                <w:b w:val="1"/>
                <w:bCs w:val="1"/>
                <w:color w:val="001544"/>
              </w:rPr>
              <w:t>Adjustments</w:t>
            </w:r>
            <w:r>
              <w:rPr>
                <w:rFonts w:ascii="Arial" w:cs="Arial" w:eastAsia="Arial" w:hAnsi="Arial"/>
                <w:sz w:val="21"/>
                <w:szCs w:val="21"/>
                <w:b w:val="1"/>
                <w:bCs w:val="1"/>
                <w:color w:val="001544"/>
                <w:vertAlign w:val="superscript"/>
              </w:rPr>
              <w:t>(b)</w:t>
            </w:r>
          </w:p>
        </w:tc>
        <w:tc>
          <w:tcPr>
            <w:tcW w:w="1220" w:type="dxa"/>
            <w:vAlign w:val="bottom"/>
          </w:tcPr>
          <w:p>
            <w:pPr>
              <w:jc w:val="center"/>
              <w:spacing w:after="0"/>
              <w:rPr>
                <w:sz w:val="20"/>
                <w:szCs w:val="20"/>
                <w:color w:val="auto"/>
              </w:rPr>
            </w:pPr>
            <w:r>
              <w:rPr>
                <w:rFonts w:ascii="Arial" w:cs="Arial" w:eastAsia="Arial" w:hAnsi="Arial"/>
                <w:sz w:val="15"/>
                <w:szCs w:val="15"/>
                <w:b w:val="1"/>
                <w:bCs w:val="1"/>
                <w:color w:val="001544"/>
              </w:rPr>
              <w:t>Paid to PEO</w:t>
            </w:r>
          </w:p>
        </w:tc>
      </w:tr>
      <w:tr>
        <w:trPr>
          <w:trHeight w:val="206"/>
        </w:trPr>
        <w:tc>
          <w:tcPr>
            <w:tcW w:w="2300" w:type="dxa"/>
            <w:vAlign w:val="bottom"/>
          </w:tcPr>
          <w:p>
            <w:pPr>
              <w:ind w:left="80"/>
              <w:spacing w:after="0"/>
              <w:rPr>
                <w:sz w:val="20"/>
                <w:szCs w:val="20"/>
                <w:color w:val="auto"/>
              </w:rPr>
            </w:pPr>
            <w:r>
              <w:rPr>
                <w:rFonts w:ascii="Arial" w:cs="Arial" w:eastAsia="Arial" w:hAnsi="Arial"/>
                <w:sz w:val="15"/>
                <w:szCs w:val="15"/>
                <w:b w:val="1"/>
                <w:bCs w:val="1"/>
                <w:color w:val="001544"/>
              </w:rPr>
              <w:t>Year</w:t>
            </w:r>
          </w:p>
        </w:tc>
        <w:tc>
          <w:tcPr>
            <w:tcW w:w="3060" w:type="dxa"/>
            <w:vAlign w:val="bottom"/>
          </w:tcPr>
          <w:p>
            <w:pPr>
              <w:jc w:val="center"/>
              <w:ind w:left="1705"/>
              <w:spacing w:after="0"/>
              <w:rPr>
                <w:sz w:val="20"/>
                <w:szCs w:val="20"/>
                <w:color w:val="auto"/>
              </w:rPr>
            </w:pPr>
            <w:r>
              <w:rPr>
                <w:rFonts w:ascii="Arial" w:cs="Arial" w:eastAsia="Arial" w:hAnsi="Arial"/>
                <w:sz w:val="15"/>
                <w:szCs w:val="15"/>
                <w:b w:val="1"/>
                <w:bCs w:val="1"/>
                <w:color w:val="001544"/>
              </w:rPr>
              <w:t>($)</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w w:val="97"/>
              </w:rPr>
              <w:t>($)</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rPr>
              <w:t>($)</w:t>
            </w:r>
          </w:p>
        </w:tc>
        <w:tc>
          <w:tcPr>
            <w:tcW w:w="1220" w:type="dxa"/>
            <w:vAlign w:val="bottom"/>
          </w:tcPr>
          <w:p>
            <w:pPr>
              <w:jc w:val="center"/>
              <w:spacing w:after="0"/>
              <w:rPr>
                <w:sz w:val="20"/>
                <w:szCs w:val="20"/>
                <w:color w:val="auto"/>
              </w:rPr>
            </w:pPr>
            <w:r>
              <w:rPr>
                <w:rFonts w:ascii="Arial" w:cs="Arial" w:eastAsia="Arial" w:hAnsi="Arial"/>
                <w:sz w:val="15"/>
                <w:szCs w:val="15"/>
                <w:b w:val="1"/>
                <w:bCs w:val="1"/>
                <w:color w:val="001544"/>
              </w:rPr>
              <w:t>($)</w:t>
            </w:r>
          </w:p>
        </w:tc>
      </w:tr>
      <w:tr>
        <w:trPr>
          <w:trHeight w:val="32"/>
        </w:trPr>
        <w:tc>
          <w:tcPr>
            <w:tcW w:w="2300" w:type="dxa"/>
            <w:vAlign w:val="bottom"/>
            <w:tcBorders>
              <w:bottom w:val="single" w:sz="8" w:color="001544"/>
            </w:tcBorders>
          </w:tcPr>
          <w:p>
            <w:pPr>
              <w:spacing w:after="0"/>
              <w:rPr>
                <w:sz w:val="2"/>
                <w:szCs w:val="2"/>
                <w:color w:val="auto"/>
              </w:rPr>
            </w:pPr>
          </w:p>
        </w:tc>
        <w:tc>
          <w:tcPr>
            <w:tcW w:w="3060" w:type="dxa"/>
            <w:vAlign w:val="bottom"/>
            <w:tcBorders>
              <w:bottom w:val="single" w:sz="8" w:color="001544"/>
            </w:tcBorders>
          </w:tcPr>
          <w:p>
            <w:pPr>
              <w:spacing w:after="0"/>
              <w:rPr>
                <w:sz w:val="2"/>
                <w:szCs w:val="2"/>
                <w:color w:val="auto"/>
              </w:rPr>
            </w:pPr>
          </w:p>
        </w:tc>
        <w:tc>
          <w:tcPr>
            <w:tcW w:w="102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220" w:type="dxa"/>
            <w:vAlign w:val="bottom"/>
            <w:tcBorders>
              <w:bottom w:val="single" w:sz="8" w:color="001544"/>
            </w:tcBorders>
          </w:tcPr>
          <w:p>
            <w:pPr>
              <w:spacing w:after="0"/>
              <w:rPr>
                <w:sz w:val="2"/>
                <w:szCs w:val="2"/>
                <w:color w:val="auto"/>
              </w:rPr>
            </w:pPr>
          </w:p>
        </w:tc>
      </w:tr>
      <w:tr>
        <w:trPr>
          <w:trHeight w:val="211"/>
        </w:trPr>
        <w:tc>
          <w:tcPr>
            <w:tcW w:w="230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2020</w:t>
            </w:r>
          </w:p>
        </w:tc>
        <w:tc>
          <w:tcPr>
            <w:tcW w:w="3060" w:type="dxa"/>
            <w:vAlign w:val="bottom"/>
            <w:tcBorders>
              <w:bottom w:val="single" w:sz="8" w:color="001544"/>
            </w:tcBorders>
            <w:shd w:val="clear" w:color="auto" w:fill="DBDFEA"/>
          </w:tcPr>
          <w:p>
            <w:pPr>
              <w:jc w:val="right"/>
              <w:ind w:right="85"/>
              <w:spacing w:after="0"/>
              <w:rPr>
                <w:sz w:val="20"/>
                <w:szCs w:val="20"/>
                <w:color w:val="auto"/>
              </w:rPr>
            </w:pPr>
            <w:r>
              <w:rPr>
                <w:rFonts w:ascii="Arial" w:cs="Arial" w:eastAsia="Arial" w:hAnsi="Arial"/>
                <w:sz w:val="15"/>
                <w:szCs w:val="15"/>
                <w:color w:val="auto"/>
              </w:rPr>
              <w:t>10,200,262</w:t>
            </w:r>
          </w:p>
        </w:tc>
        <w:tc>
          <w:tcPr>
            <w:tcW w:w="102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(3,565,431)</w:t>
            </w:r>
          </w:p>
        </w:tc>
        <w:tc>
          <w:tcPr>
            <w:tcW w:w="1300" w:type="dxa"/>
            <w:vAlign w:val="bottom"/>
            <w:tcBorders>
              <w:bottom w:val="single" w:sz="8" w:color="001544"/>
            </w:tcBorders>
            <w:shd w:val="clear" w:color="auto" w:fill="DBDFEA"/>
          </w:tcPr>
          <w:p>
            <w:pPr>
              <w:jc w:val="right"/>
              <w:ind w:right="85"/>
              <w:spacing w:after="0"/>
              <w:rPr>
                <w:sz w:val="20"/>
                <w:szCs w:val="20"/>
                <w:color w:val="auto"/>
              </w:rPr>
            </w:pPr>
            <w:r>
              <w:rPr>
                <w:rFonts w:ascii="Arial" w:cs="Arial" w:eastAsia="Arial" w:hAnsi="Arial"/>
                <w:sz w:val="15"/>
                <w:szCs w:val="15"/>
                <w:color w:val="auto"/>
              </w:rPr>
              <w:t>21,542,342</w:t>
            </w: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28,177,174</w:t>
            </w:r>
          </w:p>
        </w:tc>
      </w:tr>
    </w:tbl>
    <w:p>
      <w:pPr>
        <w:spacing w:after="0" w:line="63" w:lineRule="exact"/>
        <w:rPr>
          <w:sz w:val="20"/>
          <w:szCs w:val="20"/>
          <w:color w:val="auto"/>
        </w:rPr>
      </w:pPr>
    </w:p>
    <w:p>
      <w:pPr>
        <w:ind w:left="640" w:right="680" w:hanging="307"/>
        <w:spacing w:after="0" w:line="280" w:lineRule="auto"/>
        <w:tabs>
          <w:tab w:leader="none" w:pos="64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grant date fair value of equity awards represents the total of the amounts reported in the “Stock Awards” column in the Summary Compensation Table for the applicable year.</w:t>
      </w:r>
    </w:p>
    <w:p>
      <w:pPr>
        <w:spacing w:after="0" w:line="12" w:lineRule="exact"/>
        <w:rPr>
          <w:rFonts w:ascii="Arial" w:cs="Arial" w:eastAsia="Arial" w:hAnsi="Arial"/>
          <w:sz w:val="15"/>
          <w:szCs w:val="15"/>
          <w:color w:val="auto"/>
        </w:rPr>
      </w:pPr>
    </w:p>
    <w:p>
      <w:pPr>
        <w:ind w:left="640" w:hanging="307"/>
        <w:spacing w:after="0"/>
        <w:tabs>
          <w:tab w:leader="none" w:pos="64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equity award adjustments for each applicable year include the addition (or subtraction, as applicable) of the following:</w:t>
      </w:r>
    </w:p>
    <w:p>
      <w:pPr>
        <w:spacing w:after="0" w:line="17" w:lineRule="exact"/>
        <w:rPr>
          <w:rFonts w:ascii="Arial" w:cs="Arial" w:eastAsia="Arial" w:hAnsi="Arial"/>
          <w:sz w:val="15"/>
          <w:szCs w:val="15"/>
          <w:color w:val="auto"/>
        </w:rPr>
      </w:pPr>
    </w:p>
    <w:p>
      <w:pPr>
        <w:ind w:left="640" w:right="20"/>
        <w:spacing w:after="0" w:line="246" w:lineRule="auto"/>
        <w:rPr>
          <w:rFonts w:ascii="Arial" w:cs="Arial" w:eastAsia="Arial" w:hAnsi="Arial"/>
          <w:sz w:val="15"/>
          <w:szCs w:val="15"/>
          <w:color w:val="auto"/>
        </w:rPr>
      </w:pPr>
      <w:r>
        <w:rPr>
          <w:rFonts w:ascii="Arial" w:cs="Arial" w:eastAsia="Arial" w:hAnsi="Arial"/>
          <w:sz w:val="15"/>
          <w:szCs w:val="15"/>
          <w:color w:val="auto"/>
        </w:rPr>
        <w:t>(i)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amounts deducted or added in calculating the equity award adjustments for Mr. Ganzi are as follows:</w:t>
      </w: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176"/>
        </w:trPr>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4"/>
              </w:rPr>
              <w:t>Fair</w:t>
            </w: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w w:val="98"/>
              </w:rPr>
              <w:t>Year</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9"/>
              </w:rPr>
              <w:t>Value at the</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9"/>
              </w:rPr>
              <w:t>Value</w:t>
            </w:r>
          </w:p>
        </w:tc>
        <w:tc>
          <w:tcPr>
            <w:tcW w:w="11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w w:val="96"/>
              </w:rPr>
              <w:t>over Year</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rPr>
              <w:t>End of the</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9"/>
              </w:rPr>
              <w:t>of Dividends</w:t>
            </w:r>
          </w:p>
        </w:tc>
        <w:tc>
          <w:tcPr>
            <w:tcW w:w="11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rPr>
              <w:t>Change in</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6"/>
              </w:rPr>
              <w:t>Prior</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8"/>
              </w:rPr>
              <w:t>or other</w:t>
            </w:r>
          </w:p>
        </w:tc>
        <w:tc>
          <w:tcPr>
            <w:tcW w:w="11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001544"/>
                <w:w w:val="98"/>
              </w:rPr>
              <w:t>Year</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rPr>
              <w:t>Fair</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w w:val="97"/>
              </w:rPr>
              <w:t>Fair Value</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8"/>
              </w:rPr>
              <w:t>Year of</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9"/>
              </w:rPr>
              <w:t>Earnings</w:t>
            </w:r>
          </w:p>
        </w:tc>
        <w:tc>
          <w:tcPr>
            <w:tcW w:w="11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001544"/>
                <w:w w:val="99"/>
              </w:rPr>
              <w:t>over Year</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w w:val="98"/>
              </w:rPr>
              <w:t>Value as of</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rPr>
              <w:t>of Equity</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rPr>
              <w:t>Equity</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9"/>
              </w:rPr>
              <w:t>Paid on</w:t>
            </w:r>
          </w:p>
        </w:tc>
        <w:tc>
          <w:tcPr>
            <w:tcW w:w="11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001544"/>
                <w:w w:val="99"/>
              </w:rPr>
              <w:t>Change in</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w w:val="99"/>
              </w:rPr>
              <w:t>Vesting Date</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w w:val="99"/>
              </w:rPr>
              <w:t>Awards</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rPr>
              <w:t>Awards that</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9"/>
              </w:rPr>
              <w:t>Stock not</w:t>
            </w:r>
          </w:p>
        </w:tc>
        <w:tc>
          <w:tcPr>
            <w:tcW w:w="11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jc w:val="center"/>
              <w:ind w:left="5"/>
              <w:spacing w:after="0"/>
              <w:rPr>
                <w:sz w:val="20"/>
                <w:szCs w:val="20"/>
                <w:color w:val="auto"/>
              </w:rPr>
            </w:pPr>
            <w:r>
              <w:rPr>
                <w:rFonts w:ascii="Arial" w:cs="Arial" w:eastAsia="Arial" w:hAnsi="Arial"/>
                <w:sz w:val="15"/>
                <w:szCs w:val="15"/>
                <w:b w:val="1"/>
                <w:bCs w:val="1"/>
                <w:color w:val="001544"/>
                <w:w w:val="99"/>
              </w:rPr>
              <w:t>Fair Value of</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w w:val="99"/>
              </w:rPr>
              <w:t>of Equity</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rPr>
              <w:t>Granted</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6"/>
              </w:rPr>
              <w:t>Failed</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9"/>
              </w:rPr>
              <w:t>Otherwise</w:t>
            </w:r>
          </w:p>
        </w:tc>
        <w:tc>
          <w:tcPr>
            <w:tcW w:w="11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1120" w:type="dxa"/>
            <w:vAlign w:val="bottom"/>
          </w:tcPr>
          <w:p>
            <w:pPr>
              <w:jc w:val="center"/>
              <w:ind w:left="145"/>
              <w:spacing w:after="0"/>
              <w:rPr>
                <w:sz w:val="20"/>
                <w:szCs w:val="20"/>
                <w:color w:val="auto"/>
              </w:rPr>
            </w:pPr>
            <w:r>
              <w:rPr>
                <w:rFonts w:ascii="Arial" w:cs="Arial" w:eastAsia="Arial" w:hAnsi="Arial"/>
                <w:sz w:val="15"/>
                <w:szCs w:val="15"/>
                <w:b w:val="1"/>
                <w:bCs w:val="1"/>
                <w:color w:val="001544"/>
              </w:rPr>
              <w:t>Year End</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001544"/>
                <w:w w:val="99"/>
              </w:rPr>
              <w:t>Outstanding</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w w:val="99"/>
              </w:rPr>
              <w:t>Awards</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rPr>
              <w:t>in Prior</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rPr>
              <w:t>to Meet</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rPr>
              <w:t>Reflected in</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001544"/>
              </w:rPr>
              <w:t>Total</w:t>
            </w:r>
          </w:p>
        </w:tc>
      </w:tr>
      <w:tr>
        <w:trPr>
          <w:trHeight w:val="176"/>
        </w:trPr>
        <w:tc>
          <w:tcPr>
            <w:tcW w:w="780" w:type="dxa"/>
            <w:vAlign w:val="bottom"/>
          </w:tcPr>
          <w:p>
            <w:pPr>
              <w:spacing w:after="0"/>
              <w:rPr>
                <w:sz w:val="15"/>
                <w:szCs w:val="15"/>
                <w:color w:val="auto"/>
              </w:rPr>
            </w:pPr>
          </w:p>
        </w:tc>
        <w:tc>
          <w:tcPr>
            <w:tcW w:w="1120" w:type="dxa"/>
            <w:vAlign w:val="bottom"/>
          </w:tcPr>
          <w:p>
            <w:pPr>
              <w:jc w:val="center"/>
              <w:ind w:left="145"/>
              <w:spacing w:after="0"/>
              <w:rPr>
                <w:sz w:val="20"/>
                <w:szCs w:val="20"/>
                <w:color w:val="auto"/>
              </w:rPr>
            </w:pPr>
            <w:r>
              <w:rPr>
                <w:rFonts w:ascii="Arial" w:cs="Arial" w:eastAsia="Arial" w:hAnsi="Arial"/>
                <w:sz w:val="15"/>
                <w:szCs w:val="15"/>
                <w:b w:val="1"/>
                <w:bCs w:val="1"/>
                <w:color w:val="001544"/>
                <w:w w:val="97"/>
              </w:rPr>
              <w:t>Fair Value</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001544"/>
              </w:rPr>
              <w:t>and Unvested</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rPr>
              <w:t>Granted</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rPr>
              <w:t>Years</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9"/>
              </w:rPr>
              <w:t>Vesting</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8"/>
              </w:rPr>
              <w:t>Fair Value or</w:t>
            </w:r>
          </w:p>
        </w:tc>
        <w:tc>
          <w:tcPr>
            <w:tcW w:w="1100" w:type="dxa"/>
            <w:vAlign w:val="bottom"/>
          </w:tcPr>
          <w:p>
            <w:pPr>
              <w:jc w:val="center"/>
              <w:ind w:left="5"/>
              <w:spacing w:after="0"/>
              <w:rPr>
                <w:sz w:val="20"/>
                <w:szCs w:val="20"/>
                <w:color w:val="auto"/>
              </w:rPr>
            </w:pPr>
            <w:r>
              <w:rPr>
                <w:rFonts w:ascii="Arial" w:cs="Arial" w:eastAsia="Arial" w:hAnsi="Arial"/>
                <w:sz w:val="15"/>
                <w:szCs w:val="15"/>
                <w:b w:val="1"/>
                <w:bCs w:val="1"/>
                <w:color w:val="001544"/>
              </w:rPr>
              <w:t>Equity</w:t>
            </w:r>
          </w:p>
        </w:tc>
      </w:tr>
      <w:tr>
        <w:trPr>
          <w:trHeight w:val="176"/>
        </w:trPr>
        <w:tc>
          <w:tcPr>
            <w:tcW w:w="780" w:type="dxa"/>
            <w:vAlign w:val="bottom"/>
          </w:tcPr>
          <w:p>
            <w:pPr>
              <w:spacing w:after="0"/>
              <w:rPr>
                <w:sz w:val="15"/>
                <w:szCs w:val="15"/>
                <w:color w:val="auto"/>
              </w:rPr>
            </w:pPr>
          </w:p>
        </w:tc>
        <w:tc>
          <w:tcPr>
            <w:tcW w:w="1120" w:type="dxa"/>
            <w:vAlign w:val="bottom"/>
          </w:tcPr>
          <w:p>
            <w:pPr>
              <w:jc w:val="center"/>
              <w:ind w:left="145"/>
              <w:spacing w:after="0"/>
              <w:rPr>
                <w:sz w:val="20"/>
                <w:szCs w:val="20"/>
                <w:color w:val="auto"/>
              </w:rPr>
            </w:pPr>
            <w:r>
              <w:rPr>
                <w:rFonts w:ascii="Arial" w:cs="Arial" w:eastAsia="Arial" w:hAnsi="Arial"/>
                <w:sz w:val="15"/>
                <w:szCs w:val="15"/>
                <w:b w:val="1"/>
                <w:bCs w:val="1"/>
                <w:color w:val="001544"/>
              </w:rPr>
              <w:t>of Equity</w:t>
            </w:r>
          </w:p>
        </w:tc>
        <w:tc>
          <w:tcPr>
            <w:tcW w:w="1340" w:type="dxa"/>
            <w:vAlign w:val="bottom"/>
          </w:tcPr>
          <w:p>
            <w:pPr>
              <w:jc w:val="center"/>
              <w:ind w:left="5"/>
              <w:spacing w:after="0"/>
              <w:rPr>
                <w:sz w:val="20"/>
                <w:szCs w:val="20"/>
                <w:color w:val="auto"/>
              </w:rPr>
            </w:pPr>
            <w:r>
              <w:rPr>
                <w:rFonts w:ascii="Arial" w:cs="Arial" w:eastAsia="Arial" w:hAnsi="Arial"/>
                <w:sz w:val="15"/>
                <w:szCs w:val="15"/>
                <w:b w:val="1"/>
                <w:bCs w:val="1"/>
                <w:color w:val="001544"/>
              </w:rPr>
              <w:t>Equity</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w w:val="99"/>
              </w:rPr>
              <w:t>and Vested</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rPr>
              <w:t>that Vested</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9"/>
              </w:rPr>
              <w:t>Conditions</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4"/>
              </w:rPr>
              <w:t>Total</w:t>
            </w:r>
          </w:p>
        </w:tc>
        <w:tc>
          <w:tcPr>
            <w:tcW w:w="1100" w:type="dxa"/>
            <w:vAlign w:val="bottom"/>
          </w:tcPr>
          <w:p>
            <w:pPr>
              <w:jc w:val="center"/>
              <w:ind w:left="5"/>
              <w:spacing w:after="0"/>
              <w:rPr>
                <w:sz w:val="20"/>
                <w:szCs w:val="20"/>
                <w:color w:val="auto"/>
              </w:rPr>
            </w:pPr>
            <w:r>
              <w:rPr>
                <w:rFonts w:ascii="Arial" w:cs="Arial" w:eastAsia="Arial" w:hAnsi="Arial"/>
                <w:sz w:val="15"/>
                <w:szCs w:val="15"/>
                <w:b w:val="1"/>
                <w:bCs w:val="1"/>
                <w:color w:val="001544"/>
              </w:rPr>
              <w:t>Award</w:t>
            </w:r>
          </w:p>
        </w:tc>
      </w:tr>
      <w:tr>
        <w:trPr>
          <w:trHeight w:val="176"/>
        </w:trPr>
        <w:tc>
          <w:tcPr>
            <w:tcW w:w="780" w:type="dxa"/>
            <w:vAlign w:val="bottom"/>
          </w:tcPr>
          <w:p>
            <w:pPr>
              <w:spacing w:after="0"/>
              <w:rPr>
                <w:sz w:val="15"/>
                <w:szCs w:val="15"/>
                <w:color w:val="auto"/>
              </w:rPr>
            </w:pPr>
          </w:p>
        </w:tc>
        <w:tc>
          <w:tcPr>
            <w:tcW w:w="1120" w:type="dxa"/>
            <w:vAlign w:val="bottom"/>
          </w:tcPr>
          <w:p>
            <w:pPr>
              <w:jc w:val="center"/>
              <w:ind w:left="145"/>
              <w:spacing w:after="0"/>
              <w:rPr>
                <w:sz w:val="20"/>
                <w:szCs w:val="20"/>
                <w:color w:val="auto"/>
              </w:rPr>
            </w:pPr>
            <w:r>
              <w:rPr>
                <w:rFonts w:ascii="Arial" w:cs="Arial" w:eastAsia="Arial" w:hAnsi="Arial"/>
                <w:sz w:val="15"/>
                <w:szCs w:val="15"/>
                <w:b w:val="1"/>
                <w:bCs w:val="1"/>
                <w:color w:val="001544"/>
                <w:w w:val="99"/>
              </w:rPr>
              <w:t>Awards</w:t>
            </w:r>
          </w:p>
        </w:tc>
        <w:tc>
          <w:tcPr>
            <w:tcW w:w="1340" w:type="dxa"/>
            <w:vAlign w:val="bottom"/>
          </w:tcPr>
          <w:p>
            <w:pPr>
              <w:jc w:val="center"/>
              <w:ind w:left="5"/>
              <w:spacing w:after="0"/>
              <w:rPr>
                <w:sz w:val="20"/>
                <w:szCs w:val="20"/>
                <w:color w:val="auto"/>
              </w:rPr>
            </w:pPr>
            <w:r>
              <w:rPr>
                <w:rFonts w:ascii="Arial" w:cs="Arial" w:eastAsia="Arial" w:hAnsi="Arial"/>
                <w:sz w:val="15"/>
                <w:szCs w:val="15"/>
                <w:b w:val="1"/>
                <w:bCs w:val="1"/>
                <w:color w:val="001544"/>
                <w:w w:val="99"/>
              </w:rPr>
              <w:t>Awards</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w w:val="99"/>
              </w:rPr>
              <w:t>in the Year</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w w:val="99"/>
              </w:rPr>
              <w:t>in the Year</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9"/>
              </w:rPr>
              <w:t>in the Year</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9"/>
              </w:rPr>
              <w:t>Compensation</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001544"/>
              </w:rPr>
              <w:t>Adjustments</w:t>
            </w:r>
          </w:p>
        </w:tc>
      </w:tr>
      <w:tr>
        <w:trPr>
          <w:trHeight w:val="206"/>
        </w:trPr>
        <w:tc>
          <w:tcPr>
            <w:tcW w:w="780" w:type="dxa"/>
            <w:vAlign w:val="bottom"/>
          </w:tcPr>
          <w:p>
            <w:pPr>
              <w:ind w:left="80"/>
              <w:spacing w:after="0"/>
              <w:rPr>
                <w:sz w:val="20"/>
                <w:szCs w:val="20"/>
                <w:color w:val="auto"/>
              </w:rPr>
            </w:pPr>
            <w:r>
              <w:rPr>
                <w:rFonts w:ascii="Arial" w:cs="Arial" w:eastAsia="Arial" w:hAnsi="Arial"/>
                <w:sz w:val="15"/>
                <w:szCs w:val="15"/>
                <w:b w:val="1"/>
                <w:bCs w:val="1"/>
                <w:color w:val="001544"/>
              </w:rPr>
              <w:t>Year</w:t>
            </w:r>
          </w:p>
        </w:tc>
        <w:tc>
          <w:tcPr>
            <w:tcW w:w="1120" w:type="dxa"/>
            <w:vAlign w:val="bottom"/>
          </w:tcPr>
          <w:p>
            <w:pPr>
              <w:jc w:val="center"/>
              <w:ind w:left="145"/>
              <w:spacing w:after="0"/>
              <w:rPr>
                <w:sz w:val="20"/>
                <w:szCs w:val="20"/>
                <w:color w:val="auto"/>
              </w:rPr>
            </w:pPr>
            <w:r>
              <w:rPr>
                <w:rFonts w:ascii="Arial" w:cs="Arial" w:eastAsia="Arial" w:hAnsi="Arial"/>
                <w:sz w:val="15"/>
                <w:szCs w:val="15"/>
                <w:b w:val="1"/>
                <w:bCs w:val="1"/>
                <w:color w:val="001544"/>
                <w:w w:val="97"/>
              </w:rPr>
              <w:t>($)</w:t>
            </w:r>
          </w:p>
        </w:tc>
        <w:tc>
          <w:tcPr>
            <w:tcW w:w="1340" w:type="dxa"/>
            <w:vAlign w:val="bottom"/>
          </w:tcPr>
          <w:p>
            <w:pPr>
              <w:jc w:val="center"/>
              <w:ind w:left="5"/>
              <w:spacing w:after="0"/>
              <w:rPr>
                <w:sz w:val="20"/>
                <w:szCs w:val="20"/>
                <w:color w:val="auto"/>
              </w:rPr>
            </w:pPr>
            <w:r>
              <w:rPr>
                <w:rFonts w:ascii="Arial" w:cs="Arial" w:eastAsia="Arial" w:hAnsi="Arial"/>
                <w:sz w:val="15"/>
                <w:szCs w:val="15"/>
                <w:b w:val="1"/>
                <w:bCs w:val="1"/>
                <w:color w:val="001544"/>
                <w:w w:val="97"/>
              </w:rPr>
              <w:t>($)</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w w:val="97"/>
              </w:rPr>
              <w:t>($)</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w w:val="97"/>
              </w:rPr>
              <w:t>($)</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7"/>
              </w:rPr>
              <w:t>($)</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7"/>
              </w:rPr>
              <w:t>($)</w:t>
            </w:r>
          </w:p>
        </w:tc>
        <w:tc>
          <w:tcPr>
            <w:tcW w:w="1100" w:type="dxa"/>
            <w:vAlign w:val="bottom"/>
          </w:tcPr>
          <w:p>
            <w:pPr>
              <w:jc w:val="center"/>
              <w:ind w:left="5"/>
              <w:spacing w:after="0"/>
              <w:rPr>
                <w:sz w:val="20"/>
                <w:szCs w:val="20"/>
                <w:color w:val="auto"/>
              </w:rPr>
            </w:pPr>
            <w:r>
              <w:rPr>
                <w:rFonts w:ascii="Arial" w:cs="Arial" w:eastAsia="Arial" w:hAnsi="Arial"/>
                <w:sz w:val="15"/>
                <w:szCs w:val="15"/>
                <w:b w:val="1"/>
                <w:bCs w:val="1"/>
                <w:color w:val="001544"/>
                <w:w w:val="97"/>
              </w:rPr>
              <w:t>($)</w:t>
            </w:r>
          </w:p>
        </w:tc>
      </w:tr>
      <w:tr>
        <w:trPr>
          <w:trHeight w:val="32"/>
        </w:trPr>
        <w:tc>
          <w:tcPr>
            <w:tcW w:w="780" w:type="dxa"/>
            <w:vAlign w:val="bottom"/>
            <w:tcBorders>
              <w:bottom w:val="single" w:sz="8" w:color="001544"/>
            </w:tcBorders>
          </w:tcPr>
          <w:p>
            <w:pPr>
              <w:spacing w:after="0"/>
              <w:rPr>
                <w:sz w:val="2"/>
                <w:szCs w:val="2"/>
                <w:color w:val="auto"/>
              </w:rPr>
            </w:pPr>
          </w:p>
        </w:tc>
        <w:tc>
          <w:tcPr>
            <w:tcW w:w="1120" w:type="dxa"/>
            <w:vAlign w:val="bottom"/>
            <w:tcBorders>
              <w:bottom w:val="single" w:sz="8" w:color="001544"/>
            </w:tcBorders>
          </w:tcPr>
          <w:p>
            <w:pPr>
              <w:spacing w:after="0"/>
              <w:rPr>
                <w:sz w:val="2"/>
                <w:szCs w:val="2"/>
                <w:color w:val="auto"/>
              </w:rPr>
            </w:pPr>
          </w:p>
        </w:tc>
        <w:tc>
          <w:tcPr>
            <w:tcW w:w="1340" w:type="dxa"/>
            <w:vAlign w:val="bottom"/>
            <w:tcBorders>
              <w:bottom w:val="single" w:sz="8" w:color="001544"/>
            </w:tcBorders>
          </w:tcPr>
          <w:p>
            <w:pPr>
              <w:spacing w:after="0"/>
              <w:rPr>
                <w:sz w:val="2"/>
                <w:szCs w:val="2"/>
                <w:color w:val="auto"/>
              </w:rPr>
            </w:pPr>
          </w:p>
        </w:tc>
        <w:tc>
          <w:tcPr>
            <w:tcW w:w="1120" w:type="dxa"/>
            <w:vAlign w:val="bottom"/>
            <w:tcBorders>
              <w:bottom w:val="single" w:sz="8" w:color="001544"/>
            </w:tcBorders>
          </w:tcPr>
          <w:p>
            <w:pPr>
              <w:spacing w:after="0"/>
              <w:rPr>
                <w:sz w:val="2"/>
                <w:szCs w:val="2"/>
                <w:color w:val="auto"/>
              </w:rPr>
            </w:pPr>
          </w:p>
        </w:tc>
        <w:tc>
          <w:tcPr>
            <w:tcW w:w="1060" w:type="dxa"/>
            <w:vAlign w:val="bottom"/>
            <w:tcBorders>
              <w:bottom w:val="single" w:sz="8" w:color="001544"/>
            </w:tcBorders>
          </w:tcPr>
          <w:p>
            <w:pPr>
              <w:spacing w:after="0"/>
              <w:rPr>
                <w:sz w:val="2"/>
                <w:szCs w:val="2"/>
                <w:color w:val="auto"/>
              </w:rPr>
            </w:pPr>
          </w:p>
        </w:tc>
        <w:tc>
          <w:tcPr>
            <w:tcW w:w="108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100" w:type="dxa"/>
            <w:vAlign w:val="bottom"/>
            <w:tcBorders>
              <w:bottom w:val="single" w:sz="8" w:color="001544"/>
            </w:tcBorders>
          </w:tcPr>
          <w:p>
            <w:pPr>
              <w:spacing w:after="0"/>
              <w:rPr>
                <w:sz w:val="2"/>
                <w:szCs w:val="2"/>
                <w:color w:val="auto"/>
              </w:rPr>
            </w:pPr>
          </w:p>
        </w:tc>
      </w:tr>
      <w:tr>
        <w:trPr>
          <w:trHeight w:val="181"/>
        </w:trPr>
        <w:tc>
          <w:tcPr>
            <w:tcW w:w="78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2024</w:t>
            </w:r>
          </w:p>
        </w:tc>
        <w:tc>
          <w:tcPr>
            <w:tcW w:w="11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917,673</w:t>
            </w:r>
          </w:p>
        </w:tc>
        <w:tc>
          <w:tcPr>
            <w:tcW w:w="1340" w:type="dxa"/>
            <w:vAlign w:val="bottom"/>
            <w:tcBorders>
              <w:bottom w:val="single" w:sz="8" w:color="001544"/>
            </w:tcBorders>
            <w:shd w:val="clear" w:color="auto" w:fill="DBDFEA"/>
          </w:tcPr>
          <w:p>
            <w:pPr>
              <w:jc w:val="right"/>
              <w:ind w:right="45"/>
              <w:spacing w:after="0"/>
              <w:rPr>
                <w:sz w:val="20"/>
                <w:szCs w:val="20"/>
                <w:color w:val="auto"/>
              </w:rPr>
            </w:pPr>
            <w:r>
              <w:rPr>
                <w:rFonts w:ascii="Arial" w:cs="Arial" w:eastAsia="Arial" w:hAnsi="Arial"/>
                <w:sz w:val="15"/>
                <w:szCs w:val="15"/>
                <w:color w:val="auto"/>
              </w:rPr>
              <w:t>(3,371,234)</w:t>
            </w:r>
          </w:p>
        </w:tc>
        <w:tc>
          <w:tcPr>
            <w:tcW w:w="1120" w:type="dxa"/>
            <w:vAlign w:val="bottom"/>
            <w:tcBorders>
              <w:bottom w:val="single" w:sz="8" w:color="001544"/>
            </w:tcBorders>
            <w:shd w:val="clear" w:color="auto" w:fill="DBDFEA"/>
          </w:tcPr>
          <w:p>
            <w:pPr>
              <w:ind w:left="8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001544"/>
            </w:tcBorders>
            <w:shd w:val="clear" w:color="auto" w:fill="DBDFEA"/>
          </w:tcPr>
          <w:p>
            <w:pPr>
              <w:jc w:val="right"/>
              <w:ind w:right="85"/>
              <w:spacing w:after="0"/>
              <w:rPr>
                <w:sz w:val="20"/>
                <w:szCs w:val="20"/>
                <w:color w:val="auto"/>
              </w:rPr>
            </w:pPr>
            <w:r>
              <w:rPr>
                <w:rFonts w:ascii="Arial" w:cs="Arial" w:eastAsia="Arial" w:hAnsi="Arial"/>
                <w:sz w:val="15"/>
                <w:szCs w:val="15"/>
                <w:color w:val="auto"/>
              </w:rPr>
              <w:t>117,250</w:t>
            </w:r>
          </w:p>
        </w:tc>
        <w:tc>
          <w:tcPr>
            <w:tcW w:w="1080" w:type="dxa"/>
            <w:vAlign w:val="bottom"/>
            <w:tcBorders>
              <w:bottom w:val="single" w:sz="8" w:color="001544"/>
            </w:tcBorders>
            <w:shd w:val="clear" w:color="auto" w:fill="DBDFEA"/>
          </w:tcPr>
          <w:p>
            <w:pPr>
              <w:ind w:left="78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8,282</w:t>
            </w: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(2,328,029)</w:t>
            </w:r>
          </w:p>
        </w:tc>
      </w:tr>
      <w:tr>
        <w:trPr>
          <w:trHeight w:val="211"/>
        </w:trPr>
        <w:tc>
          <w:tcPr>
            <w:tcW w:w="78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2023</w:t>
            </w:r>
          </w:p>
        </w:tc>
        <w:tc>
          <w:tcPr>
            <w:tcW w:w="11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4,003,574</w:t>
            </w:r>
          </w:p>
        </w:tc>
        <w:tc>
          <w:tcPr>
            <w:tcW w:w="1340" w:type="dxa"/>
            <w:vAlign w:val="bottom"/>
            <w:tcBorders>
              <w:bottom w:val="single" w:sz="8" w:color="001544"/>
            </w:tcBorders>
            <w:shd w:val="clear" w:color="auto" w:fill="DBDFEA"/>
          </w:tcPr>
          <w:p>
            <w:pPr>
              <w:jc w:val="right"/>
              <w:ind w:right="85"/>
              <w:spacing w:after="0"/>
              <w:rPr>
                <w:sz w:val="20"/>
                <w:szCs w:val="20"/>
                <w:color w:val="auto"/>
              </w:rPr>
            </w:pPr>
            <w:r>
              <w:rPr>
                <w:rFonts w:ascii="Arial" w:cs="Arial" w:eastAsia="Arial" w:hAnsi="Arial"/>
                <w:sz w:val="15"/>
                <w:szCs w:val="15"/>
                <w:color w:val="auto"/>
              </w:rPr>
              <w:t>1,286,397</w:t>
            </w:r>
          </w:p>
        </w:tc>
        <w:tc>
          <w:tcPr>
            <w:tcW w:w="1120" w:type="dxa"/>
            <w:vAlign w:val="bottom"/>
            <w:tcBorders>
              <w:bottom w:val="single" w:sz="8" w:color="001544"/>
            </w:tcBorders>
            <w:shd w:val="clear" w:color="auto" w:fill="DBDFEA"/>
          </w:tcPr>
          <w:p>
            <w:pPr>
              <w:ind w:left="8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001544"/>
            </w:tcBorders>
            <w:shd w:val="clear" w:color="auto" w:fill="DBDFEA"/>
          </w:tcPr>
          <w:p>
            <w:pPr>
              <w:jc w:val="right"/>
              <w:ind w:right="85"/>
              <w:spacing w:after="0"/>
              <w:rPr>
                <w:sz w:val="20"/>
                <w:szCs w:val="20"/>
                <w:color w:val="auto"/>
              </w:rPr>
            </w:pPr>
            <w:r>
              <w:rPr>
                <w:rFonts w:ascii="Arial" w:cs="Arial" w:eastAsia="Arial" w:hAnsi="Arial"/>
                <w:sz w:val="15"/>
                <w:szCs w:val="15"/>
                <w:color w:val="auto"/>
              </w:rPr>
              <w:t>106,288</w:t>
            </w:r>
          </w:p>
        </w:tc>
        <w:tc>
          <w:tcPr>
            <w:tcW w:w="1080" w:type="dxa"/>
            <w:vAlign w:val="bottom"/>
            <w:tcBorders>
              <w:bottom w:val="single" w:sz="8" w:color="001544"/>
            </w:tcBorders>
            <w:shd w:val="clear" w:color="auto" w:fill="DBDFEA"/>
          </w:tcPr>
          <w:p>
            <w:pPr>
              <w:ind w:left="78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10,118</w:t>
            </w: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5,406,378</w:t>
            </w:r>
          </w:p>
        </w:tc>
      </w:tr>
      <w:tr>
        <w:trPr>
          <w:trHeight w:val="219"/>
        </w:trPr>
        <w:tc>
          <w:tcPr>
            <w:tcW w:w="78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2022</w:t>
            </w:r>
          </w:p>
        </w:tc>
        <w:tc>
          <w:tcPr>
            <w:tcW w:w="11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1,671,856</w:t>
            </w:r>
          </w:p>
        </w:tc>
        <w:tc>
          <w:tcPr>
            <w:tcW w:w="1340" w:type="dxa"/>
            <w:vAlign w:val="bottom"/>
            <w:tcBorders>
              <w:bottom w:val="single" w:sz="8" w:color="001544"/>
            </w:tcBorders>
            <w:shd w:val="clear" w:color="auto" w:fill="DBDFEA"/>
          </w:tcPr>
          <w:p>
            <w:pPr>
              <w:jc w:val="right"/>
              <w:ind w:right="45"/>
              <w:spacing w:after="0"/>
              <w:rPr>
                <w:sz w:val="20"/>
                <w:szCs w:val="20"/>
                <w:color w:val="auto"/>
              </w:rPr>
            </w:pPr>
            <w:r>
              <w:rPr>
                <w:rFonts w:ascii="Arial" w:cs="Arial" w:eastAsia="Arial" w:hAnsi="Arial"/>
                <w:sz w:val="15"/>
                <w:szCs w:val="15"/>
                <w:color w:val="auto"/>
              </w:rPr>
              <w:t>(55,660,831)</w:t>
            </w:r>
          </w:p>
        </w:tc>
        <w:tc>
          <w:tcPr>
            <w:tcW w:w="1120" w:type="dxa"/>
            <w:vAlign w:val="bottom"/>
            <w:tcBorders>
              <w:bottom w:val="single" w:sz="8" w:color="001544"/>
            </w:tcBorders>
            <w:shd w:val="clear" w:color="auto" w:fill="DBDFEA"/>
          </w:tcPr>
          <w:p>
            <w:pPr>
              <w:ind w:left="8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(477,512)</w:t>
            </w:r>
          </w:p>
        </w:tc>
        <w:tc>
          <w:tcPr>
            <w:tcW w:w="1080" w:type="dxa"/>
            <w:vAlign w:val="bottom"/>
            <w:tcBorders>
              <w:bottom w:val="single" w:sz="8" w:color="001544"/>
            </w:tcBorders>
            <w:shd w:val="clear" w:color="auto" w:fill="DBDFEA"/>
          </w:tcPr>
          <w:p>
            <w:pPr>
              <w:ind w:left="78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2,576</w:t>
            </w: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(54,463,911)</w:t>
            </w:r>
          </w:p>
        </w:tc>
      </w:tr>
      <w:tr>
        <w:trPr>
          <w:trHeight w:val="219"/>
        </w:trPr>
        <w:tc>
          <w:tcPr>
            <w:tcW w:w="78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2021</w:t>
            </w:r>
          </w:p>
        </w:tc>
        <w:tc>
          <w:tcPr>
            <w:tcW w:w="11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12,141,070</w:t>
            </w:r>
          </w:p>
        </w:tc>
        <w:tc>
          <w:tcPr>
            <w:tcW w:w="1340" w:type="dxa"/>
            <w:vAlign w:val="bottom"/>
            <w:tcBorders>
              <w:bottom w:val="single" w:sz="8" w:color="001544"/>
            </w:tcBorders>
            <w:shd w:val="clear" w:color="auto" w:fill="DBDFEA"/>
          </w:tcPr>
          <w:p>
            <w:pPr>
              <w:jc w:val="right"/>
              <w:ind w:right="85"/>
              <w:spacing w:after="0"/>
              <w:rPr>
                <w:sz w:val="20"/>
                <w:szCs w:val="20"/>
                <w:color w:val="auto"/>
              </w:rPr>
            </w:pPr>
            <w:r>
              <w:rPr>
                <w:rFonts w:ascii="Arial" w:cs="Arial" w:eastAsia="Arial" w:hAnsi="Arial"/>
                <w:sz w:val="15"/>
                <w:szCs w:val="15"/>
                <w:color w:val="auto"/>
              </w:rPr>
              <w:t>39,611,280</w:t>
            </w:r>
          </w:p>
        </w:tc>
        <w:tc>
          <w:tcPr>
            <w:tcW w:w="1120" w:type="dxa"/>
            <w:vAlign w:val="bottom"/>
            <w:tcBorders>
              <w:bottom w:val="single" w:sz="8" w:color="001544"/>
            </w:tcBorders>
            <w:shd w:val="clear" w:color="auto" w:fill="DBDFEA"/>
          </w:tcPr>
          <w:p>
            <w:pPr>
              <w:ind w:left="8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001544"/>
            </w:tcBorders>
            <w:shd w:val="clear" w:color="auto" w:fill="DBDFEA"/>
          </w:tcPr>
          <w:p>
            <w:pPr>
              <w:jc w:val="right"/>
              <w:ind w:right="85"/>
              <w:spacing w:after="0"/>
              <w:rPr>
                <w:sz w:val="20"/>
                <w:szCs w:val="20"/>
                <w:color w:val="auto"/>
              </w:rPr>
            </w:pPr>
            <w:r>
              <w:rPr>
                <w:rFonts w:ascii="Arial" w:cs="Arial" w:eastAsia="Arial" w:hAnsi="Arial"/>
                <w:sz w:val="15"/>
                <w:szCs w:val="15"/>
                <w:color w:val="auto"/>
              </w:rPr>
              <w:t>35,199</w:t>
            </w:r>
          </w:p>
        </w:tc>
        <w:tc>
          <w:tcPr>
            <w:tcW w:w="1080" w:type="dxa"/>
            <w:vAlign w:val="bottom"/>
            <w:tcBorders>
              <w:bottom w:val="single" w:sz="8" w:color="001544"/>
            </w:tcBorders>
            <w:shd w:val="clear" w:color="auto" w:fill="DBDFEA"/>
          </w:tcPr>
          <w:p>
            <w:pPr>
              <w:ind w:left="78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51,787,549</w:t>
            </w:r>
          </w:p>
        </w:tc>
      </w:tr>
      <w:tr>
        <w:trPr>
          <w:trHeight w:val="219"/>
        </w:trPr>
        <w:tc>
          <w:tcPr>
            <w:tcW w:w="78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2020</w:t>
            </w:r>
          </w:p>
        </w:tc>
        <w:tc>
          <w:tcPr>
            <w:tcW w:w="11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648,535</w:t>
            </w:r>
          </w:p>
        </w:tc>
        <w:tc>
          <w:tcPr>
            <w:tcW w:w="1340" w:type="dxa"/>
            <w:vAlign w:val="bottom"/>
            <w:tcBorders>
              <w:bottom w:val="single" w:sz="8" w:color="001544"/>
            </w:tcBorders>
            <w:shd w:val="clear" w:color="auto" w:fill="DBDFEA"/>
          </w:tcPr>
          <w:p>
            <w:pPr>
              <w:jc w:val="right"/>
              <w:ind w:right="85"/>
              <w:spacing w:after="0"/>
              <w:rPr>
                <w:sz w:val="20"/>
                <w:szCs w:val="20"/>
                <w:color w:val="auto"/>
              </w:rPr>
            </w:pPr>
            <w:r>
              <w:rPr>
                <w:rFonts w:ascii="Arial" w:cs="Arial" w:eastAsia="Arial" w:hAnsi="Arial"/>
                <w:sz w:val="15"/>
                <w:szCs w:val="15"/>
                <w:color w:val="auto"/>
              </w:rPr>
              <w:t>5,097,629</w:t>
            </w:r>
          </w:p>
        </w:tc>
        <w:tc>
          <w:tcPr>
            <w:tcW w:w="1120" w:type="dxa"/>
            <w:vAlign w:val="bottom"/>
            <w:tcBorders>
              <w:bottom w:val="single" w:sz="8" w:color="001544"/>
            </w:tcBorders>
            <w:shd w:val="clear" w:color="auto" w:fill="DBDFEA"/>
          </w:tcPr>
          <w:p>
            <w:pPr>
              <w:ind w:left="8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001544"/>
            </w:tcBorders>
            <w:shd w:val="clear" w:color="auto" w:fill="DBDFEA"/>
          </w:tcPr>
          <w:p>
            <w:pPr>
              <w:jc w:val="right"/>
              <w:ind w:right="8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1544"/>
            </w:tcBorders>
            <w:shd w:val="clear" w:color="auto" w:fill="DBDFEA"/>
          </w:tcPr>
          <w:p>
            <w:pPr>
              <w:ind w:left="78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5,378</w:t>
            </w: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5,751,542</w:t>
            </w:r>
          </w:p>
        </w:tc>
      </w:tr>
    </w:tbl>
    <w:p>
      <w:pPr>
        <w:spacing w:after="0" w:line="200" w:lineRule="exact"/>
        <w:rPr>
          <w:sz w:val="20"/>
          <w:szCs w:val="20"/>
          <w:color w:val="auto"/>
        </w:rPr>
      </w:pPr>
    </w:p>
    <w:p>
      <w:pPr>
        <w:spacing w:after="0" w:line="374"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amounts deducted or added in calculating the equity award adjustments for our Prior PEO in 2020 are as follows:</w:t>
      </w:r>
    </w:p>
    <w:p>
      <w:pPr>
        <w:spacing w:after="0" w:line="230" w:lineRule="exact"/>
        <w:rPr>
          <w:sz w:val="20"/>
          <w:szCs w:val="20"/>
          <w:color w:val="auto"/>
        </w:rPr>
      </w:pPr>
    </w:p>
    <w:tbl>
      <w:tblPr>
        <w:tblLayout w:type="fixed"/>
        <w:tblInd w:w="320" w:type="dxa"/>
        <w:tblCellMar>
          <w:top w:w="0" w:type="dxa"/>
          <w:left w:w="0" w:type="dxa"/>
          <w:bottom w:w="0" w:type="dxa"/>
          <w:right w:w="0" w:type="dxa"/>
        </w:tblCellMar>
      </w:tblPr>
      <w:tr>
        <w:trPr>
          <w:trHeight w:val="176"/>
        </w:trPr>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4"/>
              </w:rPr>
              <w:t>Fair</w:t>
            </w: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w w:val="98"/>
              </w:rPr>
              <w:t>Year</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9"/>
              </w:rPr>
              <w:t>Value at the</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9"/>
              </w:rPr>
              <w:t>Value</w:t>
            </w:r>
          </w:p>
        </w:tc>
        <w:tc>
          <w:tcPr>
            <w:tcW w:w="1100" w:type="dxa"/>
            <w:vAlign w:val="bottom"/>
          </w:tcPr>
          <w:p>
            <w:pPr>
              <w:spacing w:after="0"/>
              <w:rPr>
                <w:sz w:val="15"/>
                <w:szCs w:val="15"/>
                <w:color w:val="auto"/>
              </w:rPr>
            </w:pPr>
          </w:p>
        </w:tc>
      </w:tr>
      <w:tr>
        <w:trPr>
          <w:trHeight w:val="176"/>
        </w:trPr>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w w:val="96"/>
              </w:rPr>
              <w:t>over Year</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rPr>
              <w:t>End of the</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9"/>
              </w:rPr>
              <w:t>of Dividends</w:t>
            </w:r>
          </w:p>
        </w:tc>
        <w:tc>
          <w:tcPr>
            <w:tcW w:w="1100" w:type="dxa"/>
            <w:vAlign w:val="bottom"/>
          </w:tcPr>
          <w:p>
            <w:pPr>
              <w:spacing w:after="0"/>
              <w:rPr>
                <w:sz w:val="15"/>
                <w:szCs w:val="15"/>
                <w:color w:val="auto"/>
              </w:rPr>
            </w:pPr>
          </w:p>
        </w:tc>
      </w:tr>
      <w:tr>
        <w:trPr>
          <w:trHeight w:val="176"/>
        </w:trPr>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rPr>
              <w:t>Change in</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6"/>
              </w:rPr>
              <w:t>Prior</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8"/>
              </w:rPr>
              <w:t>or other</w:t>
            </w:r>
          </w:p>
        </w:tc>
        <w:tc>
          <w:tcPr>
            <w:tcW w:w="1100" w:type="dxa"/>
            <w:vAlign w:val="bottom"/>
          </w:tcPr>
          <w:p>
            <w:pPr>
              <w:spacing w:after="0"/>
              <w:rPr>
                <w:sz w:val="15"/>
                <w:szCs w:val="15"/>
                <w:color w:val="auto"/>
              </w:rPr>
            </w:pPr>
          </w:p>
        </w:tc>
      </w:tr>
      <w:tr>
        <w:trPr>
          <w:trHeight w:val="176"/>
        </w:trPr>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5"/>
                <w:szCs w:val="15"/>
                <w:b w:val="1"/>
                <w:bCs w:val="1"/>
                <w:color w:val="001544"/>
                <w:w w:val="98"/>
              </w:rPr>
              <w:t>Year</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001544"/>
              </w:rPr>
              <w:t>Fair</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w w:val="97"/>
              </w:rPr>
              <w:t>Fair Value</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8"/>
              </w:rPr>
              <w:t>Year of</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9"/>
              </w:rPr>
              <w:t>Earnings</w:t>
            </w:r>
          </w:p>
        </w:tc>
        <w:tc>
          <w:tcPr>
            <w:tcW w:w="1100" w:type="dxa"/>
            <w:vAlign w:val="bottom"/>
          </w:tcPr>
          <w:p>
            <w:pPr>
              <w:spacing w:after="0"/>
              <w:rPr>
                <w:sz w:val="15"/>
                <w:szCs w:val="15"/>
                <w:color w:val="auto"/>
              </w:rPr>
            </w:pPr>
          </w:p>
        </w:tc>
      </w:tr>
      <w:tr>
        <w:trPr>
          <w:trHeight w:val="176"/>
        </w:trPr>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5"/>
                <w:szCs w:val="15"/>
                <w:b w:val="1"/>
                <w:bCs w:val="1"/>
                <w:color w:val="001544"/>
                <w:w w:val="99"/>
              </w:rPr>
              <w:t>over Year</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001544"/>
                <w:w w:val="98"/>
              </w:rPr>
              <w:t>Value as of</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rPr>
              <w:t>of Equity</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rPr>
              <w:t>Equity</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9"/>
              </w:rPr>
              <w:t>Paid on</w:t>
            </w:r>
          </w:p>
        </w:tc>
        <w:tc>
          <w:tcPr>
            <w:tcW w:w="1100" w:type="dxa"/>
            <w:vAlign w:val="bottom"/>
          </w:tcPr>
          <w:p>
            <w:pPr>
              <w:spacing w:after="0"/>
              <w:rPr>
                <w:sz w:val="15"/>
                <w:szCs w:val="15"/>
                <w:color w:val="auto"/>
              </w:rPr>
            </w:pPr>
          </w:p>
        </w:tc>
      </w:tr>
      <w:tr>
        <w:trPr>
          <w:trHeight w:val="176"/>
        </w:trPr>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5"/>
                <w:szCs w:val="15"/>
                <w:b w:val="1"/>
                <w:bCs w:val="1"/>
                <w:color w:val="001544"/>
                <w:w w:val="99"/>
              </w:rPr>
              <w:t>Change in</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001544"/>
                <w:w w:val="99"/>
              </w:rPr>
              <w:t>Vesting Date</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w w:val="99"/>
              </w:rPr>
              <w:t>Awards</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rPr>
              <w:t>Awards that</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9"/>
              </w:rPr>
              <w:t>Stock not</w:t>
            </w:r>
          </w:p>
        </w:tc>
        <w:tc>
          <w:tcPr>
            <w:tcW w:w="1100" w:type="dxa"/>
            <w:vAlign w:val="bottom"/>
          </w:tcPr>
          <w:p>
            <w:pPr>
              <w:spacing w:after="0"/>
              <w:rPr>
                <w:sz w:val="15"/>
                <w:szCs w:val="15"/>
                <w:color w:val="auto"/>
              </w:rPr>
            </w:pPr>
          </w:p>
        </w:tc>
      </w:tr>
      <w:tr>
        <w:trPr>
          <w:trHeight w:val="176"/>
        </w:trPr>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5"/>
                <w:szCs w:val="15"/>
                <w:b w:val="1"/>
                <w:bCs w:val="1"/>
                <w:color w:val="001544"/>
                <w:w w:val="99"/>
              </w:rPr>
              <w:t>Fair Value of</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001544"/>
                <w:w w:val="99"/>
              </w:rPr>
              <w:t>of Equity</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rPr>
              <w:t>Granted</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6"/>
              </w:rPr>
              <w:t>Failed</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9"/>
              </w:rPr>
              <w:t>Otherwise</w:t>
            </w:r>
          </w:p>
        </w:tc>
        <w:tc>
          <w:tcPr>
            <w:tcW w:w="1100" w:type="dxa"/>
            <w:vAlign w:val="bottom"/>
          </w:tcPr>
          <w:p>
            <w:pPr>
              <w:spacing w:after="0"/>
              <w:rPr>
                <w:sz w:val="15"/>
                <w:szCs w:val="15"/>
                <w:color w:val="auto"/>
              </w:rPr>
            </w:pPr>
          </w:p>
        </w:tc>
      </w:tr>
      <w:tr>
        <w:trPr>
          <w:trHeight w:val="176"/>
        </w:trPr>
        <w:tc>
          <w:tcPr>
            <w:tcW w:w="760" w:type="dxa"/>
            <w:vAlign w:val="bottom"/>
          </w:tcPr>
          <w:p>
            <w:pPr>
              <w:spacing w:after="0"/>
              <w:rPr>
                <w:sz w:val="15"/>
                <w:szCs w:val="15"/>
                <w:color w:val="auto"/>
              </w:rPr>
            </w:pPr>
          </w:p>
        </w:tc>
        <w:tc>
          <w:tcPr>
            <w:tcW w:w="1220" w:type="dxa"/>
            <w:vAlign w:val="bottom"/>
          </w:tcPr>
          <w:p>
            <w:pPr>
              <w:jc w:val="center"/>
              <w:ind w:left="85"/>
              <w:spacing w:after="0"/>
              <w:rPr>
                <w:sz w:val="20"/>
                <w:szCs w:val="20"/>
                <w:color w:val="auto"/>
              </w:rPr>
            </w:pPr>
            <w:r>
              <w:rPr>
                <w:rFonts w:ascii="Arial" w:cs="Arial" w:eastAsia="Arial" w:hAnsi="Arial"/>
                <w:sz w:val="15"/>
                <w:szCs w:val="15"/>
                <w:b w:val="1"/>
                <w:bCs w:val="1"/>
                <w:color w:val="001544"/>
              </w:rPr>
              <w:t>Year End</w:t>
            </w:r>
          </w:p>
        </w:tc>
        <w:tc>
          <w:tcPr>
            <w:tcW w:w="1240" w:type="dxa"/>
            <w:vAlign w:val="bottom"/>
          </w:tcPr>
          <w:p>
            <w:pPr>
              <w:jc w:val="center"/>
              <w:spacing w:after="0"/>
              <w:rPr>
                <w:sz w:val="20"/>
                <w:szCs w:val="20"/>
                <w:color w:val="auto"/>
              </w:rPr>
            </w:pPr>
            <w:r>
              <w:rPr>
                <w:rFonts w:ascii="Arial" w:cs="Arial" w:eastAsia="Arial" w:hAnsi="Arial"/>
                <w:sz w:val="15"/>
                <w:szCs w:val="15"/>
                <w:b w:val="1"/>
                <w:bCs w:val="1"/>
                <w:color w:val="001544"/>
                <w:w w:val="99"/>
              </w:rPr>
              <w:t>Outstanding</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001544"/>
                <w:w w:val="99"/>
              </w:rPr>
              <w:t>Awards</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rPr>
              <w:t>in Prior</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rPr>
              <w:t>to Meet</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rPr>
              <w:t>Reflected in</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001544"/>
              </w:rPr>
              <w:t>Total</w:t>
            </w:r>
          </w:p>
        </w:tc>
      </w:tr>
      <w:tr>
        <w:trPr>
          <w:trHeight w:val="176"/>
        </w:trPr>
        <w:tc>
          <w:tcPr>
            <w:tcW w:w="760" w:type="dxa"/>
            <w:vAlign w:val="bottom"/>
          </w:tcPr>
          <w:p>
            <w:pPr>
              <w:spacing w:after="0"/>
              <w:rPr>
                <w:sz w:val="15"/>
                <w:szCs w:val="15"/>
                <w:color w:val="auto"/>
              </w:rPr>
            </w:pPr>
          </w:p>
        </w:tc>
        <w:tc>
          <w:tcPr>
            <w:tcW w:w="1220" w:type="dxa"/>
            <w:vAlign w:val="bottom"/>
          </w:tcPr>
          <w:p>
            <w:pPr>
              <w:jc w:val="center"/>
              <w:ind w:left="85"/>
              <w:spacing w:after="0"/>
              <w:rPr>
                <w:sz w:val="20"/>
                <w:szCs w:val="20"/>
                <w:color w:val="auto"/>
              </w:rPr>
            </w:pPr>
            <w:r>
              <w:rPr>
                <w:rFonts w:ascii="Arial" w:cs="Arial" w:eastAsia="Arial" w:hAnsi="Arial"/>
                <w:sz w:val="15"/>
                <w:szCs w:val="15"/>
                <w:b w:val="1"/>
                <w:bCs w:val="1"/>
                <w:color w:val="001544"/>
                <w:w w:val="97"/>
              </w:rPr>
              <w:t>Fair Value</w:t>
            </w:r>
          </w:p>
        </w:tc>
        <w:tc>
          <w:tcPr>
            <w:tcW w:w="1240" w:type="dxa"/>
            <w:vAlign w:val="bottom"/>
          </w:tcPr>
          <w:p>
            <w:pPr>
              <w:jc w:val="center"/>
              <w:spacing w:after="0"/>
              <w:rPr>
                <w:sz w:val="20"/>
                <w:szCs w:val="20"/>
                <w:color w:val="auto"/>
              </w:rPr>
            </w:pPr>
            <w:r>
              <w:rPr>
                <w:rFonts w:ascii="Arial" w:cs="Arial" w:eastAsia="Arial" w:hAnsi="Arial"/>
                <w:sz w:val="15"/>
                <w:szCs w:val="15"/>
                <w:b w:val="1"/>
                <w:bCs w:val="1"/>
                <w:color w:val="001544"/>
              </w:rPr>
              <w:t>and Unvested</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001544"/>
              </w:rPr>
              <w:t>Granted</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rPr>
              <w:t>Years</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9"/>
              </w:rPr>
              <w:t>Vesting</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8"/>
              </w:rPr>
              <w:t>Fair Value or</w:t>
            </w:r>
          </w:p>
        </w:tc>
        <w:tc>
          <w:tcPr>
            <w:tcW w:w="1100" w:type="dxa"/>
            <w:vAlign w:val="bottom"/>
          </w:tcPr>
          <w:p>
            <w:pPr>
              <w:jc w:val="center"/>
              <w:ind w:left="5"/>
              <w:spacing w:after="0"/>
              <w:rPr>
                <w:sz w:val="20"/>
                <w:szCs w:val="20"/>
                <w:color w:val="auto"/>
              </w:rPr>
            </w:pPr>
            <w:r>
              <w:rPr>
                <w:rFonts w:ascii="Arial" w:cs="Arial" w:eastAsia="Arial" w:hAnsi="Arial"/>
                <w:sz w:val="15"/>
                <w:szCs w:val="15"/>
                <w:b w:val="1"/>
                <w:bCs w:val="1"/>
                <w:color w:val="001544"/>
              </w:rPr>
              <w:t>Equity</w:t>
            </w:r>
          </w:p>
        </w:tc>
      </w:tr>
      <w:tr>
        <w:trPr>
          <w:trHeight w:val="176"/>
        </w:trPr>
        <w:tc>
          <w:tcPr>
            <w:tcW w:w="760" w:type="dxa"/>
            <w:vAlign w:val="bottom"/>
          </w:tcPr>
          <w:p>
            <w:pPr>
              <w:spacing w:after="0"/>
              <w:rPr>
                <w:sz w:val="15"/>
                <w:szCs w:val="15"/>
                <w:color w:val="auto"/>
              </w:rPr>
            </w:pPr>
          </w:p>
        </w:tc>
        <w:tc>
          <w:tcPr>
            <w:tcW w:w="1220" w:type="dxa"/>
            <w:vAlign w:val="bottom"/>
          </w:tcPr>
          <w:p>
            <w:pPr>
              <w:jc w:val="center"/>
              <w:ind w:left="85"/>
              <w:spacing w:after="0"/>
              <w:rPr>
                <w:sz w:val="20"/>
                <w:szCs w:val="20"/>
                <w:color w:val="auto"/>
              </w:rPr>
            </w:pPr>
            <w:r>
              <w:rPr>
                <w:rFonts w:ascii="Arial" w:cs="Arial" w:eastAsia="Arial" w:hAnsi="Arial"/>
                <w:sz w:val="15"/>
                <w:szCs w:val="15"/>
                <w:b w:val="1"/>
                <w:bCs w:val="1"/>
                <w:color w:val="001544"/>
              </w:rPr>
              <w:t>of Equity</w:t>
            </w:r>
          </w:p>
        </w:tc>
        <w:tc>
          <w:tcPr>
            <w:tcW w:w="1240" w:type="dxa"/>
            <w:vAlign w:val="bottom"/>
          </w:tcPr>
          <w:p>
            <w:pPr>
              <w:jc w:val="center"/>
              <w:spacing w:after="0"/>
              <w:rPr>
                <w:sz w:val="20"/>
                <w:szCs w:val="20"/>
                <w:color w:val="auto"/>
              </w:rPr>
            </w:pPr>
            <w:r>
              <w:rPr>
                <w:rFonts w:ascii="Arial" w:cs="Arial" w:eastAsia="Arial" w:hAnsi="Arial"/>
                <w:sz w:val="15"/>
                <w:szCs w:val="15"/>
                <w:b w:val="1"/>
                <w:bCs w:val="1"/>
                <w:color w:val="001544"/>
              </w:rPr>
              <w:t>Equity</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001544"/>
                <w:w w:val="99"/>
              </w:rPr>
              <w:t>and Vested</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rPr>
              <w:t>that Vested</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9"/>
              </w:rPr>
              <w:t>Conditions</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4"/>
              </w:rPr>
              <w:t>Total</w:t>
            </w:r>
          </w:p>
        </w:tc>
        <w:tc>
          <w:tcPr>
            <w:tcW w:w="1100" w:type="dxa"/>
            <w:vAlign w:val="bottom"/>
          </w:tcPr>
          <w:p>
            <w:pPr>
              <w:jc w:val="center"/>
              <w:ind w:left="5"/>
              <w:spacing w:after="0"/>
              <w:rPr>
                <w:sz w:val="20"/>
                <w:szCs w:val="20"/>
                <w:color w:val="auto"/>
              </w:rPr>
            </w:pPr>
            <w:r>
              <w:rPr>
                <w:rFonts w:ascii="Arial" w:cs="Arial" w:eastAsia="Arial" w:hAnsi="Arial"/>
                <w:sz w:val="15"/>
                <w:szCs w:val="15"/>
                <w:b w:val="1"/>
                <w:bCs w:val="1"/>
                <w:color w:val="001544"/>
              </w:rPr>
              <w:t>Award</w:t>
            </w:r>
          </w:p>
        </w:tc>
      </w:tr>
      <w:tr>
        <w:trPr>
          <w:trHeight w:val="176"/>
        </w:trPr>
        <w:tc>
          <w:tcPr>
            <w:tcW w:w="760" w:type="dxa"/>
            <w:vAlign w:val="bottom"/>
          </w:tcPr>
          <w:p>
            <w:pPr>
              <w:spacing w:after="0"/>
              <w:rPr>
                <w:sz w:val="15"/>
                <w:szCs w:val="15"/>
                <w:color w:val="auto"/>
              </w:rPr>
            </w:pPr>
          </w:p>
        </w:tc>
        <w:tc>
          <w:tcPr>
            <w:tcW w:w="1220" w:type="dxa"/>
            <w:vAlign w:val="bottom"/>
          </w:tcPr>
          <w:p>
            <w:pPr>
              <w:jc w:val="center"/>
              <w:ind w:left="85"/>
              <w:spacing w:after="0"/>
              <w:rPr>
                <w:sz w:val="20"/>
                <w:szCs w:val="20"/>
                <w:color w:val="auto"/>
              </w:rPr>
            </w:pPr>
            <w:r>
              <w:rPr>
                <w:rFonts w:ascii="Arial" w:cs="Arial" w:eastAsia="Arial" w:hAnsi="Arial"/>
                <w:sz w:val="15"/>
                <w:szCs w:val="15"/>
                <w:b w:val="1"/>
                <w:bCs w:val="1"/>
                <w:color w:val="001544"/>
                <w:w w:val="99"/>
              </w:rPr>
              <w:t>Awards</w:t>
            </w:r>
          </w:p>
        </w:tc>
        <w:tc>
          <w:tcPr>
            <w:tcW w:w="1240" w:type="dxa"/>
            <w:vAlign w:val="bottom"/>
          </w:tcPr>
          <w:p>
            <w:pPr>
              <w:jc w:val="center"/>
              <w:spacing w:after="0"/>
              <w:rPr>
                <w:sz w:val="20"/>
                <w:szCs w:val="20"/>
                <w:color w:val="auto"/>
              </w:rPr>
            </w:pPr>
            <w:r>
              <w:rPr>
                <w:rFonts w:ascii="Arial" w:cs="Arial" w:eastAsia="Arial" w:hAnsi="Arial"/>
                <w:sz w:val="15"/>
                <w:szCs w:val="15"/>
                <w:b w:val="1"/>
                <w:bCs w:val="1"/>
                <w:color w:val="001544"/>
                <w:w w:val="99"/>
              </w:rPr>
              <w:t>Awards</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001544"/>
                <w:w w:val="99"/>
              </w:rPr>
              <w:t>in the Year</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w w:val="99"/>
              </w:rPr>
              <w:t>in the Year</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9"/>
              </w:rPr>
              <w:t>in the Year</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9"/>
              </w:rPr>
              <w:t>Compensation</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001544"/>
              </w:rPr>
              <w:t>Adjustments</w:t>
            </w:r>
          </w:p>
        </w:tc>
      </w:tr>
      <w:tr>
        <w:trPr>
          <w:trHeight w:val="206"/>
        </w:trPr>
        <w:tc>
          <w:tcPr>
            <w:tcW w:w="760" w:type="dxa"/>
            <w:vAlign w:val="bottom"/>
          </w:tcPr>
          <w:p>
            <w:pPr>
              <w:spacing w:after="0"/>
              <w:rPr>
                <w:sz w:val="17"/>
                <w:szCs w:val="17"/>
                <w:color w:val="auto"/>
              </w:rPr>
            </w:pPr>
          </w:p>
        </w:tc>
        <w:tc>
          <w:tcPr>
            <w:tcW w:w="1220" w:type="dxa"/>
            <w:vAlign w:val="bottom"/>
          </w:tcPr>
          <w:p>
            <w:pPr>
              <w:jc w:val="center"/>
              <w:ind w:left="85"/>
              <w:spacing w:after="0"/>
              <w:rPr>
                <w:sz w:val="20"/>
                <w:szCs w:val="20"/>
                <w:color w:val="auto"/>
              </w:rPr>
            </w:pPr>
            <w:r>
              <w:rPr>
                <w:rFonts w:ascii="Arial" w:cs="Arial" w:eastAsia="Arial" w:hAnsi="Arial"/>
                <w:sz w:val="15"/>
                <w:szCs w:val="15"/>
                <w:b w:val="1"/>
                <w:bCs w:val="1"/>
                <w:color w:val="001544"/>
                <w:w w:val="97"/>
              </w:rPr>
              <w:t>($)</w:t>
            </w:r>
          </w:p>
        </w:tc>
        <w:tc>
          <w:tcPr>
            <w:tcW w:w="1240" w:type="dxa"/>
            <w:vAlign w:val="bottom"/>
          </w:tcPr>
          <w:p>
            <w:pPr>
              <w:jc w:val="center"/>
              <w:spacing w:after="0"/>
              <w:rPr>
                <w:sz w:val="20"/>
                <w:szCs w:val="20"/>
                <w:color w:val="auto"/>
              </w:rPr>
            </w:pPr>
            <w:r>
              <w:rPr>
                <w:rFonts w:ascii="Arial" w:cs="Arial" w:eastAsia="Arial" w:hAnsi="Arial"/>
                <w:sz w:val="15"/>
                <w:szCs w:val="15"/>
                <w:b w:val="1"/>
                <w:bCs w:val="1"/>
                <w:color w:val="001544"/>
                <w:w w:val="97"/>
              </w:rPr>
              <w:t>($)</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001544"/>
                <w:w w:val="97"/>
              </w:rPr>
              <w:t>($)</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001544"/>
                <w:w w:val="97"/>
              </w:rPr>
              <w:t>($)</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7"/>
              </w:rPr>
              <w:t>($)</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1544"/>
                <w:w w:val="97"/>
              </w:rPr>
              <w:t>($)</w:t>
            </w:r>
          </w:p>
        </w:tc>
        <w:tc>
          <w:tcPr>
            <w:tcW w:w="1100" w:type="dxa"/>
            <w:vAlign w:val="bottom"/>
          </w:tcPr>
          <w:p>
            <w:pPr>
              <w:jc w:val="center"/>
              <w:ind w:left="5"/>
              <w:spacing w:after="0"/>
              <w:rPr>
                <w:sz w:val="20"/>
                <w:szCs w:val="20"/>
                <w:color w:val="auto"/>
              </w:rPr>
            </w:pPr>
            <w:r>
              <w:rPr>
                <w:rFonts w:ascii="Arial" w:cs="Arial" w:eastAsia="Arial" w:hAnsi="Arial"/>
                <w:sz w:val="15"/>
                <w:szCs w:val="15"/>
                <w:b w:val="1"/>
                <w:bCs w:val="1"/>
                <w:color w:val="001544"/>
                <w:w w:val="97"/>
              </w:rPr>
              <w:t>($)</w:t>
            </w:r>
          </w:p>
        </w:tc>
      </w:tr>
      <w:tr>
        <w:trPr>
          <w:trHeight w:val="32"/>
        </w:trPr>
        <w:tc>
          <w:tcPr>
            <w:tcW w:w="760" w:type="dxa"/>
            <w:vAlign w:val="bottom"/>
            <w:tcBorders>
              <w:bottom w:val="single" w:sz="8" w:color="001544"/>
            </w:tcBorders>
          </w:tcPr>
          <w:p>
            <w:pPr>
              <w:spacing w:after="0"/>
              <w:rPr>
                <w:sz w:val="2"/>
                <w:szCs w:val="2"/>
                <w:color w:val="auto"/>
              </w:rPr>
            </w:pPr>
          </w:p>
        </w:tc>
        <w:tc>
          <w:tcPr>
            <w:tcW w:w="1220" w:type="dxa"/>
            <w:vAlign w:val="bottom"/>
            <w:tcBorders>
              <w:bottom w:val="single" w:sz="8" w:color="001544"/>
            </w:tcBorders>
          </w:tcPr>
          <w:p>
            <w:pPr>
              <w:spacing w:after="0"/>
              <w:rPr>
                <w:sz w:val="2"/>
                <w:szCs w:val="2"/>
                <w:color w:val="auto"/>
              </w:rPr>
            </w:pPr>
          </w:p>
        </w:tc>
        <w:tc>
          <w:tcPr>
            <w:tcW w:w="1240" w:type="dxa"/>
            <w:vAlign w:val="bottom"/>
            <w:tcBorders>
              <w:bottom w:val="single" w:sz="8" w:color="001544"/>
            </w:tcBorders>
          </w:tcPr>
          <w:p>
            <w:pPr>
              <w:spacing w:after="0"/>
              <w:rPr>
                <w:sz w:val="2"/>
                <w:szCs w:val="2"/>
                <w:color w:val="auto"/>
              </w:rPr>
            </w:pPr>
          </w:p>
        </w:tc>
        <w:tc>
          <w:tcPr>
            <w:tcW w:w="1140" w:type="dxa"/>
            <w:vAlign w:val="bottom"/>
            <w:tcBorders>
              <w:bottom w:val="single" w:sz="8" w:color="001544"/>
            </w:tcBorders>
          </w:tcPr>
          <w:p>
            <w:pPr>
              <w:spacing w:after="0"/>
              <w:rPr>
                <w:sz w:val="2"/>
                <w:szCs w:val="2"/>
                <w:color w:val="auto"/>
              </w:rPr>
            </w:pPr>
          </w:p>
        </w:tc>
        <w:tc>
          <w:tcPr>
            <w:tcW w:w="1060" w:type="dxa"/>
            <w:vAlign w:val="bottom"/>
            <w:tcBorders>
              <w:bottom w:val="single" w:sz="8" w:color="001544"/>
            </w:tcBorders>
          </w:tcPr>
          <w:p>
            <w:pPr>
              <w:spacing w:after="0"/>
              <w:rPr>
                <w:sz w:val="2"/>
                <w:szCs w:val="2"/>
                <w:color w:val="auto"/>
              </w:rPr>
            </w:pPr>
          </w:p>
        </w:tc>
        <w:tc>
          <w:tcPr>
            <w:tcW w:w="108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100" w:type="dxa"/>
            <w:vAlign w:val="bottom"/>
            <w:tcBorders>
              <w:bottom w:val="single" w:sz="8" w:color="001544"/>
            </w:tcBorders>
          </w:tcPr>
          <w:p>
            <w:pPr>
              <w:spacing w:after="0"/>
              <w:rPr>
                <w:sz w:val="2"/>
                <w:szCs w:val="2"/>
                <w:color w:val="auto"/>
              </w:rPr>
            </w:pPr>
          </w:p>
        </w:tc>
      </w:tr>
      <w:tr>
        <w:trPr>
          <w:trHeight w:val="211"/>
        </w:trPr>
        <w:tc>
          <w:tcPr>
            <w:tcW w:w="760" w:type="dxa"/>
            <w:vAlign w:val="bottom"/>
            <w:tcBorders>
              <w:bottom w:val="single" w:sz="8" w:color="001544"/>
            </w:tcBorders>
            <w:shd w:val="clear" w:color="auto" w:fill="DBDFEA"/>
          </w:tcPr>
          <w:p>
            <w:pPr>
              <w:jc w:val="right"/>
              <w:ind w:right="265"/>
              <w:spacing w:after="0"/>
              <w:rPr>
                <w:sz w:val="20"/>
                <w:szCs w:val="20"/>
                <w:color w:val="auto"/>
              </w:rPr>
            </w:pPr>
            <w:r>
              <w:rPr>
                <w:rFonts w:ascii="Arial" w:cs="Arial" w:eastAsia="Arial" w:hAnsi="Arial"/>
                <w:sz w:val="15"/>
                <w:szCs w:val="15"/>
                <w:color w:val="auto"/>
              </w:rPr>
              <w:t>2020</w:t>
            </w:r>
          </w:p>
        </w:tc>
        <w:tc>
          <w:tcPr>
            <w:tcW w:w="1220" w:type="dxa"/>
            <w:vAlign w:val="bottom"/>
            <w:tcBorders>
              <w:bottom w:val="single" w:sz="8" w:color="001544"/>
            </w:tcBorders>
            <w:shd w:val="clear" w:color="auto" w:fill="DBDFEA"/>
          </w:tcPr>
          <w:p>
            <w:pPr>
              <w:jc w:val="center"/>
              <w:ind w:left="125"/>
              <w:spacing w:after="0"/>
              <w:rPr>
                <w:sz w:val="20"/>
                <w:szCs w:val="20"/>
                <w:color w:val="auto"/>
              </w:rPr>
            </w:pPr>
            <w:r>
              <w:rPr>
                <w:rFonts w:ascii="Arial" w:cs="Arial" w:eastAsia="Arial" w:hAnsi="Arial"/>
                <w:sz w:val="15"/>
                <w:szCs w:val="15"/>
                <w:color w:val="auto"/>
                <w:w w:val="98"/>
              </w:rPr>
              <w:t>13,101,786</w:t>
            </w:r>
          </w:p>
        </w:tc>
        <w:tc>
          <w:tcPr>
            <w:tcW w:w="124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1,239,403</w:t>
            </w:r>
          </w:p>
        </w:tc>
        <w:tc>
          <w:tcPr>
            <w:tcW w:w="1140" w:type="dxa"/>
            <w:vAlign w:val="bottom"/>
            <w:tcBorders>
              <w:bottom w:val="single" w:sz="8" w:color="001544"/>
            </w:tcBorders>
            <w:shd w:val="clear" w:color="auto" w:fill="DBDFEA"/>
          </w:tcPr>
          <w:p>
            <w:pPr>
              <w:jc w:val="right"/>
              <w:ind w:right="45"/>
              <w:spacing w:after="0"/>
              <w:rPr>
                <w:sz w:val="20"/>
                <w:szCs w:val="20"/>
                <w:color w:val="auto"/>
              </w:rPr>
            </w:pPr>
            <w:r>
              <w:rPr>
                <w:rFonts w:ascii="Arial" w:cs="Arial" w:eastAsia="Arial" w:hAnsi="Arial"/>
                <w:sz w:val="15"/>
                <w:szCs w:val="15"/>
                <w:color w:val="auto"/>
              </w:rPr>
              <w:t>5,448,922</w:t>
            </w:r>
          </w:p>
        </w:tc>
        <w:tc>
          <w:tcPr>
            <w:tcW w:w="106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(744,577)</w:t>
            </w:r>
          </w:p>
        </w:tc>
        <w:tc>
          <w:tcPr>
            <w:tcW w:w="1080" w:type="dxa"/>
            <w:vAlign w:val="bottom"/>
            <w:tcBorders>
              <w:bottom w:val="single" w:sz="8" w:color="001544"/>
            </w:tcBorders>
            <w:shd w:val="clear" w:color="auto" w:fill="DBDFEA"/>
          </w:tcPr>
          <w:p>
            <w:pPr>
              <w:ind w:left="78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001544"/>
            </w:tcBorders>
            <w:shd w:val="clear" w:color="auto" w:fill="DBDFEA"/>
          </w:tcPr>
          <w:p>
            <w:pPr>
              <w:jc w:val="right"/>
              <w:ind w:right="65"/>
              <w:spacing w:after="0"/>
              <w:rPr>
                <w:sz w:val="20"/>
                <w:szCs w:val="20"/>
                <w:color w:val="auto"/>
              </w:rPr>
            </w:pPr>
            <w:r>
              <w:rPr>
                <w:rFonts w:ascii="Arial" w:cs="Arial" w:eastAsia="Arial" w:hAnsi="Arial"/>
                <w:sz w:val="15"/>
                <w:szCs w:val="15"/>
                <w:color w:val="auto"/>
              </w:rPr>
              <w:t>2,496,808</w:t>
            </w: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21,542,342</w:t>
            </w:r>
          </w:p>
        </w:tc>
      </w:tr>
    </w:tbl>
    <w:p>
      <w:pPr>
        <w:spacing w:after="0" w:line="63" w:lineRule="exact"/>
        <w:rPr>
          <w:sz w:val="20"/>
          <w:szCs w:val="20"/>
          <w:color w:val="auto"/>
        </w:rPr>
      </w:pPr>
    </w:p>
    <w:p>
      <w:pPr>
        <w:ind w:left="300" w:right="20" w:hanging="293"/>
        <w:spacing w:after="0" w:line="250" w:lineRule="auto"/>
        <w:tabs>
          <w:tab w:leader="none" w:pos="30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The dollar amounts reported in column (d) represent the average of the amounts reported for the Company’s NEOs as a group excluding the PEO (the “Non-PEO NEOs”) in the “Total” column of the Summary Compensation Table in each applicable year. The names of each of the Non-PEO NEOs included for purposes of calculating the average amounts in each applicable year are as follows: (i) for 2024, Benjamin J. Jenkins, Thomas Mayrhofer, Geoffrey Goldschein, Liam Stewart and Jacky Wu; (ii) for 2023, Benjamin J. Jenkins, Jacky Wu, Geoffrey Goldschein, Liam Stewart and Ronald M. Sanders; (iii) for 2022, Benjamin J. Jenkins, Jacky Wu, Ronald M. Sanders and Liam Stewart; (iv) for 2021, Jacky Wu, Ronald M. Sanders, Sonia Kim and Thomas J. Barrack, Jr.; and (v) for 2020, Jacky Wu, Ronald M. Sanders, Neale W. Redington, Mark M. Hedstrom, Darren J. Tangen and Kevin P. Traenkle.</w:t>
      </w:r>
    </w:p>
    <w:p>
      <w:pPr>
        <w:spacing w:after="0" w:line="36" w:lineRule="exact"/>
        <w:rPr>
          <w:rFonts w:ascii="Arial" w:cs="Arial" w:eastAsia="Arial" w:hAnsi="Arial"/>
          <w:sz w:val="15"/>
          <w:szCs w:val="15"/>
          <w:color w:val="auto"/>
        </w:rPr>
      </w:pPr>
    </w:p>
    <w:p>
      <w:pPr>
        <w:ind w:left="300" w:right="40" w:hanging="293"/>
        <w:spacing w:after="0" w:line="253" w:lineRule="auto"/>
        <w:tabs>
          <w:tab w:leader="none" w:pos="30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The dollar amounts reported in column (e) represent the average amount of “compensation actually paid” to the Non-PEO NEOs, as computed in accordance with Item 402(v) of Regulation S-K. The dollar amounts do not reflect the actual average amount of compensation earned by or paid to the Non-PEO NEOs during the applicable year. In accordance with the requirements of Item 402(v) of Regulation S-K, the following adjustments were made to average total compensation for the Non-PEO NEOs for each year to determine the compensation actually paid, using the same methodology described above in Note 2:</w:t>
      </w:r>
    </w:p>
    <w:p>
      <w:pPr>
        <w:spacing w:after="0" w:line="184" w:lineRule="exact"/>
        <w:rPr>
          <w:sz w:val="20"/>
          <w:szCs w:val="20"/>
          <w:color w:val="auto"/>
        </w:rPr>
      </w:pPr>
    </w:p>
    <w:tbl>
      <w:tblPr>
        <w:tblLayout w:type="fixed"/>
        <w:tblInd w:w="320" w:type="dxa"/>
        <w:tblCellMar>
          <w:top w:w="0" w:type="dxa"/>
          <w:left w:w="0" w:type="dxa"/>
          <w:bottom w:w="0" w:type="dxa"/>
          <w:right w:w="0" w:type="dxa"/>
        </w:tblCellMar>
      </w:tblPr>
      <w:tr>
        <w:trPr>
          <w:trHeight w:val="176"/>
        </w:trPr>
        <w:tc>
          <w:tcPr>
            <w:tcW w:w="3500" w:type="dxa"/>
            <w:vAlign w:val="bottom"/>
          </w:tcPr>
          <w:p>
            <w:pPr>
              <w:spacing w:after="0"/>
              <w:rPr>
                <w:sz w:val="15"/>
                <w:szCs w:val="15"/>
                <w:color w:val="auto"/>
              </w:rPr>
            </w:pPr>
          </w:p>
        </w:tc>
        <w:tc>
          <w:tcPr>
            <w:tcW w:w="1400" w:type="dxa"/>
            <w:vAlign w:val="bottom"/>
          </w:tcPr>
          <w:p>
            <w:pPr>
              <w:jc w:val="center"/>
              <w:ind w:left="145"/>
              <w:spacing w:after="0"/>
              <w:rPr>
                <w:sz w:val="20"/>
                <w:szCs w:val="20"/>
                <w:color w:val="auto"/>
              </w:rPr>
            </w:pPr>
            <w:r>
              <w:rPr>
                <w:rFonts w:ascii="Arial" w:cs="Arial" w:eastAsia="Arial" w:hAnsi="Arial"/>
                <w:sz w:val="15"/>
                <w:szCs w:val="15"/>
                <w:b w:val="1"/>
                <w:bCs w:val="1"/>
                <w:color w:val="001544"/>
                <w:w w:val="97"/>
              </w:rPr>
              <w:t>Average</w:t>
            </w: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3500" w:type="dxa"/>
            <w:vAlign w:val="bottom"/>
          </w:tcPr>
          <w:p>
            <w:pPr>
              <w:spacing w:after="0"/>
              <w:rPr>
                <w:sz w:val="15"/>
                <w:szCs w:val="15"/>
                <w:color w:val="auto"/>
              </w:rPr>
            </w:pPr>
          </w:p>
        </w:tc>
        <w:tc>
          <w:tcPr>
            <w:tcW w:w="1400" w:type="dxa"/>
            <w:vAlign w:val="bottom"/>
          </w:tcPr>
          <w:p>
            <w:pPr>
              <w:jc w:val="center"/>
              <w:ind w:left="145"/>
              <w:spacing w:after="0"/>
              <w:rPr>
                <w:sz w:val="20"/>
                <w:szCs w:val="20"/>
                <w:color w:val="auto"/>
              </w:rPr>
            </w:pPr>
            <w:r>
              <w:rPr>
                <w:rFonts w:ascii="Arial" w:cs="Arial" w:eastAsia="Arial" w:hAnsi="Arial"/>
                <w:sz w:val="15"/>
                <w:szCs w:val="15"/>
                <w:b w:val="1"/>
                <w:bCs w:val="1"/>
                <w:color w:val="001544"/>
              </w:rPr>
              <w:t>Reported</w:t>
            </w: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001544"/>
              </w:rPr>
              <w:t>Average</w:t>
            </w:r>
          </w:p>
        </w:tc>
      </w:tr>
      <w:tr>
        <w:trPr>
          <w:trHeight w:val="176"/>
        </w:trPr>
        <w:tc>
          <w:tcPr>
            <w:tcW w:w="3500" w:type="dxa"/>
            <w:vAlign w:val="bottom"/>
          </w:tcPr>
          <w:p>
            <w:pPr>
              <w:spacing w:after="0"/>
              <w:rPr>
                <w:sz w:val="15"/>
                <w:szCs w:val="15"/>
                <w:color w:val="auto"/>
              </w:rPr>
            </w:pPr>
          </w:p>
        </w:tc>
        <w:tc>
          <w:tcPr>
            <w:tcW w:w="1400" w:type="dxa"/>
            <w:vAlign w:val="bottom"/>
          </w:tcPr>
          <w:p>
            <w:pPr>
              <w:jc w:val="center"/>
              <w:ind w:left="145"/>
              <w:spacing w:after="0"/>
              <w:rPr>
                <w:sz w:val="20"/>
                <w:szCs w:val="20"/>
                <w:color w:val="auto"/>
              </w:rPr>
            </w:pPr>
            <w:r>
              <w:rPr>
                <w:rFonts w:ascii="Arial" w:cs="Arial" w:eastAsia="Arial" w:hAnsi="Arial"/>
                <w:sz w:val="15"/>
                <w:szCs w:val="15"/>
                <w:b w:val="1"/>
                <w:bCs w:val="1"/>
                <w:color w:val="001544"/>
              </w:rPr>
              <w:t>Summary</w:t>
            </w:r>
          </w:p>
        </w:tc>
        <w:tc>
          <w:tcPr>
            <w:tcW w:w="1440" w:type="dxa"/>
            <w:vAlign w:val="bottom"/>
          </w:tcPr>
          <w:p>
            <w:pPr>
              <w:jc w:val="center"/>
              <w:ind w:left="5"/>
              <w:spacing w:after="0"/>
              <w:rPr>
                <w:sz w:val="20"/>
                <w:szCs w:val="20"/>
                <w:color w:val="auto"/>
              </w:rPr>
            </w:pPr>
            <w:r>
              <w:rPr>
                <w:rFonts w:ascii="Arial" w:cs="Arial" w:eastAsia="Arial" w:hAnsi="Arial"/>
                <w:sz w:val="15"/>
                <w:szCs w:val="15"/>
                <w:b w:val="1"/>
                <w:bCs w:val="1"/>
                <w:color w:val="001544"/>
              </w:rPr>
              <w:t>Average</w:t>
            </w:r>
          </w:p>
        </w:tc>
        <w:tc>
          <w:tcPr>
            <w:tcW w:w="13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001544"/>
                <w:w w:val="99"/>
              </w:rPr>
              <w:t>Compensation</w:t>
            </w:r>
          </w:p>
        </w:tc>
      </w:tr>
      <w:tr>
        <w:trPr>
          <w:trHeight w:val="176"/>
        </w:trPr>
        <w:tc>
          <w:tcPr>
            <w:tcW w:w="3500" w:type="dxa"/>
            <w:vAlign w:val="bottom"/>
          </w:tcPr>
          <w:p>
            <w:pPr>
              <w:spacing w:after="0"/>
              <w:rPr>
                <w:sz w:val="15"/>
                <w:szCs w:val="15"/>
                <w:color w:val="auto"/>
              </w:rPr>
            </w:pPr>
          </w:p>
        </w:tc>
        <w:tc>
          <w:tcPr>
            <w:tcW w:w="1400" w:type="dxa"/>
            <w:vAlign w:val="bottom"/>
          </w:tcPr>
          <w:p>
            <w:pPr>
              <w:jc w:val="center"/>
              <w:ind w:left="145"/>
              <w:spacing w:after="0"/>
              <w:rPr>
                <w:sz w:val="20"/>
                <w:szCs w:val="20"/>
                <w:color w:val="auto"/>
              </w:rPr>
            </w:pPr>
            <w:r>
              <w:rPr>
                <w:rFonts w:ascii="Arial" w:cs="Arial" w:eastAsia="Arial" w:hAnsi="Arial"/>
                <w:sz w:val="15"/>
                <w:szCs w:val="15"/>
                <w:b w:val="1"/>
                <w:bCs w:val="1"/>
                <w:color w:val="001544"/>
              </w:rPr>
              <w:t>Compensation</w:t>
            </w:r>
          </w:p>
        </w:tc>
        <w:tc>
          <w:tcPr>
            <w:tcW w:w="1440" w:type="dxa"/>
            <w:vAlign w:val="bottom"/>
          </w:tcPr>
          <w:p>
            <w:pPr>
              <w:jc w:val="center"/>
              <w:spacing w:after="0"/>
              <w:rPr>
                <w:sz w:val="20"/>
                <w:szCs w:val="20"/>
                <w:color w:val="auto"/>
              </w:rPr>
            </w:pPr>
            <w:r>
              <w:rPr>
                <w:rFonts w:ascii="Arial" w:cs="Arial" w:eastAsia="Arial" w:hAnsi="Arial"/>
                <w:sz w:val="15"/>
                <w:szCs w:val="15"/>
                <w:b w:val="1"/>
                <w:bCs w:val="1"/>
                <w:color w:val="001544"/>
              </w:rPr>
              <w:t>Reported</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001544"/>
              </w:rPr>
              <w:t>Average Equity</w:t>
            </w:r>
          </w:p>
        </w:tc>
        <w:tc>
          <w:tcPr>
            <w:tcW w:w="1220" w:type="dxa"/>
            <w:vAlign w:val="bottom"/>
          </w:tcPr>
          <w:p>
            <w:pPr>
              <w:jc w:val="center"/>
              <w:spacing w:after="0"/>
              <w:rPr>
                <w:sz w:val="20"/>
                <w:szCs w:val="20"/>
                <w:color w:val="auto"/>
              </w:rPr>
            </w:pPr>
            <w:r>
              <w:rPr>
                <w:rFonts w:ascii="Arial" w:cs="Arial" w:eastAsia="Arial" w:hAnsi="Arial"/>
                <w:sz w:val="15"/>
                <w:szCs w:val="15"/>
                <w:b w:val="1"/>
                <w:bCs w:val="1"/>
                <w:color w:val="001544"/>
              </w:rPr>
              <w:t>Actually Paid</w:t>
            </w:r>
          </w:p>
        </w:tc>
      </w:tr>
      <w:tr>
        <w:trPr>
          <w:trHeight w:val="164"/>
        </w:trPr>
        <w:tc>
          <w:tcPr>
            <w:tcW w:w="3500" w:type="dxa"/>
            <w:vAlign w:val="bottom"/>
          </w:tcPr>
          <w:p>
            <w:pPr>
              <w:spacing w:after="0"/>
              <w:rPr>
                <w:sz w:val="14"/>
                <w:szCs w:val="14"/>
                <w:color w:val="auto"/>
              </w:rPr>
            </w:pPr>
          </w:p>
        </w:tc>
        <w:tc>
          <w:tcPr>
            <w:tcW w:w="1400" w:type="dxa"/>
            <w:vAlign w:val="bottom"/>
          </w:tcPr>
          <w:p>
            <w:pPr>
              <w:jc w:val="center"/>
              <w:ind w:left="145"/>
              <w:spacing w:after="0" w:line="164" w:lineRule="exact"/>
              <w:rPr>
                <w:sz w:val="20"/>
                <w:szCs w:val="20"/>
                <w:color w:val="auto"/>
              </w:rPr>
            </w:pPr>
            <w:r>
              <w:rPr>
                <w:rFonts w:ascii="Arial" w:cs="Arial" w:eastAsia="Arial" w:hAnsi="Arial"/>
                <w:sz w:val="15"/>
                <w:szCs w:val="15"/>
                <w:b w:val="1"/>
                <w:bCs w:val="1"/>
                <w:color w:val="001544"/>
                <w:w w:val="98"/>
              </w:rPr>
              <w:t>Table Total for</w:t>
            </w:r>
          </w:p>
        </w:tc>
        <w:tc>
          <w:tcPr>
            <w:tcW w:w="1440" w:type="dxa"/>
            <w:vAlign w:val="bottom"/>
          </w:tcPr>
          <w:p>
            <w:pPr>
              <w:jc w:val="center"/>
              <w:ind w:left="5"/>
              <w:spacing w:after="0" w:line="164" w:lineRule="exact"/>
              <w:rPr>
                <w:sz w:val="20"/>
                <w:szCs w:val="20"/>
                <w:color w:val="auto"/>
              </w:rPr>
            </w:pPr>
            <w:r>
              <w:rPr>
                <w:rFonts w:ascii="Arial" w:cs="Arial" w:eastAsia="Arial" w:hAnsi="Arial"/>
                <w:sz w:val="15"/>
                <w:szCs w:val="15"/>
                <w:b w:val="1"/>
                <w:bCs w:val="1"/>
                <w:color w:val="001544"/>
                <w:w w:val="99"/>
              </w:rPr>
              <w:t>Value of Equity</w:t>
            </w:r>
          </w:p>
        </w:tc>
        <w:tc>
          <w:tcPr>
            <w:tcW w:w="1340" w:type="dxa"/>
            <w:vAlign w:val="bottom"/>
          </w:tcPr>
          <w:p>
            <w:pPr>
              <w:jc w:val="center"/>
              <w:spacing w:after="0" w:line="164" w:lineRule="exact"/>
              <w:rPr>
                <w:sz w:val="20"/>
                <w:szCs w:val="20"/>
                <w:color w:val="auto"/>
              </w:rPr>
            </w:pPr>
            <w:r>
              <w:rPr>
                <w:rFonts w:ascii="Arial" w:cs="Arial" w:eastAsia="Arial" w:hAnsi="Arial"/>
                <w:sz w:val="15"/>
                <w:szCs w:val="15"/>
                <w:b w:val="1"/>
                <w:bCs w:val="1"/>
                <w:color w:val="001544"/>
              </w:rPr>
              <w:t>Award</w:t>
            </w:r>
          </w:p>
        </w:tc>
        <w:tc>
          <w:tcPr>
            <w:tcW w:w="1220" w:type="dxa"/>
            <w:vAlign w:val="bottom"/>
          </w:tcPr>
          <w:p>
            <w:pPr>
              <w:jc w:val="center"/>
              <w:spacing w:after="0" w:line="164" w:lineRule="exact"/>
              <w:rPr>
                <w:sz w:val="20"/>
                <w:szCs w:val="20"/>
                <w:color w:val="auto"/>
              </w:rPr>
            </w:pPr>
            <w:r>
              <w:rPr>
                <w:rFonts w:ascii="Arial" w:cs="Arial" w:eastAsia="Arial" w:hAnsi="Arial"/>
                <w:sz w:val="15"/>
                <w:szCs w:val="15"/>
                <w:b w:val="1"/>
                <w:bCs w:val="1"/>
                <w:color w:val="001544"/>
                <w:w w:val="99"/>
              </w:rPr>
              <w:t>to Non-PEO</w:t>
            </w:r>
          </w:p>
        </w:tc>
      </w:tr>
      <w:tr>
        <w:trPr>
          <w:trHeight w:val="188"/>
        </w:trPr>
        <w:tc>
          <w:tcPr>
            <w:tcW w:w="3500" w:type="dxa"/>
            <w:vAlign w:val="bottom"/>
          </w:tcPr>
          <w:p>
            <w:pPr>
              <w:spacing w:after="0"/>
              <w:rPr>
                <w:sz w:val="16"/>
                <w:szCs w:val="16"/>
                <w:color w:val="auto"/>
              </w:rPr>
            </w:pPr>
          </w:p>
        </w:tc>
        <w:tc>
          <w:tcPr>
            <w:tcW w:w="1400" w:type="dxa"/>
            <w:vAlign w:val="bottom"/>
          </w:tcPr>
          <w:p>
            <w:pPr>
              <w:jc w:val="center"/>
              <w:ind w:left="145"/>
              <w:spacing w:after="0"/>
              <w:rPr>
                <w:sz w:val="20"/>
                <w:szCs w:val="20"/>
                <w:color w:val="auto"/>
              </w:rPr>
            </w:pPr>
            <w:r>
              <w:rPr>
                <w:rFonts w:ascii="Arial" w:cs="Arial" w:eastAsia="Arial" w:hAnsi="Arial"/>
                <w:sz w:val="15"/>
                <w:szCs w:val="15"/>
                <w:b w:val="1"/>
                <w:bCs w:val="1"/>
                <w:color w:val="001544"/>
                <w:w w:val="99"/>
              </w:rPr>
              <w:t>Non-PEO NEOs</w:t>
            </w:r>
          </w:p>
        </w:tc>
        <w:tc>
          <w:tcPr>
            <w:tcW w:w="1440" w:type="dxa"/>
            <w:vAlign w:val="bottom"/>
          </w:tcPr>
          <w:p>
            <w:pPr>
              <w:jc w:val="center"/>
              <w:spacing w:after="0"/>
              <w:rPr>
                <w:sz w:val="20"/>
                <w:szCs w:val="20"/>
                <w:color w:val="auto"/>
              </w:rPr>
            </w:pPr>
            <w:r>
              <w:rPr>
                <w:rFonts w:ascii="Arial" w:cs="Arial" w:eastAsia="Arial" w:hAnsi="Arial"/>
                <w:sz w:val="15"/>
                <w:szCs w:val="15"/>
                <w:b w:val="1"/>
                <w:bCs w:val="1"/>
                <w:color w:val="001544"/>
                <w:w w:val="99"/>
              </w:rPr>
              <w:t>Awards</w:t>
            </w:r>
          </w:p>
        </w:tc>
        <w:tc>
          <w:tcPr>
            <w:tcW w:w="1340" w:type="dxa"/>
            <w:vAlign w:val="bottom"/>
          </w:tcPr>
          <w:p>
            <w:pPr>
              <w:jc w:val="center"/>
              <w:spacing w:after="0" w:line="188" w:lineRule="exact"/>
              <w:rPr>
                <w:sz w:val="20"/>
                <w:szCs w:val="20"/>
                <w:color w:val="auto"/>
              </w:rPr>
            </w:pPr>
            <w:r>
              <w:rPr>
                <w:rFonts w:ascii="Arial" w:cs="Arial" w:eastAsia="Arial" w:hAnsi="Arial"/>
                <w:sz w:val="14"/>
                <w:szCs w:val="14"/>
                <w:b w:val="1"/>
                <w:bCs w:val="1"/>
                <w:color w:val="001544"/>
              </w:rPr>
              <w:t>Adjustments</w:t>
            </w:r>
            <w:r>
              <w:rPr>
                <w:rFonts w:ascii="Arial" w:cs="Arial" w:eastAsia="Arial" w:hAnsi="Arial"/>
                <w:sz w:val="21"/>
                <w:szCs w:val="21"/>
                <w:b w:val="1"/>
                <w:bCs w:val="1"/>
                <w:color w:val="001544"/>
                <w:vertAlign w:val="superscript"/>
              </w:rPr>
              <w:t>(a)</w:t>
            </w:r>
          </w:p>
        </w:tc>
        <w:tc>
          <w:tcPr>
            <w:tcW w:w="1220" w:type="dxa"/>
            <w:vAlign w:val="bottom"/>
          </w:tcPr>
          <w:p>
            <w:pPr>
              <w:jc w:val="center"/>
              <w:spacing w:after="0"/>
              <w:rPr>
                <w:sz w:val="20"/>
                <w:szCs w:val="20"/>
                <w:color w:val="auto"/>
              </w:rPr>
            </w:pPr>
            <w:r>
              <w:rPr>
                <w:rFonts w:ascii="Arial" w:cs="Arial" w:eastAsia="Arial" w:hAnsi="Arial"/>
                <w:sz w:val="15"/>
                <w:szCs w:val="15"/>
                <w:b w:val="1"/>
                <w:bCs w:val="1"/>
                <w:color w:val="001544"/>
                <w:w w:val="97"/>
              </w:rPr>
              <w:t>NEOs</w:t>
            </w:r>
          </w:p>
        </w:tc>
      </w:tr>
      <w:tr>
        <w:trPr>
          <w:trHeight w:val="206"/>
        </w:trPr>
        <w:tc>
          <w:tcPr>
            <w:tcW w:w="3500" w:type="dxa"/>
            <w:vAlign w:val="bottom"/>
          </w:tcPr>
          <w:p>
            <w:pPr>
              <w:ind w:left="80"/>
              <w:spacing w:after="0"/>
              <w:rPr>
                <w:sz w:val="20"/>
                <w:szCs w:val="20"/>
                <w:color w:val="auto"/>
              </w:rPr>
            </w:pPr>
            <w:r>
              <w:rPr>
                <w:rFonts w:ascii="Arial" w:cs="Arial" w:eastAsia="Arial" w:hAnsi="Arial"/>
                <w:sz w:val="15"/>
                <w:szCs w:val="15"/>
                <w:b w:val="1"/>
                <w:bCs w:val="1"/>
                <w:color w:val="001544"/>
              </w:rPr>
              <w:t>Year</w:t>
            </w:r>
          </w:p>
        </w:tc>
        <w:tc>
          <w:tcPr>
            <w:tcW w:w="1400" w:type="dxa"/>
            <w:vAlign w:val="bottom"/>
          </w:tcPr>
          <w:p>
            <w:pPr>
              <w:jc w:val="center"/>
              <w:ind w:left="145"/>
              <w:spacing w:after="0"/>
              <w:rPr>
                <w:sz w:val="20"/>
                <w:szCs w:val="20"/>
                <w:color w:val="auto"/>
              </w:rPr>
            </w:pPr>
            <w:r>
              <w:rPr>
                <w:rFonts w:ascii="Arial" w:cs="Arial" w:eastAsia="Arial" w:hAnsi="Arial"/>
                <w:sz w:val="15"/>
                <w:szCs w:val="15"/>
                <w:b w:val="1"/>
                <w:bCs w:val="1"/>
                <w:color w:val="001544"/>
                <w:w w:val="97"/>
              </w:rPr>
              <w:t>($)</w:t>
            </w:r>
          </w:p>
        </w:tc>
        <w:tc>
          <w:tcPr>
            <w:tcW w:w="1440" w:type="dxa"/>
            <w:vAlign w:val="bottom"/>
          </w:tcPr>
          <w:p>
            <w:pPr>
              <w:jc w:val="center"/>
              <w:spacing w:after="0"/>
              <w:rPr>
                <w:sz w:val="20"/>
                <w:szCs w:val="20"/>
                <w:color w:val="auto"/>
              </w:rPr>
            </w:pPr>
            <w:r>
              <w:rPr>
                <w:rFonts w:ascii="Arial" w:cs="Arial" w:eastAsia="Arial" w:hAnsi="Arial"/>
                <w:sz w:val="15"/>
                <w:szCs w:val="15"/>
                <w:b w:val="1"/>
                <w:bCs w:val="1"/>
                <w:color w:val="001544"/>
                <w:w w:val="97"/>
              </w:rPr>
              <w:t>($)</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001544"/>
                <w:w w:val="97"/>
              </w:rPr>
              <w:t>($)</w:t>
            </w:r>
          </w:p>
        </w:tc>
        <w:tc>
          <w:tcPr>
            <w:tcW w:w="1220" w:type="dxa"/>
            <w:vAlign w:val="bottom"/>
          </w:tcPr>
          <w:p>
            <w:pPr>
              <w:jc w:val="center"/>
              <w:spacing w:after="0"/>
              <w:rPr>
                <w:sz w:val="20"/>
                <w:szCs w:val="20"/>
                <w:color w:val="auto"/>
              </w:rPr>
            </w:pPr>
            <w:r>
              <w:rPr>
                <w:rFonts w:ascii="Arial" w:cs="Arial" w:eastAsia="Arial" w:hAnsi="Arial"/>
                <w:sz w:val="15"/>
                <w:szCs w:val="15"/>
                <w:b w:val="1"/>
                <w:bCs w:val="1"/>
                <w:color w:val="001544"/>
              </w:rPr>
              <w:t>($)</w:t>
            </w:r>
          </w:p>
        </w:tc>
      </w:tr>
      <w:tr>
        <w:trPr>
          <w:trHeight w:val="32"/>
        </w:trPr>
        <w:tc>
          <w:tcPr>
            <w:tcW w:w="3500" w:type="dxa"/>
            <w:vAlign w:val="bottom"/>
            <w:tcBorders>
              <w:bottom w:val="single" w:sz="8" w:color="001544"/>
            </w:tcBorders>
          </w:tcPr>
          <w:p>
            <w:pPr>
              <w:spacing w:after="0"/>
              <w:rPr>
                <w:sz w:val="2"/>
                <w:szCs w:val="2"/>
                <w:color w:val="auto"/>
              </w:rPr>
            </w:pPr>
          </w:p>
        </w:tc>
        <w:tc>
          <w:tcPr>
            <w:tcW w:w="1400" w:type="dxa"/>
            <w:vAlign w:val="bottom"/>
            <w:tcBorders>
              <w:bottom w:val="single" w:sz="8" w:color="001544"/>
            </w:tcBorders>
          </w:tcPr>
          <w:p>
            <w:pPr>
              <w:spacing w:after="0"/>
              <w:rPr>
                <w:sz w:val="2"/>
                <w:szCs w:val="2"/>
                <w:color w:val="auto"/>
              </w:rPr>
            </w:pPr>
          </w:p>
        </w:tc>
        <w:tc>
          <w:tcPr>
            <w:tcW w:w="1440" w:type="dxa"/>
            <w:vAlign w:val="bottom"/>
            <w:tcBorders>
              <w:bottom w:val="single" w:sz="8" w:color="001544"/>
            </w:tcBorders>
          </w:tcPr>
          <w:p>
            <w:pPr>
              <w:spacing w:after="0"/>
              <w:rPr>
                <w:sz w:val="2"/>
                <w:szCs w:val="2"/>
                <w:color w:val="auto"/>
              </w:rPr>
            </w:pPr>
          </w:p>
        </w:tc>
        <w:tc>
          <w:tcPr>
            <w:tcW w:w="1340" w:type="dxa"/>
            <w:vAlign w:val="bottom"/>
            <w:tcBorders>
              <w:bottom w:val="single" w:sz="8" w:color="001544"/>
            </w:tcBorders>
          </w:tcPr>
          <w:p>
            <w:pPr>
              <w:spacing w:after="0"/>
              <w:rPr>
                <w:sz w:val="2"/>
                <w:szCs w:val="2"/>
                <w:color w:val="auto"/>
              </w:rPr>
            </w:pPr>
          </w:p>
        </w:tc>
        <w:tc>
          <w:tcPr>
            <w:tcW w:w="1220" w:type="dxa"/>
            <w:vAlign w:val="bottom"/>
            <w:tcBorders>
              <w:bottom w:val="single" w:sz="8" w:color="001544"/>
            </w:tcBorders>
          </w:tcPr>
          <w:p>
            <w:pPr>
              <w:spacing w:after="0"/>
              <w:rPr>
                <w:sz w:val="2"/>
                <w:szCs w:val="2"/>
                <w:color w:val="auto"/>
              </w:rPr>
            </w:pPr>
          </w:p>
        </w:tc>
      </w:tr>
      <w:tr>
        <w:trPr>
          <w:trHeight w:val="211"/>
        </w:trPr>
        <w:tc>
          <w:tcPr>
            <w:tcW w:w="350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2024</w:t>
            </w:r>
          </w:p>
        </w:tc>
        <w:tc>
          <w:tcPr>
            <w:tcW w:w="14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3,431,210</w:t>
            </w:r>
          </w:p>
        </w:tc>
        <w:tc>
          <w:tcPr>
            <w:tcW w:w="144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(1,645,691)</w:t>
            </w:r>
          </w:p>
        </w:tc>
        <w:tc>
          <w:tcPr>
            <w:tcW w:w="134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(374,024)</w:t>
            </w: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1,411,495</w:t>
            </w:r>
          </w:p>
        </w:tc>
      </w:tr>
      <w:tr>
        <w:trPr>
          <w:trHeight w:val="219"/>
        </w:trPr>
        <w:tc>
          <w:tcPr>
            <w:tcW w:w="350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2023</w:t>
            </w:r>
          </w:p>
        </w:tc>
        <w:tc>
          <w:tcPr>
            <w:tcW w:w="14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4,175,207</w:t>
            </w:r>
          </w:p>
        </w:tc>
        <w:tc>
          <w:tcPr>
            <w:tcW w:w="144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(1,642,472)</w:t>
            </w:r>
          </w:p>
        </w:tc>
        <w:tc>
          <w:tcPr>
            <w:tcW w:w="1340" w:type="dxa"/>
            <w:vAlign w:val="bottom"/>
            <w:tcBorders>
              <w:bottom w:val="single" w:sz="8" w:color="001544"/>
            </w:tcBorders>
            <w:shd w:val="clear" w:color="auto" w:fill="DBDFEA"/>
          </w:tcPr>
          <w:p>
            <w:pPr>
              <w:jc w:val="right"/>
              <w:ind w:right="85"/>
              <w:spacing w:after="0"/>
              <w:rPr>
                <w:sz w:val="20"/>
                <w:szCs w:val="20"/>
                <w:color w:val="auto"/>
              </w:rPr>
            </w:pPr>
            <w:r>
              <w:rPr>
                <w:rFonts w:ascii="Arial" w:cs="Arial" w:eastAsia="Arial" w:hAnsi="Arial"/>
                <w:sz w:val="15"/>
                <w:szCs w:val="15"/>
                <w:color w:val="auto"/>
              </w:rPr>
              <w:t>2,626,632</w:t>
            </w: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5,159,367</w:t>
            </w:r>
          </w:p>
        </w:tc>
      </w:tr>
      <w:tr>
        <w:trPr>
          <w:trHeight w:val="219"/>
        </w:trPr>
        <w:tc>
          <w:tcPr>
            <w:tcW w:w="350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2022</w:t>
            </w:r>
          </w:p>
        </w:tc>
        <w:tc>
          <w:tcPr>
            <w:tcW w:w="14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7,646,528</w:t>
            </w:r>
          </w:p>
        </w:tc>
        <w:tc>
          <w:tcPr>
            <w:tcW w:w="144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(1,212,185)</w:t>
            </w:r>
          </w:p>
        </w:tc>
        <w:tc>
          <w:tcPr>
            <w:tcW w:w="134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(2,531,754)</w:t>
            </w: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3,902,589</w:t>
            </w:r>
          </w:p>
        </w:tc>
      </w:tr>
      <w:tr>
        <w:trPr>
          <w:trHeight w:val="219"/>
        </w:trPr>
        <w:tc>
          <w:tcPr>
            <w:tcW w:w="350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2021</w:t>
            </w:r>
          </w:p>
        </w:tc>
        <w:tc>
          <w:tcPr>
            <w:tcW w:w="14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9,614,818</w:t>
            </w:r>
          </w:p>
        </w:tc>
        <w:tc>
          <w:tcPr>
            <w:tcW w:w="144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(2,623,760)</w:t>
            </w:r>
          </w:p>
        </w:tc>
        <w:tc>
          <w:tcPr>
            <w:tcW w:w="1340" w:type="dxa"/>
            <w:vAlign w:val="bottom"/>
            <w:tcBorders>
              <w:bottom w:val="single" w:sz="8" w:color="001544"/>
            </w:tcBorders>
            <w:shd w:val="clear" w:color="auto" w:fill="DBDFEA"/>
          </w:tcPr>
          <w:p>
            <w:pPr>
              <w:jc w:val="right"/>
              <w:ind w:right="85"/>
              <w:spacing w:after="0"/>
              <w:rPr>
                <w:sz w:val="20"/>
                <w:szCs w:val="20"/>
                <w:color w:val="auto"/>
              </w:rPr>
            </w:pPr>
            <w:r>
              <w:rPr>
                <w:rFonts w:ascii="Arial" w:cs="Arial" w:eastAsia="Arial" w:hAnsi="Arial"/>
                <w:sz w:val="15"/>
                <w:szCs w:val="15"/>
                <w:color w:val="auto"/>
              </w:rPr>
              <w:t>7,995,335</w:t>
            </w: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14,986,393</w:t>
            </w:r>
          </w:p>
        </w:tc>
      </w:tr>
      <w:tr>
        <w:trPr>
          <w:trHeight w:val="219"/>
        </w:trPr>
        <w:tc>
          <w:tcPr>
            <w:tcW w:w="350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2020</w:t>
            </w:r>
          </w:p>
        </w:tc>
        <w:tc>
          <w:tcPr>
            <w:tcW w:w="14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4,573,017</w:t>
            </w:r>
          </w:p>
        </w:tc>
        <w:tc>
          <w:tcPr>
            <w:tcW w:w="144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(722,530)</w:t>
            </w:r>
          </w:p>
        </w:tc>
        <w:tc>
          <w:tcPr>
            <w:tcW w:w="1340" w:type="dxa"/>
            <w:vAlign w:val="bottom"/>
            <w:tcBorders>
              <w:bottom w:val="single" w:sz="8" w:color="001544"/>
            </w:tcBorders>
            <w:shd w:val="clear" w:color="auto" w:fill="DBDFEA"/>
          </w:tcPr>
          <w:p>
            <w:pPr>
              <w:jc w:val="right"/>
              <w:ind w:right="85"/>
              <w:spacing w:after="0"/>
              <w:rPr>
                <w:sz w:val="20"/>
                <w:szCs w:val="20"/>
                <w:color w:val="auto"/>
              </w:rPr>
            </w:pPr>
            <w:r>
              <w:rPr>
                <w:rFonts w:ascii="Arial" w:cs="Arial" w:eastAsia="Arial" w:hAnsi="Arial"/>
                <w:sz w:val="15"/>
                <w:szCs w:val="15"/>
                <w:color w:val="auto"/>
              </w:rPr>
              <w:t>2,194,719</w:t>
            </w: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6,045,206</w:t>
            </w:r>
          </w:p>
        </w:tc>
      </w:tr>
    </w:tbl>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60"/>
          </w:cols>
          <w:pgMar w:left="1200" w:top="487" w:right="12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5800"/>
        <w:spacing w:after="0"/>
        <w:rPr>
          <w:sz w:val="20"/>
          <w:szCs w:val="20"/>
          <w:color w:val="auto"/>
        </w:rPr>
      </w:pPr>
      <w:r>
        <w:rPr>
          <w:rFonts w:ascii="Arial" w:cs="Arial" w:eastAsia="Arial" w:hAnsi="Arial"/>
          <w:sz w:val="16"/>
          <w:szCs w:val="16"/>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60090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  The amounts deducted or added in calculating the total average equity award adjustments are as follows:</w:t>
      </w:r>
    </w:p>
    <w:p>
      <w:pPr>
        <w:spacing w:after="0" w:line="217" w:lineRule="exact"/>
        <w:rPr>
          <w:sz w:val="20"/>
          <w:szCs w:val="20"/>
          <w:color w:val="auto"/>
        </w:rPr>
      </w:pPr>
    </w:p>
    <w:tbl>
      <w:tblPr>
        <w:tblLayout w:type="fixed"/>
        <w:tblInd w:w="620" w:type="dxa"/>
        <w:tblCellMar>
          <w:top w:w="0" w:type="dxa"/>
          <w:left w:w="0" w:type="dxa"/>
          <w:bottom w:w="0" w:type="dxa"/>
          <w:right w:w="0" w:type="dxa"/>
        </w:tblCellMar>
      </w:tblPr>
      <w:tr>
        <w:trPr>
          <w:trHeight w:val="176"/>
        </w:trPr>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w w:val="98"/>
              </w:rPr>
              <w:t>Average Fair</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w w:val="97"/>
              </w:rPr>
              <w:t>Value at the</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1544"/>
                <w:w w:val="98"/>
              </w:rPr>
              <w:t>Average Value</w:t>
            </w:r>
          </w:p>
        </w:tc>
        <w:tc>
          <w:tcPr>
            <w:tcW w:w="10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b w:val="1"/>
                <w:bCs w:val="1"/>
                <w:color w:val="001544"/>
                <w:w w:val="97"/>
              </w:rPr>
              <w:t>Year over Year</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rPr>
              <w:t>End of the</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1544"/>
                <w:w w:val="99"/>
              </w:rPr>
              <w:t>of Dividends</w:t>
            </w:r>
          </w:p>
        </w:tc>
        <w:tc>
          <w:tcPr>
            <w:tcW w:w="10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w w:val="97"/>
              </w:rPr>
              <w:t>Average</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001544"/>
                <w:w w:val="97"/>
              </w:rPr>
              <w:t>Average</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w w:val="96"/>
              </w:rPr>
              <w:t>Prior</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1544"/>
                <w:w w:val="98"/>
              </w:rPr>
              <w:t>or other</w:t>
            </w:r>
          </w:p>
        </w:tc>
        <w:tc>
          <w:tcPr>
            <w:tcW w:w="10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w w:val="99"/>
              </w:rPr>
              <w:t>Year over</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w w:val="94"/>
              </w:rPr>
              <w:t>Fair</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001544"/>
              </w:rPr>
              <w:t>Change in</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w w:val="98"/>
              </w:rPr>
              <w:t>Year of</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1544"/>
                <w:w w:val="99"/>
              </w:rPr>
              <w:t>Earnings</w:t>
            </w:r>
          </w:p>
        </w:tc>
        <w:tc>
          <w:tcPr>
            <w:tcW w:w="10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w w:val="97"/>
              </w:rPr>
              <w:t>Year Average</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w w:val="98"/>
              </w:rPr>
              <w:t>Value as of</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001544"/>
                <w:w w:val="97"/>
              </w:rPr>
              <w:t>Fair Value</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rPr>
              <w:t>Equity</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1544"/>
                <w:w w:val="99"/>
              </w:rPr>
              <w:t>Paid on</w:t>
            </w:r>
          </w:p>
        </w:tc>
        <w:tc>
          <w:tcPr>
            <w:tcW w:w="10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rPr>
              <w:t>Change in</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w w:val="99"/>
              </w:rPr>
              <w:t>Vesting Date</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001544"/>
              </w:rPr>
              <w:t>of Equity</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rPr>
              <w:t>Awards that</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1544"/>
                <w:w w:val="99"/>
              </w:rPr>
              <w:t>Stock not</w:t>
            </w:r>
          </w:p>
        </w:tc>
        <w:tc>
          <w:tcPr>
            <w:tcW w:w="10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900" w:type="dxa"/>
            <w:vAlign w:val="bottom"/>
          </w:tcPr>
          <w:p>
            <w:pPr>
              <w:jc w:val="center"/>
              <w:ind w:left="5"/>
              <w:spacing w:after="0"/>
              <w:rPr>
                <w:sz w:val="20"/>
                <w:szCs w:val="20"/>
                <w:color w:val="auto"/>
              </w:rPr>
            </w:pPr>
            <w:r>
              <w:rPr>
                <w:rFonts w:ascii="Arial" w:cs="Arial" w:eastAsia="Arial" w:hAnsi="Arial"/>
                <w:sz w:val="15"/>
                <w:szCs w:val="15"/>
                <w:b w:val="1"/>
                <w:bCs w:val="1"/>
                <w:color w:val="001544"/>
                <w:w w:val="97"/>
              </w:rPr>
              <w:t>Average</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w w:val="99"/>
              </w:rPr>
              <w:t>Fair Value of</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rPr>
              <w:t>of Equity</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001544"/>
                <w:w w:val="99"/>
              </w:rPr>
              <w:t>Awards</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w w:val="96"/>
              </w:rPr>
              <w:t>Failed</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1544"/>
                <w:w w:val="99"/>
              </w:rPr>
              <w:t>Otherwise</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001544"/>
              </w:rPr>
              <w:t>Total</w:t>
            </w:r>
          </w:p>
        </w:tc>
      </w:tr>
      <w:tr>
        <w:trPr>
          <w:trHeight w:val="176"/>
        </w:trPr>
        <w:tc>
          <w:tcPr>
            <w:tcW w:w="840" w:type="dxa"/>
            <w:vAlign w:val="bottom"/>
          </w:tcPr>
          <w:p>
            <w:pPr>
              <w:spacing w:after="0"/>
              <w:rPr>
                <w:sz w:val="15"/>
                <w:szCs w:val="15"/>
                <w:color w:val="auto"/>
              </w:rPr>
            </w:pPr>
          </w:p>
        </w:tc>
        <w:tc>
          <w:tcPr>
            <w:tcW w:w="900" w:type="dxa"/>
            <w:vAlign w:val="bottom"/>
          </w:tcPr>
          <w:p>
            <w:pPr>
              <w:jc w:val="center"/>
              <w:ind w:left="25"/>
              <w:spacing w:after="0"/>
              <w:rPr>
                <w:sz w:val="20"/>
                <w:szCs w:val="20"/>
                <w:color w:val="auto"/>
              </w:rPr>
            </w:pPr>
            <w:r>
              <w:rPr>
                <w:rFonts w:ascii="Arial" w:cs="Arial" w:eastAsia="Arial" w:hAnsi="Arial"/>
                <w:sz w:val="15"/>
                <w:szCs w:val="15"/>
                <w:b w:val="1"/>
                <w:bCs w:val="1"/>
                <w:color w:val="001544"/>
                <w:w w:val="98"/>
              </w:rPr>
              <w:t>Year End</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w w:val="99"/>
              </w:rPr>
              <w:t>Outstanding</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w w:val="99"/>
              </w:rPr>
              <w:t>Awards</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001544"/>
              </w:rPr>
              <w:t>Granted</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rPr>
              <w:t>to Meet</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1544"/>
                <w:w w:val="98"/>
              </w:rPr>
              <w:t>Reflected in</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001544"/>
              </w:rPr>
              <w:t>Average</w:t>
            </w:r>
          </w:p>
        </w:tc>
      </w:tr>
      <w:tr>
        <w:trPr>
          <w:trHeight w:val="176"/>
        </w:trPr>
        <w:tc>
          <w:tcPr>
            <w:tcW w:w="840" w:type="dxa"/>
            <w:vAlign w:val="bottom"/>
          </w:tcPr>
          <w:p>
            <w:pPr>
              <w:spacing w:after="0"/>
              <w:rPr>
                <w:sz w:val="15"/>
                <w:szCs w:val="15"/>
                <w:color w:val="auto"/>
              </w:rPr>
            </w:pPr>
          </w:p>
        </w:tc>
        <w:tc>
          <w:tcPr>
            <w:tcW w:w="900" w:type="dxa"/>
            <w:vAlign w:val="bottom"/>
          </w:tcPr>
          <w:p>
            <w:pPr>
              <w:jc w:val="center"/>
              <w:ind w:left="25"/>
              <w:spacing w:after="0"/>
              <w:rPr>
                <w:sz w:val="20"/>
                <w:szCs w:val="20"/>
                <w:color w:val="auto"/>
              </w:rPr>
            </w:pPr>
            <w:r>
              <w:rPr>
                <w:rFonts w:ascii="Arial" w:cs="Arial" w:eastAsia="Arial" w:hAnsi="Arial"/>
                <w:sz w:val="15"/>
                <w:szCs w:val="15"/>
                <w:b w:val="1"/>
                <w:bCs w:val="1"/>
                <w:color w:val="001544"/>
              </w:rPr>
              <w:t>Fair Value</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w w:val="99"/>
              </w:rPr>
              <w:t>and Unvested</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rPr>
              <w:t>Granted</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001544"/>
              </w:rPr>
              <w:t>in Prior Years</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w w:val="99"/>
              </w:rPr>
              <w:t>Vesting</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1544"/>
                <w:w w:val="98"/>
              </w:rPr>
              <w:t>Fair Value or</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001544"/>
              </w:rPr>
              <w:t>Equity</w:t>
            </w:r>
          </w:p>
        </w:tc>
      </w:tr>
      <w:tr>
        <w:trPr>
          <w:trHeight w:val="176"/>
        </w:trPr>
        <w:tc>
          <w:tcPr>
            <w:tcW w:w="840" w:type="dxa"/>
            <w:vAlign w:val="bottom"/>
          </w:tcPr>
          <w:p>
            <w:pPr>
              <w:spacing w:after="0"/>
              <w:rPr>
                <w:sz w:val="15"/>
                <w:szCs w:val="15"/>
                <w:color w:val="auto"/>
              </w:rPr>
            </w:pPr>
          </w:p>
        </w:tc>
        <w:tc>
          <w:tcPr>
            <w:tcW w:w="900" w:type="dxa"/>
            <w:vAlign w:val="bottom"/>
          </w:tcPr>
          <w:p>
            <w:pPr>
              <w:jc w:val="center"/>
              <w:ind w:left="25"/>
              <w:spacing w:after="0"/>
              <w:rPr>
                <w:sz w:val="20"/>
                <w:szCs w:val="20"/>
                <w:color w:val="auto"/>
              </w:rPr>
            </w:pPr>
            <w:r>
              <w:rPr>
                <w:rFonts w:ascii="Arial" w:cs="Arial" w:eastAsia="Arial" w:hAnsi="Arial"/>
                <w:sz w:val="15"/>
                <w:szCs w:val="15"/>
                <w:b w:val="1"/>
                <w:bCs w:val="1"/>
                <w:color w:val="001544"/>
                <w:w w:val="99"/>
              </w:rPr>
              <w:t>of Equity</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rPr>
              <w:t>Equity</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w w:val="97"/>
              </w:rPr>
              <w:t>and Vested</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001544"/>
              </w:rPr>
              <w:t>that Vested</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w w:val="99"/>
              </w:rPr>
              <w:t>Conditions</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1544"/>
              </w:rPr>
              <w:t>Total</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001544"/>
              </w:rPr>
              <w:t>Award</w:t>
            </w:r>
          </w:p>
        </w:tc>
      </w:tr>
      <w:tr>
        <w:trPr>
          <w:trHeight w:val="176"/>
        </w:trPr>
        <w:tc>
          <w:tcPr>
            <w:tcW w:w="840" w:type="dxa"/>
            <w:vAlign w:val="bottom"/>
          </w:tcPr>
          <w:p>
            <w:pPr>
              <w:spacing w:after="0"/>
              <w:rPr>
                <w:sz w:val="15"/>
                <w:szCs w:val="15"/>
                <w:color w:val="auto"/>
              </w:rPr>
            </w:pPr>
          </w:p>
        </w:tc>
        <w:tc>
          <w:tcPr>
            <w:tcW w:w="900" w:type="dxa"/>
            <w:vAlign w:val="bottom"/>
          </w:tcPr>
          <w:p>
            <w:pPr>
              <w:jc w:val="center"/>
              <w:ind w:left="5"/>
              <w:spacing w:after="0"/>
              <w:rPr>
                <w:sz w:val="20"/>
                <w:szCs w:val="20"/>
                <w:color w:val="auto"/>
              </w:rPr>
            </w:pPr>
            <w:r>
              <w:rPr>
                <w:rFonts w:ascii="Arial" w:cs="Arial" w:eastAsia="Arial" w:hAnsi="Arial"/>
                <w:sz w:val="15"/>
                <w:szCs w:val="15"/>
                <w:b w:val="1"/>
                <w:bCs w:val="1"/>
                <w:color w:val="001544"/>
                <w:w w:val="99"/>
              </w:rPr>
              <w:t>Awards</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w w:val="99"/>
              </w:rPr>
              <w:t>Awards</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w w:val="99"/>
              </w:rPr>
              <w:t>in the Year</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001544"/>
                <w:w w:val="99"/>
              </w:rPr>
              <w:t>in the Year</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w w:val="99"/>
              </w:rPr>
              <w:t>in the Year</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1544"/>
                <w:w w:val="99"/>
              </w:rPr>
              <w:t>Compensation</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001544"/>
              </w:rPr>
              <w:t>Adjustments</w:t>
            </w:r>
          </w:p>
        </w:tc>
      </w:tr>
      <w:tr>
        <w:trPr>
          <w:trHeight w:val="206"/>
        </w:trPr>
        <w:tc>
          <w:tcPr>
            <w:tcW w:w="840" w:type="dxa"/>
            <w:vAlign w:val="bottom"/>
          </w:tcPr>
          <w:p>
            <w:pPr>
              <w:ind w:left="100"/>
              <w:spacing w:after="0"/>
              <w:rPr>
                <w:sz w:val="20"/>
                <w:szCs w:val="20"/>
                <w:color w:val="auto"/>
              </w:rPr>
            </w:pPr>
            <w:r>
              <w:rPr>
                <w:rFonts w:ascii="Arial" w:cs="Arial" w:eastAsia="Arial" w:hAnsi="Arial"/>
                <w:sz w:val="15"/>
                <w:szCs w:val="15"/>
                <w:b w:val="1"/>
                <w:bCs w:val="1"/>
                <w:color w:val="001544"/>
              </w:rPr>
              <w:t>Year</w:t>
            </w:r>
          </w:p>
        </w:tc>
        <w:tc>
          <w:tcPr>
            <w:tcW w:w="900" w:type="dxa"/>
            <w:vAlign w:val="bottom"/>
          </w:tcPr>
          <w:p>
            <w:pPr>
              <w:jc w:val="center"/>
              <w:ind w:left="5"/>
              <w:spacing w:after="0"/>
              <w:rPr>
                <w:sz w:val="20"/>
                <w:szCs w:val="20"/>
                <w:color w:val="auto"/>
              </w:rPr>
            </w:pPr>
            <w:r>
              <w:rPr>
                <w:rFonts w:ascii="Arial" w:cs="Arial" w:eastAsia="Arial" w:hAnsi="Arial"/>
                <w:sz w:val="15"/>
                <w:szCs w:val="15"/>
                <w:b w:val="1"/>
                <w:bCs w:val="1"/>
                <w:color w:val="001544"/>
                <w:w w:val="97"/>
              </w:rPr>
              <w:t>($)</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w w:val="97"/>
              </w:rPr>
              <w:t>($)</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w w:val="97"/>
              </w:rPr>
              <w:t>($)</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001544"/>
                <w:w w:val="97"/>
              </w:rPr>
              <w:t>($)</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1544"/>
                <w:w w:val="97"/>
              </w:rPr>
              <w:t>($)</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1544"/>
                <w:w w:val="97"/>
              </w:rPr>
              <w:t>($)</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001544"/>
                <w:w w:val="97"/>
              </w:rPr>
              <w:t>($)</w:t>
            </w:r>
          </w:p>
        </w:tc>
      </w:tr>
      <w:tr>
        <w:trPr>
          <w:trHeight w:val="32"/>
        </w:trPr>
        <w:tc>
          <w:tcPr>
            <w:tcW w:w="840" w:type="dxa"/>
            <w:vAlign w:val="bottom"/>
            <w:tcBorders>
              <w:bottom w:val="single" w:sz="8" w:color="001544"/>
            </w:tcBorders>
          </w:tcPr>
          <w:p>
            <w:pPr>
              <w:spacing w:after="0"/>
              <w:rPr>
                <w:sz w:val="2"/>
                <w:szCs w:val="2"/>
                <w:color w:val="auto"/>
              </w:rPr>
            </w:pPr>
          </w:p>
        </w:tc>
        <w:tc>
          <w:tcPr>
            <w:tcW w:w="900" w:type="dxa"/>
            <w:vAlign w:val="bottom"/>
            <w:tcBorders>
              <w:bottom w:val="single" w:sz="8" w:color="001544"/>
            </w:tcBorders>
          </w:tcPr>
          <w:p>
            <w:pPr>
              <w:spacing w:after="0"/>
              <w:rPr>
                <w:sz w:val="2"/>
                <w:szCs w:val="2"/>
                <w:color w:val="auto"/>
              </w:rPr>
            </w:pPr>
          </w:p>
        </w:tc>
        <w:tc>
          <w:tcPr>
            <w:tcW w:w="1120" w:type="dxa"/>
            <w:vAlign w:val="bottom"/>
            <w:tcBorders>
              <w:bottom w:val="single" w:sz="8" w:color="001544"/>
            </w:tcBorders>
          </w:tcPr>
          <w:p>
            <w:pPr>
              <w:spacing w:after="0"/>
              <w:rPr>
                <w:sz w:val="2"/>
                <w:szCs w:val="2"/>
                <w:color w:val="auto"/>
              </w:rPr>
            </w:pPr>
          </w:p>
        </w:tc>
        <w:tc>
          <w:tcPr>
            <w:tcW w:w="1020" w:type="dxa"/>
            <w:vAlign w:val="bottom"/>
            <w:tcBorders>
              <w:bottom w:val="single" w:sz="8" w:color="001544"/>
            </w:tcBorders>
          </w:tcPr>
          <w:p>
            <w:pPr>
              <w:spacing w:after="0"/>
              <w:rPr>
                <w:sz w:val="2"/>
                <w:szCs w:val="2"/>
                <w:color w:val="auto"/>
              </w:rPr>
            </w:pPr>
          </w:p>
        </w:tc>
        <w:tc>
          <w:tcPr>
            <w:tcW w:w="1180" w:type="dxa"/>
            <w:vAlign w:val="bottom"/>
            <w:tcBorders>
              <w:bottom w:val="single" w:sz="8" w:color="001544"/>
            </w:tcBorders>
          </w:tcPr>
          <w:p>
            <w:pPr>
              <w:spacing w:after="0"/>
              <w:rPr>
                <w:sz w:val="2"/>
                <w:szCs w:val="2"/>
                <w:color w:val="auto"/>
              </w:rPr>
            </w:pPr>
          </w:p>
        </w:tc>
        <w:tc>
          <w:tcPr>
            <w:tcW w:w="1020" w:type="dxa"/>
            <w:vAlign w:val="bottom"/>
            <w:tcBorders>
              <w:bottom w:val="single" w:sz="8" w:color="001544"/>
            </w:tcBorders>
          </w:tcPr>
          <w:p>
            <w:pPr>
              <w:spacing w:after="0"/>
              <w:rPr>
                <w:sz w:val="2"/>
                <w:szCs w:val="2"/>
                <w:color w:val="auto"/>
              </w:rPr>
            </w:pPr>
          </w:p>
        </w:tc>
        <w:tc>
          <w:tcPr>
            <w:tcW w:w="1160" w:type="dxa"/>
            <w:vAlign w:val="bottom"/>
            <w:tcBorders>
              <w:bottom w:val="single" w:sz="8" w:color="001544"/>
            </w:tcBorders>
          </w:tcPr>
          <w:p>
            <w:pPr>
              <w:spacing w:after="0"/>
              <w:rPr>
                <w:sz w:val="2"/>
                <w:szCs w:val="2"/>
                <w:color w:val="auto"/>
              </w:rPr>
            </w:pPr>
          </w:p>
        </w:tc>
        <w:tc>
          <w:tcPr>
            <w:tcW w:w="1000" w:type="dxa"/>
            <w:vAlign w:val="bottom"/>
            <w:tcBorders>
              <w:bottom w:val="single" w:sz="8" w:color="001544"/>
            </w:tcBorders>
          </w:tcPr>
          <w:p>
            <w:pPr>
              <w:spacing w:after="0"/>
              <w:rPr>
                <w:sz w:val="2"/>
                <w:szCs w:val="2"/>
                <w:color w:val="auto"/>
              </w:rPr>
            </w:pPr>
          </w:p>
        </w:tc>
      </w:tr>
      <w:tr>
        <w:trPr>
          <w:trHeight w:val="211"/>
        </w:trPr>
        <w:tc>
          <w:tcPr>
            <w:tcW w:w="8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2024</w:t>
            </w:r>
          </w:p>
        </w:tc>
        <w:tc>
          <w:tcPr>
            <w:tcW w:w="9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733,699</w:t>
            </w:r>
          </w:p>
        </w:tc>
        <w:tc>
          <w:tcPr>
            <w:tcW w:w="11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(1,108,815)</w:t>
            </w:r>
          </w:p>
        </w:tc>
        <w:tc>
          <w:tcPr>
            <w:tcW w:w="102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(2,549)</w:t>
            </w:r>
          </w:p>
        </w:tc>
        <w:tc>
          <w:tcPr>
            <w:tcW w:w="1020" w:type="dxa"/>
            <w:vAlign w:val="bottom"/>
            <w:tcBorders>
              <w:bottom w:val="single" w:sz="8" w:color="001544"/>
            </w:tcBorders>
            <w:shd w:val="clear" w:color="auto" w:fill="DBDFEA"/>
          </w:tcPr>
          <w:p>
            <w:pPr>
              <w:ind w:left="78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01544"/>
            </w:tcBorders>
            <w:shd w:val="clear" w:color="auto" w:fill="DBDFEA"/>
          </w:tcPr>
          <w:p>
            <w:pPr>
              <w:jc w:val="right"/>
              <w:ind w:right="5"/>
              <w:spacing w:after="0"/>
              <w:rPr>
                <w:sz w:val="20"/>
                <w:szCs w:val="20"/>
                <w:color w:val="auto"/>
              </w:rPr>
            </w:pPr>
            <w:r>
              <w:rPr>
                <w:rFonts w:ascii="Arial" w:cs="Arial" w:eastAsia="Arial" w:hAnsi="Arial"/>
                <w:sz w:val="15"/>
                <w:szCs w:val="15"/>
                <w:color w:val="auto"/>
              </w:rPr>
              <w:t>3,641</w:t>
            </w:r>
          </w:p>
        </w:tc>
        <w:tc>
          <w:tcPr>
            <w:tcW w:w="10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(374,024)</w:t>
            </w:r>
          </w:p>
        </w:tc>
      </w:tr>
      <w:tr>
        <w:trPr>
          <w:trHeight w:val="219"/>
        </w:trPr>
        <w:tc>
          <w:tcPr>
            <w:tcW w:w="8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2023</w:t>
            </w:r>
          </w:p>
        </w:tc>
        <w:tc>
          <w:tcPr>
            <w:tcW w:w="9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2,088,030</w:t>
            </w:r>
          </w:p>
        </w:tc>
        <w:tc>
          <w:tcPr>
            <w:tcW w:w="112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158,457</w:t>
            </w:r>
          </w:p>
        </w:tc>
        <w:tc>
          <w:tcPr>
            <w:tcW w:w="102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271,671</w:t>
            </w:r>
          </w:p>
        </w:tc>
        <w:tc>
          <w:tcPr>
            <w:tcW w:w="118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105,220</w:t>
            </w:r>
          </w:p>
        </w:tc>
        <w:tc>
          <w:tcPr>
            <w:tcW w:w="1020" w:type="dxa"/>
            <w:vAlign w:val="bottom"/>
            <w:tcBorders>
              <w:bottom w:val="single" w:sz="8" w:color="001544"/>
            </w:tcBorders>
            <w:shd w:val="clear" w:color="auto" w:fill="DBDFEA"/>
          </w:tcPr>
          <w:p>
            <w:pPr>
              <w:ind w:left="78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01544"/>
            </w:tcBorders>
            <w:shd w:val="clear" w:color="auto" w:fill="DBDFEA"/>
          </w:tcPr>
          <w:p>
            <w:pPr>
              <w:jc w:val="right"/>
              <w:ind w:right="5"/>
              <w:spacing w:after="0"/>
              <w:rPr>
                <w:sz w:val="20"/>
                <w:szCs w:val="20"/>
                <w:color w:val="auto"/>
              </w:rPr>
            </w:pPr>
            <w:r>
              <w:rPr>
                <w:rFonts w:ascii="Arial" w:cs="Arial" w:eastAsia="Arial" w:hAnsi="Arial"/>
                <w:sz w:val="15"/>
                <w:szCs w:val="15"/>
                <w:color w:val="auto"/>
              </w:rPr>
              <w:t>3,253</w:t>
            </w:r>
          </w:p>
        </w:tc>
        <w:tc>
          <w:tcPr>
            <w:tcW w:w="10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2,626,632</w:t>
            </w:r>
          </w:p>
        </w:tc>
      </w:tr>
      <w:tr>
        <w:trPr>
          <w:trHeight w:val="219"/>
        </w:trPr>
        <w:tc>
          <w:tcPr>
            <w:tcW w:w="8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2022</w:t>
            </w:r>
          </w:p>
        </w:tc>
        <w:tc>
          <w:tcPr>
            <w:tcW w:w="9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338,993</w:t>
            </w:r>
          </w:p>
        </w:tc>
        <w:tc>
          <w:tcPr>
            <w:tcW w:w="11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(2,375,753)</w:t>
            </w:r>
          </w:p>
        </w:tc>
        <w:tc>
          <w:tcPr>
            <w:tcW w:w="102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(495,810)</w:t>
            </w:r>
          </w:p>
        </w:tc>
        <w:tc>
          <w:tcPr>
            <w:tcW w:w="1020" w:type="dxa"/>
            <w:vAlign w:val="bottom"/>
            <w:tcBorders>
              <w:bottom w:val="single" w:sz="8" w:color="001544"/>
            </w:tcBorders>
            <w:shd w:val="clear" w:color="auto" w:fill="DBDFEA"/>
          </w:tcPr>
          <w:p>
            <w:pPr>
              <w:ind w:left="78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01544"/>
            </w:tcBorders>
            <w:shd w:val="clear" w:color="auto" w:fill="DBDFEA"/>
          </w:tcPr>
          <w:p>
            <w:pPr>
              <w:jc w:val="right"/>
              <w:ind w:right="5"/>
              <w:spacing w:after="0"/>
              <w:rPr>
                <w:sz w:val="20"/>
                <w:szCs w:val="20"/>
                <w:color w:val="auto"/>
              </w:rPr>
            </w:pPr>
            <w:r>
              <w:rPr>
                <w:rFonts w:ascii="Arial" w:cs="Arial" w:eastAsia="Arial" w:hAnsi="Arial"/>
                <w:sz w:val="15"/>
                <w:szCs w:val="15"/>
                <w:color w:val="auto"/>
              </w:rPr>
              <w:t>816</w:t>
            </w:r>
          </w:p>
        </w:tc>
        <w:tc>
          <w:tcPr>
            <w:tcW w:w="10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(2,531,754)</w:t>
            </w:r>
          </w:p>
        </w:tc>
      </w:tr>
      <w:tr>
        <w:trPr>
          <w:trHeight w:val="219"/>
        </w:trPr>
        <w:tc>
          <w:tcPr>
            <w:tcW w:w="8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2021</w:t>
            </w:r>
          </w:p>
        </w:tc>
        <w:tc>
          <w:tcPr>
            <w:tcW w:w="9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2,296,938</w:t>
            </w:r>
          </w:p>
        </w:tc>
        <w:tc>
          <w:tcPr>
            <w:tcW w:w="112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3,969,682</w:t>
            </w:r>
          </w:p>
        </w:tc>
        <w:tc>
          <w:tcPr>
            <w:tcW w:w="102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602,441</w:t>
            </w:r>
          </w:p>
        </w:tc>
        <w:tc>
          <w:tcPr>
            <w:tcW w:w="118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1,126,274</w:t>
            </w:r>
          </w:p>
        </w:tc>
        <w:tc>
          <w:tcPr>
            <w:tcW w:w="1020" w:type="dxa"/>
            <w:vAlign w:val="bottom"/>
            <w:tcBorders>
              <w:bottom w:val="single" w:sz="8" w:color="001544"/>
            </w:tcBorders>
            <w:shd w:val="clear" w:color="auto" w:fill="DBDFEA"/>
          </w:tcPr>
          <w:p>
            <w:pPr>
              <w:ind w:left="78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01544"/>
            </w:tcBorders>
            <w:shd w:val="clear" w:color="auto" w:fill="DBDFEA"/>
          </w:tcPr>
          <w:p>
            <w:pPr>
              <w:jc w:val="right"/>
              <w:ind w:right="5"/>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7,995,335</w:t>
            </w:r>
          </w:p>
        </w:tc>
      </w:tr>
      <w:tr>
        <w:trPr>
          <w:trHeight w:val="219"/>
        </w:trPr>
        <w:tc>
          <w:tcPr>
            <w:tcW w:w="8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2020</w:t>
            </w:r>
          </w:p>
        </w:tc>
        <w:tc>
          <w:tcPr>
            <w:tcW w:w="9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2,110,144</w:t>
            </w:r>
          </w:p>
        </w:tc>
        <w:tc>
          <w:tcPr>
            <w:tcW w:w="112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89,316</w:t>
            </w:r>
          </w:p>
        </w:tc>
        <w:tc>
          <w:tcPr>
            <w:tcW w:w="1020" w:type="dxa"/>
            <w:vAlign w:val="bottom"/>
            <w:tcBorders>
              <w:bottom w:val="single" w:sz="8" w:color="001544"/>
            </w:tcBorders>
            <w:shd w:val="clear" w:color="auto" w:fill="DBDFEA"/>
          </w:tcPr>
          <w:p>
            <w:pPr>
              <w:jc w:val="right"/>
              <w:ind w:right="25"/>
              <w:spacing w:after="0"/>
              <w:rPr>
                <w:sz w:val="20"/>
                <w:szCs w:val="20"/>
                <w:color w:val="auto"/>
              </w:rPr>
            </w:pPr>
            <w:r>
              <w:rPr>
                <w:rFonts w:ascii="Arial" w:cs="Arial" w:eastAsia="Arial" w:hAnsi="Arial"/>
                <w:sz w:val="15"/>
                <w:szCs w:val="15"/>
                <w:color w:val="auto"/>
              </w:rPr>
              <w:t>352,189</w:t>
            </w:r>
          </w:p>
        </w:tc>
        <w:tc>
          <w:tcPr>
            <w:tcW w:w="11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(404,145)</w:t>
            </w:r>
          </w:p>
        </w:tc>
        <w:tc>
          <w:tcPr>
            <w:tcW w:w="1020" w:type="dxa"/>
            <w:vAlign w:val="bottom"/>
            <w:tcBorders>
              <w:bottom w:val="single" w:sz="8" w:color="001544"/>
            </w:tcBorders>
            <w:shd w:val="clear" w:color="auto" w:fill="DBDFEA"/>
          </w:tcPr>
          <w:p>
            <w:pPr>
              <w:ind w:left="78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01544"/>
            </w:tcBorders>
            <w:shd w:val="clear" w:color="auto" w:fill="DBDFEA"/>
          </w:tcPr>
          <w:p>
            <w:pPr>
              <w:jc w:val="right"/>
              <w:ind w:right="5"/>
              <w:spacing w:after="0"/>
              <w:rPr>
                <w:sz w:val="20"/>
                <w:szCs w:val="20"/>
                <w:color w:val="auto"/>
              </w:rPr>
            </w:pPr>
            <w:r>
              <w:rPr>
                <w:rFonts w:ascii="Arial" w:cs="Arial" w:eastAsia="Arial" w:hAnsi="Arial"/>
                <w:sz w:val="15"/>
                <w:szCs w:val="15"/>
                <w:color w:val="auto"/>
              </w:rPr>
              <w:t>47,215</w:t>
            </w:r>
          </w:p>
        </w:tc>
        <w:tc>
          <w:tcPr>
            <w:tcW w:w="10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2,194,719</w:t>
            </w:r>
          </w:p>
        </w:tc>
      </w:tr>
    </w:tbl>
    <w:p>
      <w:pPr>
        <w:spacing w:after="0" w:line="63" w:lineRule="exact"/>
        <w:rPr>
          <w:sz w:val="20"/>
          <w:szCs w:val="20"/>
          <w:color w:val="auto"/>
        </w:rPr>
      </w:pPr>
    </w:p>
    <w:p>
      <w:pPr>
        <w:ind w:left="300" w:right="60" w:hanging="293"/>
        <w:spacing w:after="0" w:line="262" w:lineRule="auto"/>
        <w:tabs>
          <w:tab w:leader="none" w:pos="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Cumulative TSR is calculated by dividing the sum of the cumulative amount of dividends for the applicable fiscal year, assuming dividend reinvestment, and the difference between the Company’s share price at the end and the beginning of such fiscal year by the Company’s share price at the beginning of such fiscal year.</w:t>
      </w:r>
    </w:p>
    <w:p>
      <w:pPr>
        <w:spacing w:after="0" w:line="25" w:lineRule="exact"/>
        <w:rPr>
          <w:rFonts w:ascii="Arial" w:cs="Arial" w:eastAsia="Arial" w:hAnsi="Arial"/>
          <w:sz w:val="15"/>
          <w:szCs w:val="15"/>
          <w:color w:val="auto"/>
        </w:rPr>
      </w:pPr>
    </w:p>
    <w:p>
      <w:pPr>
        <w:ind w:left="300" w:right="140" w:hanging="293"/>
        <w:spacing w:after="0" w:line="280" w:lineRule="auto"/>
        <w:tabs>
          <w:tab w:leader="none" w:pos="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Represents the Dow Jones U.S. Asset Managers Index peer group TSR, weighted according to the respective companies’ stock market capitalization at the beginning of each period for which a return is indicated.</w:t>
      </w:r>
    </w:p>
    <w:p>
      <w:pPr>
        <w:spacing w:after="0" w:line="24" w:lineRule="exact"/>
        <w:rPr>
          <w:rFonts w:ascii="Arial" w:cs="Arial" w:eastAsia="Arial" w:hAnsi="Arial"/>
          <w:sz w:val="15"/>
          <w:szCs w:val="15"/>
          <w:color w:val="auto"/>
        </w:rPr>
      </w:pPr>
    </w:p>
    <w:p>
      <w:pPr>
        <w:ind w:left="300" w:right="640" w:hanging="293"/>
        <w:spacing w:after="0" w:line="280" w:lineRule="auto"/>
        <w:tabs>
          <w:tab w:leader="none" w:pos="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dollar amounts reported represent the amount of net income reflected in the Company’s audited financial statements for the applicable year.</w:t>
      </w:r>
    </w:p>
    <w:p>
      <w:pPr>
        <w:spacing w:after="0" w:line="12" w:lineRule="exact"/>
        <w:rPr>
          <w:rFonts w:ascii="Arial" w:cs="Arial" w:eastAsia="Arial" w:hAnsi="Arial"/>
          <w:sz w:val="15"/>
          <w:szCs w:val="15"/>
          <w:color w:val="auto"/>
        </w:rPr>
      </w:pPr>
    </w:p>
    <w:p>
      <w:pPr>
        <w:ind w:left="300" w:right="280" w:hanging="293"/>
        <w:spacing w:after="0" w:line="252" w:lineRule="auto"/>
        <w:tabs>
          <w:tab w:leader="none" w:pos="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FEEUM Capital Raise is defined as the gross increase in FEEUM resulting from capital commitments closed during the applicable fiscal year. While the Company uses numerous financial and non-financial performance measures for the purpose of evaluating performance for the Company’s compensation programs, the Company has determined that FEEUM Capital Raise is the financial performance measure that, in the Company’s assessment, represents the most important performance measure (that is not otherwise required to be disclosed in the table) used by the company to link compensation actually paid to the company’s NEOs, for the most recently completed fiscal year, to company performance.</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Financial Performance Measures</w:t>
      </w:r>
    </w:p>
    <w:p>
      <w:pPr>
        <w:spacing w:after="0" w:line="21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As described in greater detail in “Executive Compensation—Compensation Discussion and Analysis,” the Company’s executive compensation program reflects a variable pay-for-performance philosophy. The metrics that the Company uses for both our long-term and short-term incentive awards are selected based on an objective of incentivizing our NEOs to increase the value of our enterprise for our shareholders. The most important financial performance measures used by the Company to link executive compensation actually paid to the Company’s NEOs, for the most recently completed fiscal year, to the Company’s performance are as follows:</w:t>
      </w:r>
    </w:p>
    <w:p>
      <w:pPr>
        <w:spacing w:after="0" w:line="176" w:lineRule="exact"/>
        <w:rPr>
          <w:sz w:val="20"/>
          <w:szCs w:val="20"/>
          <w:color w:val="auto"/>
        </w:rPr>
      </w:pPr>
    </w:p>
    <w:p>
      <w:pPr>
        <w:ind w:left="300" w:hanging="293"/>
        <w:spacing w:after="0"/>
        <w:tabs>
          <w:tab w:leader="none" w:pos="300" w:val="left"/>
        </w:tabs>
        <w:numPr>
          <w:ilvl w:val="0"/>
          <w:numId w:val="112"/>
        </w:numPr>
        <w:rPr>
          <w:rFonts w:ascii="Times New Roman" w:cs="Times New Roman" w:eastAsia="Times New Roman" w:hAnsi="Times New Roman"/>
          <w:sz w:val="18"/>
          <w:szCs w:val="18"/>
          <w:color w:val="001544"/>
        </w:rPr>
      </w:pPr>
      <w:r>
        <w:rPr>
          <w:rFonts w:ascii="Arial" w:cs="Arial" w:eastAsia="Arial" w:hAnsi="Arial"/>
          <w:sz w:val="18"/>
          <w:szCs w:val="18"/>
          <w:color w:val="auto"/>
        </w:rPr>
        <w:t>FEEUM Capital Raise</w:t>
      </w:r>
    </w:p>
    <w:p>
      <w:pPr>
        <w:spacing w:after="0" w:line="56" w:lineRule="exact"/>
        <w:rPr>
          <w:rFonts w:ascii="Times New Roman" w:cs="Times New Roman" w:eastAsia="Times New Roman" w:hAnsi="Times New Roman"/>
          <w:sz w:val="18"/>
          <w:szCs w:val="18"/>
          <w:color w:val="001544"/>
        </w:rPr>
      </w:pPr>
    </w:p>
    <w:p>
      <w:pPr>
        <w:ind w:left="300" w:hanging="293"/>
        <w:spacing w:after="0"/>
        <w:tabs>
          <w:tab w:leader="none" w:pos="300" w:val="left"/>
        </w:tabs>
        <w:numPr>
          <w:ilvl w:val="0"/>
          <w:numId w:val="112"/>
        </w:numPr>
        <w:rPr>
          <w:rFonts w:ascii="Times New Roman" w:cs="Times New Roman" w:eastAsia="Times New Roman" w:hAnsi="Times New Roman"/>
          <w:sz w:val="18"/>
          <w:szCs w:val="18"/>
          <w:color w:val="001544"/>
        </w:rPr>
      </w:pPr>
      <w:r>
        <w:rPr>
          <w:rFonts w:ascii="Arial" w:cs="Arial" w:eastAsia="Arial" w:hAnsi="Arial"/>
          <w:sz w:val="18"/>
          <w:szCs w:val="18"/>
          <w:color w:val="auto"/>
        </w:rPr>
        <w:t>FRE</w:t>
      </w:r>
    </w:p>
    <w:p>
      <w:pPr>
        <w:spacing w:after="0" w:line="68" w:lineRule="exact"/>
        <w:rPr>
          <w:rFonts w:ascii="Times New Roman" w:cs="Times New Roman" w:eastAsia="Times New Roman" w:hAnsi="Times New Roman"/>
          <w:sz w:val="18"/>
          <w:szCs w:val="18"/>
          <w:color w:val="001544"/>
        </w:rPr>
      </w:pPr>
    </w:p>
    <w:p>
      <w:pPr>
        <w:ind w:left="300" w:hanging="293"/>
        <w:spacing w:after="0"/>
        <w:tabs>
          <w:tab w:leader="none" w:pos="300" w:val="left"/>
        </w:tabs>
        <w:numPr>
          <w:ilvl w:val="0"/>
          <w:numId w:val="112"/>
        </w:numPr>
        <w:rPr>
          <w:rFonts w:ascii="Times New Roman" w:cs="Times New Roman" w:eastAsia="Times New Roman" w:hAnsi="Times New Roman"/>
          <w:sz w:val="18"/>
          <w:szCs w:val="18"/>
          <w:color w:val="001544"/>
        </w:rPr>
      </w:pPr>
      <w:r>
        <w:rPr>
          <w:rFonts w:ascii="Arial" w:cs="Arial" w:eastAsia="Arial" w:hAnsi="Arial"/>
          <w:sz w:val="18"/>
          <w:szCs w:val="18"/>
          <w:color w:val="auto"/>
        </w:rPr>
        <w:t>DE</w:t>
      </w:r>
    </w:p>
    <w:p>
      <w:pPr>
        <w:spacing w:after="0" w:line="56" w:lineRule="exact"/>
        <w:rPr>
          <w:rFonts w:ascii="Times New Roman" w:cs="Times New Roman" w:eastAsia="Times New Roman" w:hAnsi="Times New Roman"/>
          <w:sz w:val="18"/>
          <w:szCs w:val="18"/>
          <w:color w:val="001544"/>
        </w:rPr>
      </w:pPr>
    </w:p>
    <w:p>
      <w:pPr>
        <w:ind w:left="300" w:hanging="293"/>
        <w:spacing w:after="0"/>
        <w:tabs>
          <w:tab w:leader="none" w:pos="300" w:val="left"/>
        </w:tabs>
        <w:numPr>
          <w:ilvl w:val="0"/>
          <w:numId w:val="112"/>
        </w:numPr>
        <w:rPr>
          <w:rFonts w:ascii="Times New Roman" w:cs="Times New Roman" w:eastAsia="Times New Roman" w:hAnsi="Times New Roman"/>
          <w:sz w:val="18"/>
          <w:szCs w:val="18"/>
          <w:color w:val="001544"/>
        </w:rPr>
      </w:pPr>
      <w:r>
        <w:rPr>
          <w:rFonts w:ascii="Arial" w:cs="Arial" w:eastAsia="Arial" w:hAnsi="Arial"/>
          <w:sz w:val="18"/>
          <w:szCs w:val="18"/>
          <w:color w:val="auto"/>
        </w:rPr>
        <w:t>Relative TSR (the Company’s TSR as compared to a peer group established by the Compensation Committee)</w:t>
      </w:r>
    </w:p>
    <w:p>
      <w:pPr>
        <w:spacing w:after="0" w:line="200" w:lineRule="exact"/>
        <w:rPr>
          <w:sz w:val="20"/>
          <w:szCs w:val="20"/>
          <w:color w:val="auto"/>
        </w:rPr>
      </w:pPr>
    </w:p>
    <w:p>
      <w:pPr>
        <w:spacing w:after="0" w:line="39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Analysis of the Information Presented in the Pay versus Performance Table</w:t>
      </w:r>
    </w:p>
    <w:p>
      <w:pPr>
        <w:spacing w:after="0" w:line="21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described in more detail in the section “Executive Compensation—Compensation Discussion and Analysis,” the Company’s executive compensation program reflects a variable pay-for-performance philosophy. While the Company utilizes several performance measures to align executive compensation with Company performance, all of those Company measures are not presented in the Pay versus Performance table. Moreover, the Company generally seeks to incentivize long-term performance, and therefore does not specifically align the Company’s performance measures with compensation that is actually paid (as computed in accordance with Item 402(v) of Regulation S-K) for a particular year. In accordance with Item 402(v) of Regulation S-K, the Company is providing the following descriptions of the relationships between information presented in the Pay versus Performance table.</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001544"/>
        </w:rPr>
        <w:t>Compensation Actually Paid and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141605</wp:posOffset>
            </wp:positionV>
            <wp:extent cx="4843780" cy="26333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843780" cy="263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60 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60"/>
          </w:cols>
          <w:pgMar w:left="1200" w:top="487" w:right="12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001544"/>
        </w:rPr>
        <w:t>Compensation Actually Paid and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141605</wp:posOffset>
            </wp:positionV>
            <wp:extent cx="4779645" cy="26333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779645" cy="263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001544"/>
        </w:rPr>
        <w:t>Compensation Actually Paid and FEEUM Capital Raise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141605</wp:posOffset>
            </wp:positionV>
            <wp:extent cx="4779645" cy="27133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779645" cy="2713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001544"/>
        </w:rPr>
        <w:t>Cumulative TSR of the Company and Cumulative TSR of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141605</wp:posOffset>
            </wp:positionV>
            <wp:extent cx="4827905" cy="24180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827905"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259"/>
          </w:cols>
          <w:pgMar w:left="1200" w:top="487" w:right="1440"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40"/>
          <w:szCs w:val="40"/>
          <w:color w:val="auto"/>
        </w:rPr>
        <w:t>SECURITY OWNERSHIP OF</w:t>
      </w:r>
    </w:p>
    <w:p>
      <w:pPr>
        <w:spacing w:after="0" w:line="50" w:lineRule="exact"/>
        <w:rPr>
          <w:sz w:val="20"/>
          <w:szCs w:val="20"/>
          <w:color w:val="auto"/>
        </w:rPr>
      </w:pPr>
    </w:p>
    <w:p>
      <w:pPr>
        <w:ind w:right="1380"/>
        <w:spacing w:after="0" w:line="272" w:lineRule="auto"/>
        <w:rPr>
          <w:sz w:val="20"/>
          <w:szCs w:val="20"/>
          <w:color w:val="auto"/>
        </w:rPr>
      </w:pPr>
      <w:r>
        <w:rPr>
          <w:rFonts w:ascii="Arial" w:cs="Arial" w:eastAsia="Arial" w:hAnsi="Arial"/>
          <w:sz w:val="45"/>
          <w:szCs w:val="45"/>
          <w:b w:val="1"/>
          <w:bCs w:val="1"/>
          <w:color w:val="auto"/>
        </w:rPr>
        <w:t>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113665</wp:posOffset>
            </wp:positionV>
            <wp:extent cx="478790" cy="641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78790" cy="6413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right="1640"/>
        <w:spacing w:after="0" w:line="255" w:lineRule="auto"/>
        <w:rPr>
          <w:sz w:val="20"/>
          <w:szCs w:val="20"/>
          <w:color w:val="auto"/>
        </w:rPr>
      </w:pPr>
      <w:r>
        <w:rPr>
          <w:rFonts w:ascii="Arial" w:cs="Arial" w:eastAsia="Arial" w:hAnsi="Arial"/>
          <w:sz w:val="35"/>
          <w:szCs w:val="35"/>
          <w:color w:val="001544"/>
        </w:rPr>
        <w:t>Ownership of Equity Securities of the Company by Directors and Executive Officers</w:t>
      </w:r>
    </w:p>
    <w:p>
      <w:pPr>
        <w:spacing w:after="0" w:line="11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table sets forth, as of April 8, 2025, the total number and the percentage of shares of our common stock beneficially owned by:</w:t>
      </w:r>
    </w:p>
    <w:p>
      <w:pPr>
        <w:spacing w:after="0" w:line="153" w:lineRule="exact"/>
        <w:rPr>
          <w:sz w:val="20"/>
          <w:szCs w:val="20"/>
          <w:color w:val="auto"/>
        </w:rPr>
      </w:pPr>
    </w:p>
    <w:p>
      <w:pPr>
        <w:ind w:left="300" w:hanging="293"/>
        <w:spacing w:after="0"/>
        <w:tabs>
          <w:tab w:leader="none" w:pos="300" w:val="left"/>
        </w:tabs>
        <w:numPr>
          <w:ilvl w:val="0"/>
          <w:numId w:val="113"/>
        </w:numPr>
        <w:rPr>
          <w:rFonts w:ascii="Times New Roman" w:cs="Times New Roman" w:eastAsia="Times New Roman" w:hAnsi="Times New Roman"/>
          <w:sz w:val="18"/>
          <w:szCs w:val="18"/>
          <w:color w:val="001544"/>
        </w:rPr>
      </w:pPr>
      <w:r>
        <w:rPr>
          <w:rFonts w:ascii="Arial" w:cs="Arial" w:eastAsia="Arial" w:hAnsi="Arial"/>
          <w:sz w:val="18"/>
          <w:szCs w:val="18"/>
          <w:color w:val="auto"/>
        </w:rPr>
        <w:t>each of our directors and each nominee for director;</w:t>
      </w:r>
    </w:p>
    <w:p>
      <w:pPr>
        <w:spacing w:after="0" w:line="68" w:lineRule="exact"/>
        <w:rPr>
          <w:rFonts w:ascii="Times New Roman" w:cs="Times New Roman" w:eastAsia="Times New Roman" w:hAnsi="Times New Roman"/>
          <w:sz w:val="18"/>
          <w:szCs w:val="18"/>
          <w:color w:val="001544"/>
        </w:rPr>
      </w:pPr>
    </w:p>
    <w:p>
      <w:pPr>
        <w:ind w:left="300" w:hanging="293"/>
        <w:spacing w:after="0"/>
        <w:tabs>
          <w:tab w:leader="none" w:pos="300" w:val="left"/>
        </w:tabs>
        <w:numPr>
          <w:ilvl w:val="0"/>
          <w:numId w:val="113"/>
        </w:numPr>
        <w:rPr>
          <w:rFonts w:ascii="Times New Roman" w:cs="Times New Roman" w:eastAsia="Times New Roman" w:hAnsi="Times New Roman"/>
          <w:sz w:val="18"/>
          <w:szCs w:val="18"/>
          <w:color w:val="001544"/>
        </w:rPr>
      </w:pPr>
      <w:r>
        <w:rPr>
          <w:rFonts w:ascii="Arial" w:cs="Arial" w:eastAsia="Arial" w:hAnsi="Arial"/>
          <w:sz w:val="18"/>
          <w:szCs w:val="18"/>
          <w:color w:val="auto"/>
        </w:rPr>
        <w:t>each of our named executive officers; and</w:t>
      </w:r>
    </w:p>
    <w:p>
      <w:pPr>
        <w:spacing w:after="0" w:line="56" w:lineRule="exact"/>
        <w:rPr>
          <w:rFonts w:ascii="Times New Roman" w:cs="Times New Roman" w:eastAsia="Times New Roman" w:hAnsi="Times New Roman"/>
          <w:sz w:val="18"/>
          <w:szCs w:val="18"/>
          <w:color w:val="001544"/>
        </w:rPr>
      </w:pPr>
    </w:p>
    <w:p>
      <w:pPr>
        <w:ind w:left="300" w:hanging="293"/>
        <w:spacing w:after="0"/>
        <w:tabs>
          <w:tab w:leader="none" w:pos="300" w:val="left"/>
        </w:tabs>
        <w:numPr>
          <w:ilvl w:val="0"/>
          <w:numId w:val="113"/>
        </w:numPr>
        <w:rPr>
          <w:rFonts w:ascii="Times New Roman" w:cs="Times New Roman" w:eastAsia="Times New Roman" w:hAnsi="Times New Roman"/>
          <w:sz w:val="18"/>
          <w:szCs w:val="18"/>
          <w:color w:val="001544"/>
        </w:rPr>
      </w:pPr>
      <w:r>
        <w:rPr>
          <w:rFonts w:ascii="Arial" w:cs="Arial" w:eastAsia="Arial" w:hAnsi="Arial"/>
          <w:sz w:val="18"/>
          <w:szCs w:val="18"/>
          <w:color w:val="auto"/>
        </w:rPr>
        <w:t>all of our directors and executive officers as a group.</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1544"/>
                <w:w w:val="99"/>
              </w:rPr>
              <w:t>Class A Common</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0"/>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bottom w:val="single" w:sz="8" w:color="001544"/>
            </w:tcBorders>
            <w:gridSpan w:val="2"/>
          </w:tcPr>
          <w:p>
            <w:pPr>
              <w:jc w:val="right"/>
              <w:ind w:right="265"/>
              <w:spacing w:after="0" w:line="201" w:lineRule="exact"/>
              <w:rPr>
                <w:sz w:val="20"/>
                <w:szCs w:val="20"/>
                <w:color w:val="auto"/>
              </w:rPr>
            </w:pPr>
            <w:r>
              <w:rPr>
                <w:rFonts w:ascii="Arial" w:cs="Arial" w:eastAsia="Arial" w:hAnsi="Arial"/>
                <w:sz w:val="15"/>
                <w:szCs w:val="15"/>
                <w:b w:val="1"/>
                <w:bCs w:val="1"/>
                <w:color w:val="001544"/>
              </w:rPr>
              <w:t>Common Share Equivalents</w:t>
            </w:r>
            <w:r>
              <w:rPr>
                <w:rFonts w:ascii="Arial" w:cs="Arial" w:eastAsia="Arial" w:hAnsi="Arial"/>
                <w:sz w:val="22"/>
                <w:szCs w:val="22"/>
                <w:b w:val="1"/>
                <w:bCs w:val="1"/>
                <w:color w:val="001544"/>
                <w:vertAlign w:val="superscript"/>
              </w:rPr>
              <w:t>(2)</w:t>
            </w:r>
          </w:p>
        </w:tc>
        <w:tc>
          <w:tcPr>
            <w:tcW w:w="180" w:type="dxa"/>
            <w:vAlign w:val="bottom"/>
          </w:tcPr>
          <w:p>
            <w:pPr>
              <w:spacing w:after="0"/>
              <w:rPr>
                <w:sz w:val="17"/>
                <w:szCs w:val="17"/>
                <w:color w:val="auto"/>
              </w:rPr>
            </w:pPr>
          </w:p>
        </w:tc>
        <w:tc>
          <w:tcPr>
            <w:tcW w:w="1420" w:type="dxa"/>
            <w:vAlign w:val="bottom"/>
            <w:tcBorders>
              <w:bottom w:val="single" w:sz="8" w:color="001544"/>
            </w:tcBorders>
          </w:tcPr>
          <w:p>
            <w:pPr>
              <w:jc w:val="center"/>
              <w:spacing w:after="0" w:line="201" w:lineRule="exact"/>
              <w:rPr>
                <w:sz w:val="20"/>
                <w:szCs w:val="20"/>
                <w:color w:val="auto"/>
              </w:rPr>
            </w:pPr>
            <w:r>
              <w:rPr>
                <w:rFonts w:ascii="Arial" w:cs="Arial" w:eastAsia="Arial" w:hAnsi="Arial"/>
                <w:sz w:val="15"/>
                <w:szCs w:val="15"/>
                <w:b w:val="1"/>
                <w:bCs w:val="1"/>
                <w:color w:val="001544"/>
                <w:w w:val="91"/>
              </w:rPr>
              <w:t>Stock</w:t>
            </w:r>
            <w:r>
              <w:rPr>
                <w:rFonts w:ascii="Arial" w:cs="Arial" w:eastAsia="Arial" w:hAnsi="Arial"/>
                <w:sz w:val="22"/>
                <w:szCs w:val="22"/>
                <w:b w:val="1"/>
                <w:bCs w:val="1"/>
                <w:color w:val="001544"/>
                <w:w w:val="91"/>
                <w:vertAlign w:val="superscript"/>
              </w:rPr>
              <w:t>(2)</w:t>
            </w:r>
          </w:p>
        </w:tc>
        <w:tc>
          <w:tcPr>
            <w:tcW w:w="180" w:type="dxa"/>
            <w:vAlign w:val="bottom"/>
          </w:tcPr>
          <w:p>
            <w:pPr>
              <w:spacing w:after="0"/>
              <w:rPr>
                <w:sz w:val="17"/>
                <w:szCs w:val="17"/>
                <w:color w:val="auto"/>
              </w:rPr>
            </w:pPr>
          </w:p>
        </w:tc>
        <w:tc>
          <w:tcPr>
            <w:tcW w:w="2660" w:type="dxa"/>
            <w:vAlign w:val="bottom"/>
            <w:tcBorders>
              <w:bottom w:val="single" w:sz="8" w:color="001544"/>
            </w:tcBorders>
            <w:gridSpan w:val="2"/>
          </w:tcPr>
          <w:p>
            <w:pPr>
              <w:ind w:left="480"/>
              <w:spacing w:after="0"/>
              <w:rPr>
                <w:sz w:val="20"/>
                <w:szCs w:val="20"/>
                <w:color w:val="auto"/>
              </w:rPr>
            </w:pPr>
            <w:r>
              <w:rPr>
                <w:rFonts w:ascii="Arial" w:cs="Arial" w:eastAsia="Arial" w:hAnsi="Arial"/>
                <w:sz w:val="15"/>
                <w:szCs w:val="15"/>
                <w:b w:val="1"/>
                <w:bCs w:val="1"/>
                <w:color w:val="001544"/>
              </w:rPr>
              <w:t>Class B Common Stock</w:t>
            </w:r>
          </w:p>
        </w:tc>
      </w:tr>
      <w:tr>
        <w:trPr>
          <w:trHeight w:val="156"/>
        </w:trPr>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5"/>
                <w:szCs w:val="15"/>
                <w:b w:val="1"/>
                <w:bCs w:val="1"/>
                <w:color w:val="001544"/>
                <w:w w:val="99"/>
              </w:rPr>
              <w:t>% of Common</w:t>
            </w: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4"/>
        </w:trPr>
        <w:tc>
          <w:tcPr>
            <w:tcW w:w="2100" w:type="dxa"/>
            <w:vAlign w:val="bottom"/>
          </w:tcPr>
          <w:p>
            <w:pPr>
              <w:ind w:left="100"/>
              <w:spacing w:after="0" w:line="164" w:lineRule="exact"/>
              <w:rPr>
                <w:sz w:val="20"/>
                <w:szCs w:val="20"/>
                <w:color w:val="auto"/>
              </w:rPr>
            </w:pPr>
            <w:r>
              <w:rPr>
                <w:rFonts w:ascii="Arial" w:cs="Arial" w:eastAsia="Arial" w:hAnsi="Arial"/>
                <w:sz w:val="15"/>
                <w:szCs w:val="15"/>
                <w:b w:val="1"/>
                <w:bCs w:val="1"/>
                <w:color w:val="001544"/>
              </w:rPr>
              <w:t>Name and Address of</w:t>
            </w:r>
          </w:p>
        </w:tc>
        <w:tc>
          <w:tcPr>
            <w:tcW w:w="120" w:type="dxa"/>
            <w:vAlign w:val="bottom"/>
          </w:tcPr>
          <w:p>
            <w:pPr>
              <w:spacing w:after="0"/>
              <w:rPr>
                <w:sz w:val="14"/>
                <w:szCs w:val="14"/>
                <w:color w:val="auto"/>
              </w:rPr>
            </w:pPr>
          </w:p>
        </w:tc>
        <w:tc>
          <w:tcPr>
            <w:tcW w:w="1560" w:type="dxa"/>
            <w:vAlign w:val="bottom"/>
          </w:tcPr>
          <w:p>
            <w:pPr>
              <w:jc w:val="right"/>
              <w:ind w:right="65"/>
              <w:spacing w:after="0" w:line="164" w:lineRule="exact"/>
              <w:rPr>
                <w:sz w:val="20"/>
                <w:szCs w:val="20"/>
                <w:color w:val="auto"/>
              </w:rPr>
            </w:pPr>
            <w:r>
              <w:rPr>
                <w:rFonts w:ascii="Arial" w:cs="Arial" w:eastAsia="Arial" w:hAnsi="Arial"/>
                <w:sz w:val="15"/>
                <w:szCs w:val="15"/>
                <w:b w:val="1"/>
                <w:bCs w:val="1"/>
                <w:color w:val="001544"/>
              </w:rPr>
              <w:t>Number of Shares</w:t>
            </w:r>
          </w:p>
        </w:tc>
        <w:tc>
          <w:tcPr>
            <w:tcW w:w="1240" w:type="dxa"/>
            <w:vAlign w:val="bottom"/>
          </w:tcPr>
          <w:p>
            <w:pPr>
              <w:jc w:val="center"/>
              <w:ind w:left="25"/>
              <w:spacing w:after="0" w:line="164" w:lineRule="exact"/>
              <w:rPr>
                <w:sz w:val="20"/>
                <w:szCs w:val="20"/>
                <w:color w:val="auto"/>
              </w:rPr>
            </w:pPr>
            <w:r>
              <w:rPr>
                <w:rFonts w:ascii="Arial" w:cs="Arial" w:eastAsia="Arial" w:hAnsi="Arial"/>
                <w:sz w:val="15"/>
                <w:szCs w:val="15"/>
                <w:b w:val="1"/>
                <w:bCs w:val="1"/>
                <w:color w:val="001544"/>
              </w:rPr>
              <w:t>Share</w:t>
            </w:r>
          </w:p>
        </w:tc>
        <w:tc>
          <w:tcPr>
            <w:tcW w:w="180" w:type="dxa"/>
            <w:vAlign w:val="bottom"/>
          </w:tcPr>
          <w:p>
            <w:pPr>
              <w:spacing w:after="0"/>
              <w:rPr>
                <w:sz w:val="14"/>
                <w:szCs w:val="14"/>
                <w:color w:val="auto"/>
              </w:rPr>
            </w:pPr>
          </w:p>
        </w:tc>
        <w:tc>
          <w:tcPr>
            <w:tcW w:w="1420" w:type="dxa"/>
            <w:vAlign w:val="bottom"/>
          </w:tcPr>
          <w:p>
            <w:pPr>
              <w:jc w:val="center"/>
              <w:spacing w:after="0" w:line="164" w:lineRule="exact"/>
              <w:rPr>
                <w:sz w:val="20"/>
                <w:szCs w:val="20"/>
                <w:color w:val="auto"/>
              </w:rPr>
            </w:pPr>
            <w:r>
              <w:rPr>
                <w:rFonts w:ascii="Arial" w:cs="Arial" w:eastAsia="Arial" w:hAnsi="Arial"/>
                <w:sz w:val="15"/>
                <w:szCs w:val="15"/>
                <w:b w:val="1"/>
                <w:bCs w:val="1"/>
                <w:color w:val="001544"/>
                <w:w w:val="99"/>
              </w:rPr>
              <w:t>% of Class A</w:t>
            </w:r>
          </w:p>
        </w:tc>
        <w:tc>
          <w:tcPr>
            <w:tcW w:w="180" w:type="dxa"/>
            <w:vAlign w:val="bottom"/>
          </w:tcPr>
          <w:p>
            <w:pPr>
              <w:spacing w:after="0"/>
              <w:rPr>
                <w:sz w:val="14"/>
                <w:szCs w:val="14"/>
                <w:color w:val="auto"/>
              </w:rPr>
            </w:pPr>
          </w:p>
        </w:tc>
        <w:tc>
          <w:tcPr>
            <w:tcW w:w="1560" w:type="dxa"/>
            <w:vAlign w:val="bottom"/>
          </w:tcPr>
          <w:p>
            <w:pPr>
              <w:ind w:left="80"/>
              <w:spacing w:after="0" w:line="164" w:lineRule="exact"/>
              <w:rPr>
                <w:sz w:val="20"/>
                <w:szCs w:val="20"/>
                <w:color w:val="auto"/>
              </w:rPr>
            </w:pPr>
            <w:r>
              <w:rPr>
                <w:rFonts w:ascii="Arial" w:cs="Arial" w:eastAsia="Arial" w:hAnsi="Arial"/>
                <w:sz w:val="15"/>
                <w:szCs w:val="15"/>
                <w:b w:val="1"/>
                <w:bCs w:val="1"/>
                <w:color w:val="001544"/>
              </w:rPr>
              <w:t>Number of Shares</w:t>
            </w:r>
          </w:p>
        </w:tc>
        <w:tc>
          <w:tcPr>
            <w:tcW w:w="1100" w:type="dxa"/>
            <w:vAlign w:val="bottom"/>
          </w:tcPr>
          <w:p>
            <w:pPr>
              <w:ind w:left="80"/>
              <w:spacing w:after="0" w:line="164" w:lineRule="exact"/>
              <w:rPr>
                <w:sz w:val="20"/>
                <w:szCs w:val="20"/>
                <w:color w:val="auto"/>
              </w:rPr>
            </w:pPr>
            <w:r>
              <w:rPr>
                <w:rFonts w:ascii="Arial" w:cs="Arial" w:eastAsia="Arial" w:hAnsi="Arial"/>
                <w:sz w:val="15"/>
                <w:szCs w:val="15"/>
                <w:b w:val="1"/>
                <w:bCs w:val="1"/>
                <w:color w:val="001544"/>
              </w:rPr>
              <w:t>% of Class B</w:t>
            </w:r>
          </w:p>
        </w:tc>
      </w:tr>
      <w:tr>
        <w:trPr>
          <w:trHeight w:val="251"/>
        </w:trPr>
        <w:tc>
          <w:tcPr>
            <w:tcW w:w="2100" w:type="dxa"/>
            <w:vAlign w:val="bottom"/>
            <w:tcBorders>
              <w:bottom w:val="single" w:sz="8" w:color="001544"/>
            </w:tcBorders>
          </w:tcPr>
          <w:p>
            <w:pPr>
              <w:ind w:left="100"/>
              <w:spacing w:after="0" w:line="250" w:lineRule="exact"/>
              <w:rPr>
                <w:sz w:val="20"/>
                <w:szCs w:val="20"/>
                <w:color w:val="auto"/>
              </w:rPr>
            </w:pPr>
            <w:r>
              <w:rPr>
                <w:rFonts w:ascii="Arial" w:cs="Arial" w:eastAsia="Arial" w:hAnsi="Arial"/>
                <w:sz w:val="15"/>
                <w:szCs w:val="15"/>
                <w:b w:val="1"/>
                <w:bCs w:val="1"/>
                <w:color w:val="001544"/>
              </w:rPr>
              <w:t>Beneficial Owner</w:t>
            </w:r>
            <w:r>
              <w:rPr>
                <w:rFonts w:ascii="Arial" w:cs="Arial" w:eastAsia="Arial" w:hAnsi="Arial"/>
                <w:sz w:val="22"/>
                <w:szCs w:val="22"/>
                <w:b w:val="1"/>
                <w:bCs w:val="1"/>
                <w:color w:val="001544"/>
                <w:vertAlign w:val="superscript"/>
              </w:rPr>
              <w:t>(1)</w:t>
            </w:r>
          </w:p>
        </w:tc>
        <w:tc>
          <w:tcPr>
            <w:tcW w:w="120" w:type="dxa"/>
            <w:vAlign w:val="bottom"/>
            <w:tcBorders>
              <w:bottom w:val="single" w:sz="8" w:color="001544"/>
            </w:tcBorders>
          </w:tcPr>
          <w:p>
            <w:pPr>
              <w:spacing w:after="0"/>
              <w:rPr>
                <w:sz w:val="21"/>
                <w:szCs w:val="21"/>
                <w:color w:val="auto"/>
              </w:rPr>
            </w:pPr>
          </w:p>
        </w:tc>
        <w:tc>
          <w:tcPr>
            <w:tcW w:w="1560" w:type="dxa"/>
            <w:vAlign w:val="bottom"/>
            <w:tcBorders>
              <w:bottom w:val="single" w:sz="8" w:color="001544"/>
            </w:tcBorders>
          </w:tcPr>
          <w:p>
            <w:pPr>
              <w:jc w:val="right"/>
              <w:ind w:right="5"/>
              <w:spacing w:after="0"/>
              <w:rPr>
                <w:sz w:val="20"/>
                <w:szCs w:val="20"/>
                <w:color w:val="auto"/>
              </w:rPr>
            </w:pPr>
            <w:r>
              <w:rPr>
                <w:rFonts w:ascii="Arial" w:cs="Arial" w:eastAsia="Arial" w:hAnsi="Arial"/>
                <w:sz w:val="15"/>
                <w:szCs w:val="15"/>
                <w:b w:val="1"/>
                <w:bCs w:val="1"/>
                <w:color w:val="001544"/>
              </w:rPr>
              <w:t>Beneficially Owned</w:t>
            </w:r>
          </w:p>
        </w:tc>
        <w:tc>
          <w:tcPr>
            <w:tcW w:w="1240" w:type="dxa"/>
            <w:vAlign w:val="bottom"/>
            <w:tcBorders>
              <w:bottom w:val="single" w:sz="8" w:color="001544"/>
            </w:tcBorders>
          </w:tcPr>
          <w:p>
            <w:pPr>
              <w:jc w:val="center"/>
              <w:ind w:left="5"/>
              <w:spacing w:after="0"/>
              <w:rPr>
                <w:sz w:val="20"/>
                <w:szCs w:val="20"/>
                <w:color w:val="auto"/>
              </w:rPr>
            </w:pPr>
            <w:r>
              <w:rPr>
                <w:rFonts w:ascii="Arial" w:cs="Arial" w:eastAsia="Arial" w:hAnsi="Arial"/>
                <w:sz w:val="15"/>
                <w:szCs w:val="15"/>
                <w:b w:val="1"/>
                <w:bCs w:val="1"/>
                <w:color w:val="001544"/>
                <w:w w:val="99"/>
              </w:rPr>
              <w:t>Equivalents</w:t>
            </w:r>
          </w:p>
        </w:tc>
        <w:tc>
          <w:tcPr>
            <w:tcW w:w="180" w:type="dxa"/>
            <w:vAlign w:val="bottom"/>
            <w:tcBorders>
              <w:bottom w:val="single" w:sz="8" w:color="001544"/>
            </w:tcBorders>
          </w:tcPr>
          <w:p>
            <w:pPr>
              <w:spacing w:after="0"/>
              <w:rPr>
                <w:sz w:val="21"/>
                <w:szCs w:val="21"/>
                <w:color w:val="auto"/>
              </w:rPr>
            </w:pPr>
          </w:p>
        </w:tc>
        <w:tc>
          <w:tcPr>
            <w:tcW w:w="1420" w:type="dxa"/>
            <w:vAlign w:val="bottom"/>
            <w:tcBorders>
              <w:bottom w:val="single" w:sz="8" w:color="001544"/>
            </w:tcBorders>
          </w:tcPr>
          <w:p>
            <w:pPr>
              <w:jc w:val="center"/>
              <w:spacing w:after="0"/>
              <w:rPr>
                <w:sz w:val="20"/>
                <w:szCs w:val="20"/>
                <w:color w:val="auto"/>
              </w:rPr>
            </w:pPr>
            <w:r>
              <w:rPr>
                <w:rFonts w:ascii="Arial" w:cs="Arial" w:eastAsia="Arial" w:hAnsi="Arial"/>
                <w:sz w:val="15"/>
                <w:szCs w:val="15"/>
                <w:b w:val="1"/>
                <w:bCs w:val="1"/>
                <w:color w:val="001544"/>
                <w:w w:val="99"/>
              </w:rPr>
              <w:t>Shares</w:t>
            </w:r>
          </w:p>
        </w:tc>
        <w:tc>
          <w:tcPr>
            <w:tcW w:w="180" w:type="dxa"/>
            <w:vAlign w:val="bottom"/>
            <w:tcBorders>
              <w:bottom w:val="single" w:sz="8" w:color="001544"/>
            </w:tcBorders>
          </w:tcPr>
          <w:p>
            <w:pPr>
              <w:spacing w:after="0"/>
              <w:rPr>
                <w:sz w:val="21"/>
                <w:szCs w:val="21"/>
                <w:color w:val="auto"/>
              </w:rPr>
            </w:pPr>
          </w:p>
        </w:tc>
        <w:tc>
          <w:tcPr>
            <w:tcW w:w="1560" w:type="dxa"/>
            <w:vAlign w:val="bottom"/>
            <w:tcBorders>
              <w:bottom w:val="single" w:sz="8" w:color="001544"/>
            </w:tcBorders>
          </w:tcPr>
          <w:p>
            <w:pPr>
              <w:ind w:left="60"/>
              <w:spacing w:after="0"/>
              <w:rPr>
                <w:sz w:val="20"/>
                <w:szCs w:val="20"/>
                <w:color w:val="auto"/>
              </w:rPr>
            </w:pPr>
            <w:r>
              <w:rPr>
                <w:rFonts w:ascii="Arial" w:cs="Arial" w:eastAsia="Arial" w:hAnsi="Arial"/>
                <w:sz w:val="15"/>
                <w:szCs w:val="15"/>
                <w:b w:val="1"/>
                <w:bCs w:val="1"/>
                <w:color w:val="001544"/>
              </w:rPr>
              <w:t>Beneficially Owned</w:t>
            </w:r>
          </w:p>
        </w:tc>
        <w:tc>
          <w:tcPr>
            <w:tcW w:w="1100" w:type="dxa"/>
            <w:vAlign w:val="bottom"/>
            <w:tcBorders>
              <w:bottom w:val="single" w:sz="8" w:color="001544"/>
            </w:tcBorders>
          </w:tcPr>
          <w:p>
            <w:pPr>
              <w:ind w:left="320"/>
              <w:spacing w:after="0"/>
              <w:rPr>
                <w:sz w:val="20"/>
                <w:szCs w:val="20"/>
                <w:color w:val="auto"/>
              </w:rPr>
            </w:pPr>
            <w:r>
              <w:rPr>
                <w:rFonts w:ascii="Arial" w:cs="Arial" w:eastAsia="Arial" w:hAnsi="Arial"/>
                <w:sz w:val="15"/>
                <w:szCs w:val="15"/>
                <w:b w:val="1"/>
                <w:bCs w:val="1"/>
                <w:color w:val="001544"/>
              </w:rPr>
              <w:t>Shares</w:t>
            </w:r>
          </w:p>
        </w:tc>
      </w:tr>
      <w:tr>
        <w:trPr>
          <w:trHeight w:val="219"/>
        </w:trPr>
        <w:tc>
          <w:tcPr>
            <w:tcW w:w="2100" w:type="dxa"/>
            <w:vAlign w:val="bottom"/>
            <w:tcBorders>
              <w:bottom w:val="single" w:sz="8" w:color="001544"/>
            </w:tcBorders>
            <w:shd w:val="clear" w:color="auto" w:fill="DBDFEA"/>
          </w:tcPr>
          <w:p>
            <w:pPr>
              <w:ind w:left="100"/>
              <w:spacing w:after="0" w:line="219" w:lineRule="exact"/>
              <w:rPr>
                <w:sz w:val="20"/>
                <w:szCs w:val="20"/>
                <w:color w:val="auto"/>
              </w:rPr>
            </w:pPr>
            <w:r>
              <w:rPr>
                <w:rFonts w:ascii="Arial" w:cs="Arial" w:eastAsia="Arial" w:hAnsi="Arial"/>
                <w:sz w:val="15"/>
                <w:szCs w:val="15"/>
                <w:color w:val="auto"/>
              </w:rPr>
              <w:t>Marc Ganzi</w:t>
            </w:r>
            <w:r>
              <w:rPr>
                <w:rFonts w:ascii="Arial" w:cs="Arial" w:eastAsia="Arial" w:hAnsi="Arial"/>
                <w:sz w:val="22"/>
                <w:szCs w:val="22"/>
                <w:color w:val="auto"/>
                <w:vertAlign w:val="superscript"/>
              </w:rPr>
              <w:t>(3)</w:t>
            </w:r>
          </w:p>
        </w:tc>
        <w:tc>
          <w:tcPr>
            <w:tcW w:w="168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5"/>
                <w:szCs w:val="15"/>
                <w:color w:val="auto"/>
              </w:rPr>
              <w:t>2,947,627</w:t>
            </w:r>
          </w:p>
        </w:tc>
        <w:tc>
          <w:tcPr>
            <w:tcW w:w="12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1.56%</w:t>
            </w:r>
          </w:p>
        </w:tc>
        <w:tc>
          <w:tcPr>
            <w:tcW w:w="160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9"/>
                <w:szCs w:val="19"/>
                <w:color w:val="auto"/>
              </w:rPr>
            </w:pPr>
          </w:p>
        </w:tc>
        <w:tc>
          <w:tcPr>
            <w:tcW w:w="1560" w:type="dxa"/>
            <w:vAlign w:val="bottom"/>
            <w:tcBorders>
              <w:bottom w:val="single" w:sz="8" w:color="001544"/>
            </w:tcBorders>
            <w:shd w:val="clear" w:color="auto" w:fill="DBDFEA"/>
          </w:tcPr>
          <w:p>
            <w:pPr>
              <w:ind w:left="13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r>
      <w:tr>
        <w:trPr>
          <w:trHeight w:val="219"/>
        </w:trPr>
        <w:tc>
          <w:tcPr>
            <w:tcW w:w="2100" w:type="dxa"/>
            <w:vAlign w:val="bottom"/>
            <w:tcBorders>
              <w:bottom w:val="single" w:sz="8" w:color="001544"/>
            </w:tcBorders>
            <w:shd w:val="clear" w:color="auto" w:fill="DBDFEA"/>
          </w:tcPr>
          <w:p>
            <w:pPr>
              <w:ind w:left="100"/>
              <w:spacing w:after="0" w:line="219" w:lineRule="exact"/>
              <w:rPr>
                <w:sz w:val="20"/>
                <w:szCs w:val="20"/>
                <w:color w:val="auto"/>
              </w:rPr>
            </w:pPr>
            <w:r>
              <w:rPr>
                <w:rFonts w:ascii="Arial" w:cs="Arial" w:eastAsia="Arial" w:hAnsi="Arial"/>
                <w:sz w:val="15"/>
                <w:szCs w:val="15"/>
                <w:color w:val="auto"/>
              </w:rPr>
              <w:t>Benjamin J. Jenkins</w:t>
            </w:r>
            <w:r>
              <w:rPr>
                <w:rFonts w:ascii="Arial" w:cs="Arial" w:eastAsia="Arial" w:hAnsi="Arial"/>
                <w:sz w:val="22"/>
                <w:szCs w:val="22"/>
                <w:color w:val="auto"/>
                <w:vertAlign w:val="superscript"/>
              </w:rPr>
              <w:t>(3)</w:t>
            </w:r>
          </w:p>
        </w:tc>
        <w:tc>
          <w:tcPr>
            <w:tcW w:w="120" w:type="dxa"/>
            <w:vAlign w:val="bottom"/>
            <w:tcBorders>
              <w:bottom w:val="single" w:sz="8" w:color="001544"/>
            </w:tcBorders>
            <w:shd w:val="clear" w:color="auto" w:fill="DBDFEA"/>
          </w:tcPr>
          <w:p>
            <w:pPr>
              <w:spacing w:after="0"/>
              <w:rPr>
                <w:sz w:val="19"/>
                <w:szCs w:val="19"/>
                <w:color w:val="auto"/>
              </w:rPr>
            </w:pPr>
          </w:p>
        </w:tc>
        <w:tc>
          <w:tcPr>
            <w:tcW w:w="15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2,511,825</w:t>
            </w:r>
          </w:p>
        </w:tc>
        <w:tc>
          <w:tcPr>
            <w:tcW w:w="12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1.33%</w:t>
            </w:r>
          </w:p>
        </w:tc>
        <w:tc>
          <w:tcPr>
            <w:tcW w:w="160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9"/>
                <w:szCs w:val="19"/>
                <w:color w:val="auto"/>
              </w:rPr>
            </w:pPr>
          </w:p>
        </w:tc>
        <w:tc>
          <w:tcPr>
            <w:tcW w:w="1560" w:type="dxa"/>
            <w:vAlign w:val="bottom"/>
            <w:tcBorders>
              <w:bottom w:val="single" w:sz="8" w:color="001544"/>
            </w:tcBorders>
            <w:shd w:val="clear" w:color="auto" w:fill="DBDFEA"/>
          </w:tcPr>
          <w:p>
            <w:pPr>
              <w:ind w:left="13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r>
      <w:tr>
        <w:trPr>
          <w:trHeight w:val="219"/>
        </w:trPr>
        <w:tc>
          <w:tcPr>
            <w:tcW w:w="2100" w:type="dxa"/>
            <w:vAlign w:val="bottom"/>
            <w:tcBorders>
              <w:bottom w:val="single" w:sz="8" w:color="001544"/>
            </w:tcBorders>
            <w:shd w:val="clear" w:color="auto" w:fill="DBDFEA"/>
          </w:tcPr>
          <w:p>
            <w:pPr>
              <w:ind w:left="100"/>
              <w:spacing w:after="0" w:line="219" w:lineRule="exact"/>
              <w:rPr>
                <w:sz w:val="20"/>
                <w:szCs w:val="20"/>
                <w:color w:val="auto"/>
              </w:rPr>
            </w:pPr>
            <w:r>
              <w:rPr>
                <w:rFonts w:ascii="Arial" w:cs="Arial" w:eastAsia="Arial" w:hAnsi="Arial"/>
                <w:sz w:val="15"/>
                <w:szCs w:val="15"/>
                <w:color w:val="auto"/>
              </w:rPr>
              <w:t>Thomas Mayrhofer</w:t>
            </w:r>
            <w:r>
              <w:rPr>
                <w:rFonts w:ascii="Arial" w:cs="Arial" w:eastAsia="Arial" w:hAnsi="Arial"/>
                <w:sz w:val="22"/>
                <w:szCs w:val="22"/>
                <w:color w:val="auto"/>
                <w:vertAlign w:val="superscript"/>
              </w:rPr>
              <w:t>(3)</w:t>
            </w:r>
          </w:p>
        </w:tc>
        <w:tc>
          <w:tcPr>
            <w:tcW w:w="120" w:type="dxa"/>
            <w:vAlign w:val="bottom"/>
            <w:tcBorders>
              <w:bottom w:val="single" w:sz="8" w:color="001544"/>
            </w:tcBorders>
            <w:shd w:val="clear" w:color="auto" w:fill="DBDFEA"/>
          </w:tcPr>
          <w:p>
            <w:pPr>
              <w:spacing w:after="0"/>
              <w:rPr>
                <w:sz w:val="19"/>
                <w:szCs w:val="19"/>
                <w:color w:val="auto"/>
              </w:rPr>
            </w:pPr>
          </w:p>
        </w:tc>
        <w:tc>
          <w:tcPr>
            <w:tcW w:w="15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181,145</w:t>
            </w:r>
          </w:p>
        </w:tc>
        <w:tc>
          <w:tcPr>
            <w:tcW w:w="12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9"/>
                <w:szCs w:val="19"/>
                <w:color w:val="auto"/>
              </w:rPr>
            </w:pPr>
          </w:p>
        </w:tc>
        <w:tc>
          <w:tcPr>
            <w:tcW w:w="1560" w:type="dxa"/>
            <w:vAlign w:val="bottom"/>
            <w:tcBorders>
              <w:bottom w:val="single" w:sz="8" w:color="001544"/>
            </w:tcBorders>
            <w:shd w:val="clear" w:color="auto" w:fill="DBDFEA"/>
          </w:tcPr>
          <w:p>
            <w:pPr>
              <w:ind w:left="13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r>
      <w:tr>
        <w:trPr>
          <w:trHeight w:val="211"/>
        </w:trPr>
        <w:tc>
          <w:tcPr>
            <w:tcW w:w="210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Geoffrey Goldschein</w:t>
            </w:r>
          </w:p>
        </w:tc>
        <w:tc>
          <w:tcPr>
            <w:tcW w:w="120" w:type="dxa"/>
            <w:vAlign w:val="bottom"/>
            <w:tcBorders>
              <w:bottom w:val="single" w:sz="8" w:color="001544"/>
            </w:tcBorders>
            <w:shd w:val="clear" w:color="auto" w:fill="DBDFEA"/>
          </w:tcPr>
          <w:p>
            <w:pPr>
              <w:spacing w:after="0"/>
              <w:rPr>
                <w:sz w:val="18"/>
                <w:szCs w:val="18"/>
                <w:color w:val="auto"/>
              </w:rPr>
            </w:pPr>
          </w:p>
        </w:tc>
        <w:tc>
          <w:tcPr>
            <w:tcW w:w="15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108,714</w:t>
            </w:r>
          </w:p>
        </w:tc>
        <w:tc>
          <w:tcPr>
            <w:tcW w:w="12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8"/>
                <w:szCs w:val="18"/>
                <w:color w:val="auto"/>
              </w:rPr>
            </w:pPr>
          </w:p>
        </w:tc>
        <w:tc>
          <w:tcPr>
            <w:tcW w:w="1560" w:type="dxa"/>
            <w:vAlign w:val="bottom"/>
            <w:tcBorders>
              <w:bottom w:val="single" w:sz="8" w:color="001544"/>
            </w:tcBorders>
            <w:shd w:val="clear" w:color="auto" w:fill="DBDFEA"/>
          </w:tcPr>
          <w:p>
            <w:pPr>
              <w:ind w:left="13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r>
      <w:tr>
        <w:trPr>
          <w:trHeight w:val="226"/>
        </w:trPr>
        <w:tc>
          <w:tcPr>
            <w:tcW w:w="2100" w:type="dxa"/>
            <w:vAlign w:val="bottom"/>
            <w:tcBorders>
              <w:bottom w:val="single" w:sz="8" w:color="001544"/>
            </w:tcBorders>
            <w:shd w:val="clear" w:color="auto" w:fill="DBDFEA"/>
          </w:tcPr>
          <w:p>
            <w:pPr>
              <w:ind w:left="100"/>
              <w:spacing w:after="0" w:line="226" w:lineRule="exact"/>
              <w:rPr>
                <w:sz w:val="20"/>
                <w:szCs w:val="20"/>
                <w:color w:val="auto"/>
              </w:rPr>
            </w:pPr>
            <w:r>
              <w:rPr>
                <w:rFonts w:ascii="Arial" w:cs="Arial" w:eastAsia="Arial" w:hAnsi="Arial"/>
                <w:sz w:val="15"/>
                <w:szCs w:val="15"/>
                <w:color w:val="auto"/>
              </w:rPr>
              <w:t>Liam Stewart</w:t>
            </w:r>
            <w:r>
              <w:rPr>
                <w:rFonts w:ascii="Arial" w:cs="Arial" w:eastAsia="Arial" w:hAnsi="Arial"/>
                <w:sz w:val="22"/>
                <w:szCs w:val="22"/>
                <w:color w:val="auto"/>
                <w:vertAlign w:val="superscript"/>
              </w:rPr>
              <w:t>(3)</w:t>
            </w:r>
          </w:p>
        </w:tc>
        <w:tc>
          <w:tcPr>
            <w:tcW w:w="120" w:type="dxa"/>
            <w:vAlign w:val="bottom"/>
            <w:tcBorders>
              <w:bottom w:val="single" w:sz="8" w:color="001544"/>
            </w:tcBorders>
            <w:shd w:val="clear" w:color="auto" w:fill="DBDFEA"/>
          </w:tcPr>
          <w:p>
            <w:pPr>
              <w:spacing w:after="0"/>
              <w:rPr>
                <w:sz w:val="19"/>
                <w:szCs w:val="19"/>
                <w:color w:val="auto"/>
              </w:rPr>
            </w:pPr>
          </w:p>
        </w:tc>
        <w:tc>
          <w:tcPr>
            <w:tcW w:w="15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234,670</w:t>
            </w:r>
          </w:p>
        </w:tc>
        <w:tc>
          <w:tcPr>
            <w:tcW w:w="12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9"/>
                <w:szCs w:val="19"/>
                <w:color w:val="auto"/>
              </w:rPr>
            </w:pPr>
          </w:p>
        </w:tc>
        <w:tc>
          <w:tcPr>
            <w:tcW w:w="1560" w:type="dxa"/>
            <w:vAlign w:val="bottom"/>
            <w:tcBorders>
              <w:bottom w:val="single" w:sz="8" w:color="001544"/>
            </w:tcBorders>
            <w:shd w:val="clear" w:color="auto" w:fill="DBDFEA"/>
          </w:tcPr>
          <w:p>
            <w:pPr>
              <w:ind w:left="13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r>
      <w:tr>
        <w:trPr>
          <w:trHeight w:val="219"/>
        </w:trPr>
        <w:tc>
          <w:tcPr>
            <w:tcW w:w="2100" w:type="dxa"/>
            <w:vAlign w:val="bottom"/>
            <w:tcBorders>
              <w:bottom w:val="single" w:sz="8" w:color="001544"/>
            </w:tcBorders>
            <w:shd w:val="clear" w:color="auto" w:fill="DBDFEA"/>
          </w:tcPr>
          <w:p>
            <w:pPr>
              <w:ind w:left="100"/>
              <w:spacing w:after="0" w:line="219" w:lineRule="exact"/>
              <w:rPr>
                <w:sz w:val="20"/>
                <w:szCs w:val="20"/>
                <w:color w:val="auto"/>
              </w:rPr>
            </w:pPr>
            <w:r>
              <w:rPr>
                <w:rFonts w:ascii="Arial" w:cs="Arial" w:eastAsia="Arial" w:hAnsi="Arial"/>
                <w:sz w:val="15"/>
                <w:szCs w:val="15"/>
                <w:color w:val="auto"/>
              </w:rPr>
              <w:t>Jacky Wu</w:t>
            </w:r>
            <w:r>
              <w:rPr>
                <w:rFonts w:ascii="Arial" w:cs="Arial" w:eastAsia="Arial" w:hAnsi="Arial"/>
                <w:sz w:val="22"/>
                <w:szCs w:val="22"/>
                <w:color w:val="auto"/>
                <w:vertAlign w:val="superscript"/>
              </w:rPr>
              <w:t>(3)</w:t>
            </w:r>
          </w:p>
        </w:tc>
        <w:tc>
          <w:tcPr>
            <w:tcW w:w="120" w:type="dxa"/>
            <w:vAlign w:val="bottom"/>
            <w:tcBorders>
              <w:bottom w:val="single" w:sz="8" w:color="001544"/>
            </w:tcBorders>
            <w:shd w:val="clear" w:color="auto" w:fill="DBDFEA"/>
          </w:tcPr>
          <w:p>
            <w:pPr>
              <w:spacing w:after="0"/>
              <w:rPr>
                <w:sz w:val="19"/>
                <w:szCs w:val="19"/>
                <w:color w:val="auto"/>
              </w:rPr>
            </w:pPr>
          </w:p>
        </w:tc>
        <w:tc>
          <w:tcPr>
            <w:tcW w:w="15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566,970</w:t>
            </w:r>
          </w:p>
        </w:tc>
        <w:tc>
          <w:tcPr>
            <w:tcW w:w="12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9"/>
                <w:szCs w:val="19"/>
                <w:color w:val="auto"/>
              </w:rPr>
            </w:pP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9"/>
                <w:szCs w:val="19"/>
                <w:color w:val="auto"/>
              </w:rPr>
            </w:pPr>
          </w:p>
        </w:tc>
        <w:tc>
          <w:tcPr>
            <w:tcW w:w="1560" w:type="dxa"/>
            <w:vAlign w:val="bottom"/>
            <w:tcBorders>
              <w:bottom w:val="single" w:sz="8" w:color="001544"/>
            </w:tcBorders>
            <w:shd w:val="clear" w:color="auto" w:fill="DBDFEA"/>
          </w:tcPr>
          <w:p>
            <w:pPr>
              <w:ind w:left="13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r>
      <w:tr>
        <w:trPr>
          <w:trHeight w:val="211"/>
        </w:trPr>
        <w:tc>
          <w:tcPr>
            <w:tcW w:w="210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James Keith Brown</w:t>
            </w:r>
          </w:p>
        </w:tc>
        <w:tc>
          <w:tcPr>
            <w:tcW w:w="120" w:type="dxa"/>
            <w:vAlign w:val="bottom"/>
            <w:tcBorders>
              <w:bottom w:val="single" w:sz="8" w:color="001544"/>
            </w:tcBorders>
            <w:shd w:val="clear" w:color="auto" w:fill="DBDFEA"/>
          </w:tcPr>
          <w:p>
            <w:pPr>
              <w:spacing w:after="0"/>
              <w:rPr>
                <w:sz w:val="18"/>
                <w:szCs w:val="18"/>
                <w:color w:val="auto"/>
              </w:rPr>
            </w:pPr>
          </w:p>
        </w:tc>
        <w:tc>
          <w:tcPr>
            <w:tcW w:w="15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26,361</w:t>
            </w:r>
          </w:p>
        </w:tc>
        <w:tc>
          <w:tcPr>
            <w:tcW w:w="12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8"/>
                <w:szCs w:val="18"/>
                <w:color w:val="auto"/>
              </w:rPr>
            </w:pP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8"/>
                <w:szCs w:val="18"/>
                <w:color w:val="auto"/>
              </w:rPr>
            </w:pPr>
          </w:p>
        </w:tc>
        <w:tc>
          <w:tcPr>
            <w:tcW w:w="1560" w:type="dxa"/>
            <w:vAlign w:val="bottom"/>
            <w:tcBorders>
              <w:bottom w:val="single" w:sz="8" w:color="001544"/>
            </w:tcBorders>
            <w:shd w:val="clear" w:color="auto" w:fill="DBDFEA"/>
          </w:tcPr>
          <w:p>
            <w:pPr>
              <w:ind w:left="13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r>
      <w:tr>
        <w:trPr>
          <w:trHeight w:val="226"/>
        </w:trPr>
        <w:tc>
          <w:tcPr>
            <w:tcW w:w="2100" w:type="dxa"/>
            <w:vAlign w:val="bottom"/>
            <w:tcBorders>
              <w:bottom w:val="single" w:sz="8" w:color="001544"/>
            </w:tcBorders>
            <w:shd w:val="clear" w:color="auto" w:fill="DBDFEA"/>
          </w:tcPr>
          <w:p>
            <w:pPr>
              <w:ind w:left="100"/>
              <w:spacing w:after="0" w:line="226" w:lineRule="exact"/>
              <w:rPr>
                <w:sz w:val="20"/>
                <w:szCs w:val="20"/>
                <w:color w:val="auto"/>
              </w:rPr>
            </w:pPr>
            <w:r>
              <w:rPr>
                <w:rFonts w:ascii="Arial" w:cs="Arial" w:eastAsia="Arial" w:hAnsi="Arial"/>
                <w:sz w:val="15"/>
                <w:szCs w:val="15"/>
                <w:color w:val="auto"/>
              </w:rPr>
              <w:t>Nancy A. Curtin</w:t>
            </w:r>
            <w:r>
              <w:rPr>
                <w:rFonts w:ascii="Arial" w:cs="Arial" w:eastAsia="Arial" w:hAnsi="Arial"/>
                <w:sz w:val="22"/>
                <w:szCs w:val="22"/>
                <w:color w:val="auto"/>
                <w:vertAlign w:val="superscript"/>
              </w:rPr>
              <w:t>(4)</w:t>
            </w:r>
          </w:p>
        </w:tc>
        <w:tc>
          <w:tcPr>
            <w:tcW w:w="120" w:type="dxa"/>
            <w:vAlign w:val="bottom"/>
            <w:tcBorders>
              <w:bottom w:val="single" w:sz="8" w:color="001544"/>
            </w:tcBorders>
            <w:shd w:val="clear" w:color="auto" w:fill="DBDFEA"/>
          </w:tcPr>
          <w:p>
            <w:pPr>
              <w:spacing w:after="0"/>
              <w:rPr>
                <w:sz w:val="19"/>
                <w:szCs w:val="19"/>
                <w:color w:val="auto"/>
              </w:rPr>
            </w:pPr>
          </w:p>
        </w:tc>
        <w:tc>
          <w:tcPr>
            <w:tcW w:w="15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111,533</w:t>
            </w:r>
          </w:p>
        </w:tc>
        <w:tc>
          <w:tcPr>
            <w:tcW w:w="12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9"/>
                <w:szCs w:val="19"/>
                <w:color w:val="auto"/>
              </w:rPr>
            </w:pP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9"/>
                <w:szCs w:val="19"/>
                <w:color w:val="auto"/>
              </w:rPr>
            </w:pPr>
          </w:p>
        </w:tc>
        <w:tc>
          <w:tcPr>
            <w:tcW w:w="1560" w:type="dxa"/>
            <w:vAlign w:val="bottom"/>
            <w:tcBorders>
              <w:bottom w:val="single" w:sz="8" w:color="001544"/>
            </w:tcBorders>
            <w:shd w:val="clear" w:color="auto" w:fill="DBDFEA"/>
          </w:tcPr>
          <w:p>
            <w:pPr>
              <w:ind w:left="13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r>
      <w:tr>
        <w:trPr>
          <w:trHeight w:val="219"/>
        </w:trPr>
        <w:tc>
          <w:tcPr>
            <w:tcW w:w="2100" w:type="dxa"/>
            <w:vAlign w:val="bottom"/>
            <w:tcBorders>
              <w:bottom w:val="single" w:sz="8" w:color="001544"/>
            </w:tcBorders>
            <w:shd w:val="clear" w:color="auto" w:fill="DBDFEA"/>
          </w:tcPr>
          <w:p>
            <w:pPr>
              <w:ind w:left="100"/>
              <w:spacing w:after="0" w:line="219" w:lineRule="exact"/>
              <w:rPr>
                <w:sz w:val="20"/>
                <w:szCs w:val="20"/>
                <w:color w:val="auto"/>
              </w:rPr>
            </w:pPr>
            <w:r>
              <w:rPr>
                <w:rFonts w:ascii="Arial" w:cs="Arial" w:eastAsia="Arial" w:hAnsi="Arial"/>
                <w:sz w:val="15"/>
                <w:szCs w:val="15"/>
                <w:color w:val="auto"/>
              </w:rPr>
              <w:t>Jeannie H. Diefenderfer</w:t>
            </w:r>
            <w:r>
              <w:rPr>
                <w:rFonts w:ascii="Arial" w:cs="Arial" w:eastAsia="Arial" w:hAnsi="Arial"/>
                <w:sz w:val="22"/>
                <w:szCs w:val="22"/>
                <w:color w:val="auto"/>
                <w:vertAlign w:val="superscript"/>
              </w:rPr>
              <w:t>(5)</w:t>
            </w:r>
          </w:p>
        </w:tc>
        <w:tc>
          <w:tcPr>
            <w:tcW w:w="120" w:type="dxa"/>
            <w:vAlign w:val="bottom"/>
            <w:tcBorders>
              <w:bottom w:val="single" w:sz="8" w:color="001544"/>
            </w:tcBorders>
            <w:shd w:val="clear" w:color="auto" w:fill="DBDFEA"/>
          </w:tcPr>
          <w:p>
            <w:pPr>
              <w:spacing w:after="0"/>
              <w:rPr>
                <w:sz w:val="19"/>
                <w:szCs w:val="19"/>
                <w:color w:val="auto"/>
              </w:rPr>
            </w:pPr>
          </w:p>
        </w:tc>
        <w:tc>
          <w:tcPr>
            <w:tcW w:w="15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59,613</w:t>
            </w:r>
          </w:p>
        </w:tc>
        <w:tc>
          <w:tcPr>
            <w:tcW w:w="12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9"/>
                <w:szCs w:val="19"/>
                <w:color w:val="auto"/>
              </w:rPr>
            </w:pP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9"/>
                <w:szCs w:val="19"/>
                <w:color w:val="auto"/>
              </w:rPr>
            </w:pPr>
          </w:p>
        </w:tc>
        <w:tc>
          <w:tcPr>
            <w:tcW w:w="1560" w:type="dxa"/>
            <w:vAlign w:val="bottom"/>
            <w:tcBorders>
              <w:bottom w:val="single" w:sz="8" w:color="001544"/>
            </w:tcBorders>
            <w:shd w:val="clear" w:color="auto" w:fill="DBDFEA"/>
          </w:tcPr>
          <w:p>
            <w:pPr>
              <w:ind w:left="13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r>
      <w:tr>
        <w:trPr>
          <w:trHeight w:val="219"/>
        </w:trPr>
        <w:tc>
          <w:tcPr>
            <w:tcW w:w="2100" w:type="dxa"/>
            <w:vAlign w:val="bottom"/>
            <w:tcBorders>
              <w:bottom w:val="single" w:sz="8" w:color="001544"/>
            </w:tcBorders>
            <w:shd w:val="clear" w:color="auto" w:fill="DBDFEA"/>
          </w:tcPr>
          <w:p>
            <w:pPr>
              <w:ind w:left="100"/>
              <w:spacing w:after="0" w:line="219" w:lineRule="exact"/>
              <w:rPr>
                <w:sz w:val="20"/>
                <w:szCs w:val="20"/>
                <w:color w:val="auto"/>
              </w:rPr>
            </w:pPr>
            <w:r>
              <w:rPr>
                <w:rFonts w:ascii="Arial" w:cs="Arial" w:eastAsia="Arial" w:hAnsi="Arial"/>
                <w:sz w:val="15"/>
                <w:szCs w:val="15"/>
                <w:color w:val="auto"/>
              </w:rPr>
              <w:t>Gregory J. McCray</w:t>
            </w:r>
            <w:r>
              <w:rPr>
                <w:rFonts w:ascii="Arial" w:cs="Arial" w:eastAsia="Arial" w:hAnsi="Arial"/>
                <w:sz w:val="22"/>
                <w:szCs w:val="22"/>
                <w:color w:val="auto"/>
                <w:vertAlign w:val="superscript"/>
              </w:rPr>
              <w:t>(5)</w:t>
            </w:r>
          </w:p>
        </w:tc>
        <w:tc>
          <w:tcPr>
            <w:tcW w:w="120" w:type="dxa"/>
            <w:vAlign w:val="bottom"/>
            <w:tcBorders>
              <w:bottom w:val="single" w:sz="8" w:color="001544"/>
            </w:tcBorders>
            <w:shd w:val="clear" w:color="auto" w:fill="DBDFEA"/>
          </w:tcPr>
          <w:p>
            <w:pPr>
              <w:spacing w:after="0"/>
              <w:rPr>
                <w:sz w:val="19"/>
                <w:szCs w:val="19"/>
                <w:color w:val="auto"/>
              </w:rPr>
            </w:pPr>
          </w:p>
        </w:tc>
        <w:tc>
          <w:tcPr>
            <w:tcW w:w="15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42,290</w:t>
            </w:r>
          </w:p>
        </w:tc>
        <w:tc>
          <w:tcPr>
            <w:tcW w:w="12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9"/>
                <w:szCs w:val="19"/>
                <w:color w:val="auto"/>
              </w:rPr>
            </w:pP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9"/>
                <w:szCs w:val="19"/>
                <w:color w:val="auto"/>
              </w:rPr>
            </w:pPr>
          </w:p>
        </w:tc>
        <w:tc>
          <w:tcPr>
            <w:tcW w:w="1560" w:type="dxa"/>
            <w:vAlign w:val="bottom"/>
            <w:tcBorders>
              <w:bottom w:val="single" w:sz="8" w:color="001544"/>
            </w:tcBorders>
            <w:shd w:val="clear" w:color="auto" w:fill="DBDFEA"/>
          </w:tcPr>
          <w:p>
            <w:pPr>
              <w:ind w:left="13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r>
      <w:tr>
        <w:trPr>
          <w:trHeight w:val="219"/>
        </w:trPr>
        <w:tc>
          <w:tcPr>
            <w:tcW w:w="2100" w:type="dxa"/>
            <w:vAlign w:val="bottom"/>
            <w:tcBorders>
              <w:bottom w:val="single" w:sz="8" w:color="001544"/>
            </w:tcBorders>
            <w:shd w:val="clear" w:color="auto" w:fill="DBDFEA"/>
          </w:tcPr>
          <w:p>
            <w:pPr>
              <w:ind w:left="100"/>
              <w:spacing w:after="0" w:line="219" w:lineRule="exact"/>
              <w:rPr>
                <w:sz w:val="20"/>
                <w:szCs w:val="20"/>
                <w:color w:val="auto"/>
              </w:rPr>
            </w:pPr>
            <w:r>
              <w:rPr>
                <w:rFonts w:ascii="Arial" w:cs="Arial" w:eastAsia="Arial" w:hAnsi="Arial"/>
                <w:sz w:val="15"/>
                <w:szCs w:val="15"/>
                <w:color w:val="auto"/>
              </w:rPr>
              <w:t>Sháka Rasheed</w:t>
            </w:r>
            <w:r>
              <w:rPr>
                <w:rFonts w:ascii="Arial" w:cs="Arial" w:eastAsia="Arial" w:hAnsi="Arial"/>
                <w:sz w:val="22"/>
                <w:szCs w:val="22"/>
                <w:color w:val="auto"/>
                <w:vertAlign w:val="superscript"/>
              </w:rPr>
              <w:t>(4)(5)</w:t>
            </w:r>
          </w:p>
        </w:tc>
        <w:tc>
          <w:tcPr>
            <w:tcW w:w="120" w:type="dxa"/>
            <w:vAlign w:val="bottom"/>
            <w:tcBorders>
              <w:bottom w:val="single" w:sz="8" w:color="001544"/>
            </w:tcBorders>
            <w:shd w:val="clear" w:color="auto" w:fill="DBDFEA"/>
          </w:tcPr>
          <w:p>
            <w:pPr>
              <w:spacing w:after="0"/>
              <w:rPr>
                <w:sz w:val="19"/>
                <w:szCs w:val="19"/>
                <w:color w:val="auto"/>
              </w:rPr>
            </w:pPr>
          </w:p>
        </w:tc>
        <w:tc>
          <w:tcPr>
            <w:tcW w:w="15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39,499</w:t>
            </w:r>
          </w:p>
        </w:tc>
        <w:tc>
          <w:tcPr>
            <w:tcW w:w="12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9"/>
                <w:szCs w:val="19"/>
                <w:color w:val="auto"/>
              </w:rPr>
            </w:pP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9"/>
                <w:szCs w:val="19"/>
                <w:color w:val="auto"/>
              </w:rPr>
            </w:pPr>
          </w:p>
        </w:tc>
        <w:tc>
          <w:tcPr>
            <w:tcW w:w="1560" w:type="dxa"/>
            <w:vAlign w:val="bottom"/>
            <w:tcBorders>
              <w:bottom w:val="single" w:sz="8" w:color="001544"/>
            </w:tcBorders>
            <w:shd w:val="clear" w:color="auto" w:fill="DBDFEA"/>
          </w:tcPr>
          <w:p>
            <w:pPr>
              <w:ind w:left="13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r>
      <w:tr>
        <w:trPr>
          <w:trHeight w:val="219"/>
        </w:trPr>
        <w:tc>
          <w:tcPr>
            <w:tcW w:w="2100" w:type="dxa"/>
            <w:vAlign w:val="bottom"/>
            <w:tcBorders>
              <w:bottom w:val="single" w:sz="8" w:color="001544"/>
            </w:tcBorders>
            <w:shd w:val="clear" w:color="auto" w:fill="DBDFEA"/>
          </w:tcPr>
          <w:p>
            <w:pPr>
              <w:ind w:left="100"/>
              <w:spacing w:after="0" w:line="219" w:lineRule="exact"/>
              <w:rPr>
                <w:sz w:val="20"/>
                <w:szCs w:val="20"/>
                <w:color w:val="auto"/>
              </w:rPr>
            </w:pPr>
            <w:r>
              <w:rPr>
                <w:rFonts w:ascii="Arial" w:cs="Arial" w:eastAsia="Arial" w:hAnsi="Arial"/>
                <w:sz w:val="15"/>
                <w:szCs w:val="15"/>
                <w:color w:val="auto"/>
              </w:rPr>
              <w:t>Dale Anne Reiss</w:t>
            </w:r>
            <w:r>
              <w:rPr>
                <w:rFonts w:ascii="Arial" w:cs="Arial" w:eastAsia="Arial" w:hAnsi="Arial"/>
                <w:sz w:val="22"/>
                <w:szCs w:val="22"/>
                <w:color w:val="auto"/>
                <w:vertAlign w:val="superscript"/>
              </w:rPr>
              <w:t>(5)</w:t>
            </w:r>
          </w:p>
        </w:tc>
        <w:tc>
          <w:tcPr>
            <w:tcW w:w="120" w:type="dxa"/>
            <w:vAlign w:val="bottom"/>
            <w:tcBorders>
              <w:bottom w:val="single" w:sz="8" w:color="001544"/>
            </w:tcBorders>
            <w:shd w:val="clear" w:color="auto" w:fill="DBDFEA"/>
          </w:tcPr>
          <w:p>
            <w:pPr>
              <w:spacing w:after="0"/>
              <w:rPr>
                <w:sz w:val="19"/>
                <w:szCs w:val="19"/>
                <w:color w:val="auto"/>
              </w:rPr>
            </w:pPr>
          </w:p>
        </w:tc>
        <w:tc>
          <w:tcPr>
            <w:tcW w:w="15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66,365</w:t>
            </w:r>
          </w:p>
        </w:tc>
        <w:tc>
          <w:tcPr>
            <w:tcW w:w="12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9"/>
                <w:szCs w:val="19"/>
                <w:color w:val="auto"/>
              </w:rPr>
            </w:pP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9"/>
                <w:szCs w:val="19"/>
                <w:color w:val="auto"/>
              </w:rPr>
            </w:pPr>
          </w:p>
        </w:tc>
        <w:tc>
          <w:tcPr>
            <w:tcW w:w="1560" w:type="dxa"/>
            <w:vAlign w:val="bottom"/>
            <w:tcBorders>
              <w:bottom w:val="single" w:sz="8" w:color="001544"/>
            </w:tcBorders>
            <w:shd w:val="clear" w:color="auto" w:fill="DBDFEA"/>
          </w:tcPr>
          <w:p>
            <w:pPr>
              <w:ind w:left="13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r>
      <w:tr>
        <w:trPr>
          <w:trHeight w:val="181"/>
        </w:trPr>
        <w:tc>
          <w:tcPr>
            <w:tcW w:w="210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Ian Schapiro</w:t>
            </w:r>
          </w:p>
        </w:tc>
        <w:tc>
          <w:tcPr>
            <w:tcW w:w="120" w:type="dxa"/>
            <w:vAlign w:val="bottom"/>
            <w:tcBorders>
              <w:bottom w:val="single" w:sz="8" w:color="001544"/>
            </w:tcBorders>
            <w:shd w:val="clear" w:color="auto" w:fill="DBDFEA"/>
          </w:tcPr>
          <w:p>
            <w:pPr>
              <w:spacing w:after="0"/>
              <w:rPr>
                <w:sz w:val="15"/>
                <w:szCs w:val="15"/>
                <w:color w:val="auto"/>
              </w:rPr>
            </w:pPr>
          </w:p>
        </w:tc>
        <w:tc>
          <w:tcPr>
            <w:tcW w:w="15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10,520</w:t>
            </w:r>
          </w:p>
        </w:tc>
        <w:tc>
          <w:tcPr>
            <w:tcW w:w="12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5"/>
                <w:szCs w:val="15"/>
                <w:color w:val="auto"/>
              </w:rPr>
            </w:pP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5"/>
                <w:szCs w:val="15"/>
                <w:color w:val="auto"/>
              </w:rPr>
            </w:pPr>
          </w:p>
        </w:tc>
        <w:tc>
          <w:tcPr>
            <w:tcW w:w="1560" w:type="dxa"/>
            <w:vAlign w:val="bottom"/>
            <w:tcBorders>
              <w:bottom w:val="single" w:sz="8" w:color="001544"/>
            </w:tcBorders>
            <w:shd w:val="clear" w:color="auto" w:fill="DBDFEA"/>
          </w:tcPr>
          <w:p>
            <w:pPr>
              <w:ind w:left="13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r>
      <w:tr>
        <w:trPr>
          <w:trHeight w:val="219"/>
        </w:trPr>
        <w:tc>
          <w:tcPr>
            <w:tcW w:w="2100" w:type="dxa"/>
            <w:vAlign w:val="bottom"/>
            <w:tcBorders>
              <w:bottom w:val="single" w:sz="8" w:color="001544"/>
            </w:tcBorders>
            <w:shd w:val="clear" w:color="auto" w:fill="DBDFEA"/>
          </w:tcPr>
          <w:p>
            <w:pPr>
              <w:ind w:left="100"/>
              <w:spacing w:after="0" w:line="219" w:lineRule="exact"/>
              <w:rPr>
                <w:sz w:val="20"/>
                <w:szCs w:val="20"/>
                <w:color w:val="auto"/>
              </w:rPr>
            </w:pPr>
            <w:r>
              <w:rPr>
                <w:rFonts w:ascii="Arial" w:cs="Arial" w:eastAsia="Arial" w:hAnsi="Arial"/>
                <w:sz w:val="15"/>
                <w:szCs w:val="15"/>
                <w:color w:val="auto"/>
              </w:rPr>
              <w:t>David M. Tolley</w:t>
            </w:r>
            <w:r>
              <w:rPr>
                <w:rFonts w:ascii="Arial" w:cs="Arial" w:eastAsia="Arial" w:hAnsi="Arial"/>
                <w:sz w:val="22"/>
                <w:szCs w:val="22"/>
                <w:color w:val="auto"/>
                <w:vertAlign w:val="superscript"/>
              </w:rPr>
              <w:t>(4)(5)</w:t>
            </w:r>
          </w:p>
        </w:tc>
        <w:tc>
          <w:tcPr>
            <w:tcW w:w="120" w:type="dxa"/>
            <w:vAlign w:val="bottom"/>
            <w:tcBorders>
              <w:bottom w:val="single" w:sz="8" w:color="001544"/>
            </w:tcBorders>
            <w:shd w:val="clear" w:color="auto" w:fill="DBDFEA"/>
          </w:tcPr>
          <w:p>
            <w:pPr>
              <w:spacing w:after="0"/>
              <w:rPr>
                <w:sz w:val="19"/>
                <w:szCs w:val="19"/>
                <w:color w:val="auto"/>
              </w:rPr>
            </w:pPr>
          </w:p>
        </w:tc>
        <w:tc>
          <w:tcPr>
            <w:tcW w:w="15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32,536</w:t>
            </w:r>
          </w:p>
        </w:tc>
        <w:tc>
          <w:tcPr>
            <w:tcW w:w="12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9"/>
                <w:szCs w:val="19"/>
                <w:color w:val="auto"/>
              </w:rPr>
            </w:pP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9"/>
                <w:szCs w:val="19"/>
                <w:color w:val="auto"/>
              </w:rPr>
            </w:pPr>
          </w:p>
        </w:tc>
        <w:tc>
          <w:tcPr>
            <w:tcW w:w="1560" w:type="dxa"/>
            <w:vAlign w:val="bottom"/>
            <w:tcBorders>
              <w:bottom w:val="single" w:sz="8" w:color="001544"/>
            </w:tcBorders>
            <w:shd w:val="clear" w:color="auto" w:fill="DBDFEA"/>
          </w:tcPr>
          <w:p>
            <w:pPr>
              <w:ind w:left="13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r>
      <w:tr>
        <w:trPr>
          <w:trHeight w:val="181"/>
        </w:trPr>
        <w:tc>
          <w:tcPr>
            <w:tcW w:w="2100" w:type="dxa"/>
            <w:vAlign w:val="bottom"/>
            <w:shd w:val="clear" w:color="auto" w:fill="BFCDDC"/>
          </w:tcPr>
          <w:p>
            <w:pPr>
              <w:ind w:left="100"/>
              <w:spacing w:after="0"/>
              <w:rPr>
                <w:sz w:val="20"/>
                <w:szCs w:val="20"/>
                <w:color w:val="auto"/>
              </w:rPr>
            </w:pPr>
            <w:r>
              <w:rPr>
                <w:rFonts w:ascii="Arial" w:cs="Arial" w:eastAsia="Arial" w:hAnsi="Arial"/>
                <w:sz w:val="15"/>
                <w:szCs w:val="15"/>
                <w:color w:val="auto"/>
              </w:rPr>
              <w:t>All directors and executive</w:t>
            </w:r>
          </w:p>
        </w:tc>
        <w:tc>
          <w:tcPr>
            <w:tcW w:w="120" w:type="dxa"/>
            <w:vAlign w:val="bottom"/>
            <w:shd w:val="clear" w:color="auto" w:fill="BFCDDC"/>
          </w:tcPr>
          <w:p>
            <w:pPr>
              <w:spacing w:after="0"/>
              <w:rPr>
                <w:sz w:val="15"/>
                <w:szCs w:val="15"/>
                <w:color w:val="auto"/>
              </w:rPr>
            </w:pPr>
          </w:p>
        </w:tc>
        <w:tc>
          <w:tcPr>
            <w:tcW w:w="1560" w:type="dxa"/>
            <w:vAlign w:val="bottom"/>
            <w:shd w:val="clear" w:color="auto" w:fill="BFCDDC"/>
          </w:tcPr>
          <w:p>
            <w:pPr>
              <w:spacing w:after="0"/>
              <w:rPr>
                <w:sz w:val="15"/>
                <w:szCs w:val="15"/>
                <w:color w:val="auto"/>
              </w:rPr>
            </w:pPr>
          </w:p>
        </w:tc>
        <w:tc>
          <w:tcPr>
            <w:tcW w:w="1240" w:type="dxa"/>
            <w:vAlign w:val="bottom"/>
            <w:shd w:val="clear" w:color="auto" w:fill="BFCDDC"/>
          </w:tcPr>
          <w:p>
            <w:pPr>
              <w:spacing w:after="0"/>
              <w:rPr>
                <w:sz w:val="15"/>
                <w:szCs w:val="15"/>
                <w:color w:val="auto"/>
              </w:rPr>
            </w:pPr>
          </w:p>
        </w:tc>
        <w:tc>
          <w:tcPr>
            <w:tcW w:w="180" w:type="dxa"/>
            <w:vAlign w:val="bottom"/>
            <w:shd w:val="clear" w:color="auto" w:fill="BFCDDC"/>
          </w:tcPr>
          <w:p>
            <w:pPr>
              <w:spacing w:after="0"/>
              <w:rPr>
                <w:sz w:val="15"/>
                <w:szCs w:val="15"/>
                <w:color w:val="auto"/>
              </w:rPr>
            </w:pPr>
          </w:p>
        </w:tc>
        <w:tc>
          <w:tcPr>
            <w:tcW w:w="1420" w:type="dxa"/>
            <w:vAlign w:val="bottom"/>
            <w:shd w:val="clear" w:color="auto" w:fill="BFCDDC"/>
          </w:tcPr>
          <w:p>
            <w:pPr>
              <w:spacing w:after="0"/>
              <w:rPr>
                <w:sz w:val="15"/>
                <w:szCs w:val="15"/>
                <w:color w:val="auto"/>
              </w:rPr>
            </w:pPr>
          </w:p>
        </w:tc>
        <w:tc>
          <w:tcPr>
            <w:tcW w:w="180" w:type="dxa"/>
            <w:vAlign w:val="bottom"/>
            <w:shd w:val="clear" w:color="auto" w:fill="BFCDDC"/>
          </w:tcPr>
          <w:p>
            <w:pPr>
              <w:spacing w:after="0"/>
              <w:rPr>
                <w:sz w:val="15"/>
                <w:szCs w:val="15"/>
                <w:color w:val="auto"/>
              </w:rPr>
            </w:pPr>
          </w:p>
        </w:tc>
        <w:tc>
          <w:tcPr>
            <w:tcW w:w="1560" w:type="dxa"/>
            <w:vAlign w:val="bottom"/>
            <w:shd w:val="clear" w:color="auto" w:fill="BFCDDC"/>
          </w:tcPr>
          <w:p>
            <w:pPr>
              <w:spacing w:after="0"/>
              <w:rPr>
                <w:sz w:val="15"/>
                <w:szCs w:val="15"/>
                <w:color w:val="auto"/>
              </w:rPr>
            </w:pPr>
          </w:p>
        </w:tc>
        <w:tc>
          <w:tcPr>
            <w:tcW w:w="1100" w:type="dxa"/>
            <w:vAlign w:val="bottom"/>
            <w:shd w:val="clear" w:color="auto" w:fill="BFCDDC"/>
          </w:tcPr>
          <w:p>
            <w:pPr>
              <w:spacing w:after="0"/>
              <w:rPr>
                <w:sz w:val="15"/>
                <w:szCs w:val="15"/>
                <w:color w:val="auto"/>
              </w:rPr>
            </w:pPr>
          </w:p>
        </w:tc>
      </w:tr>
      <w:tr>
        <w:trPr>
          <w:trHeight w:val="164"/>
        </w:trPr>
        <w:tc>
          <w:tcPr>
            <w:tcW w:w="2100" w:type="dxa"/>
            <w:vAlign w:val="bottom"/>
            <w:shd w:val="clear" w:color="auto" w:fill="BFCDDC"/>
          </w:tcPr>
          <w:p>
            <w:pPr>
              <w:ind w:left="100"/>
              <w:spacing w:after="0" w:line="164" w:lineRule="exact"/>
              <w:rPr>
                <w:sz w:val="20"/>
                <w:szCs w:val="20"/>
                <w:color w:val="auto"/>
              </w:rPr>
            </w:pPr>
            <w:r>
              <w:rPr>
                <w:rFonts w:ascii="Arial" w:cs="Arial" w:eastAsia="Arial" w:hAnsi="Arial"/>
                <w:sz w:val="15"/>
                <w:szCs w:val="15"/>
                <w:color w:val="auto"/>
              </w:rPr>
              <w:t>officers as a group</w:t>
            </w:r>
          </w:p>
        </w:tc>
        <w:tc>
          <w:tcPr>
            <w:tcW w:w="120" w:type="dxa"/>
            <w:vAlign w:val="bottom"/>
            <w:shd w:val="clear" w:color="auto" w:fill="BFCDDC"/>
          </w:tcPr>
          <w:p>
            <w:pPr>
              <w:spacing w:after="0"/>
              <w:rPr>
                <w:sz w:val="14"/>
                <w:szCs w:val="14"/>
                <w:color w:val="auto"/>
              </w:rPr>
            </w:pPr>
          </w:p>
        </w:tc>
        <w:tc>
          <w:tcPr>
            <w:tcW w:w="1560" w:type="dxa"/>
            <w:vAlign w:val="bottom"/>
            <w:shd w:val="clear" w:color="auto" w:fill="BFCDDC"/>
          </w:tcPr>
          <w:p>
            <w:pPr>
              <w:spacing w:after="0"/>
              <w:rPr>
                <w:sz w:val="14"/>
                <w:szCs w:val="14"/>
                <w:color w:val="auto"/>
              </w:rPr>
            </w:pPr>
          </w:p>
        </w:tc>
        <w:tc>
          <w:tcPr>
            <w:tcW w:w="1240" w:type="dxa"/>
            <w:vAlign w:val="bottom"/>
            <w:shd w:val="clear" w:color="auto" w:fill="BFCDDC"/>
          </w:tcPr>
          <w:p>
            <w:pPr>
              <w:spacing w:after="0"/>
              <w:rPr>
                <w:sz w:val="14"/>
                <w:szCs w:val="14"/>
                <w:color w:val="auto"/>
              </w:rPr>
            </w:pPr>
          </w:p>
        </w:tc>
        <w:tc>
          <w:tcPr>
            <w:tcW w:w="180" w:type="dxa"/>
            <w:vAlign w:val="bottom"/>
            <w:shd w:val="clear" w:color="auto" w:fill="BFCDDC"/>
          </w:tcPr>
          <w:p>
            <w:pPr>
              <w:spacing w:after="0"/>
              <w:rPr>
                <w:sz w:val="14"/>
                <w:szCs w:val="14"/>
                <w:color w:val="auto"/>
              </w:rPr>
            </w:pPr>
          </w:p>
        </w:tc>
        <w:tc>
          <w:tcPr>
            <w:tcW w:w="1420" w:type="dxa"/>
            <w:vAlign w:val="bottom"/>
            <w:shd w:val="clear" w:color="auto" w:fill="BFCDDC"/>
          </w:tcPr>
          <w:p>
            <w:pPr>
              <w:spacing w:after="0"/>
              <w:rPr>
                <w:sz w:val="14"/>
                <w:szCs w:val="14"/>
                <w:color w:val="auto"/>
              </w:rPr>
            </w:pPr>
          </w:p>
        </w:tc>
        <w:tc>
          <w:tcPr>
            <w:tcW w:w="180" w:type="dxa"/>
            <w:vAlign w:val="bottom"/>
            <w:shd w:val="clear" w:color="auto" w:fill="BFCDDC"/>
          </w:tcPr>
          <w:p>
            <w:pPr>
              <w:spacing w:after="0"/>
              <w:rPr>
                <w:sz w:val="14"/>
                <w:szCs w:val="14"/>
                <w:color w:val="auto"/>
              </w:rPr>
            </w:pPr>
          </w:p>
        </w:tc>
        <w:tc>
          <w:tcPr>
            <w:tcW w:w="1560" w:type="dxa"/>
            <w:vAlign w:val="bottom"/>
            <w:shd w:val="clear" w:color="auto" w:fill="BFCDDC"/>
          </w:tcPr>
          <w:p>
            <w:pPr>
              <w:spacing w:after="0"/>
              <w:rPr>
                <w:sz w:val="14"/>
                <w:szCs w:val="14"/>
                <w:color w:val="auto"/>
              </w:rPr>
            </w:pPr>
          </w:p>
        </w:tc>
        <w:tc>
          <w:tcPr>
            <w:tcW w:w="1100" w:type="dxa"/>
            <w:vAlign w:val="bottom"/>
            <w:shd w:val="clear" w:color="auto" w:fill="BFCDDC"/>
          </w:tcPr>
          <w:p>
            <w:pPr>
              <w:spacing w:after="0"/>
              <w:rPr>
                <w:sz w:val="14"/>
                <w:szCs w:val="14"/>
                <w:color w:val="auto"/>
              </w:rPr>
            </w:pPr>
          </w:p>
        </w:tc>
      </w:tr>
      <w:tr>
        <w:trPr>
          <w:trHeight w:val="205"/>
        </w:trPr>
        <w:tc>
          <w:tcPr>
            <w:tcW w:w="2100" w:type="dxa"/>
            <w:vAlign w:val="bottom"/>
            <w:tcBorders>
              <w:bottom w:val="single" w:sz="8" w:color="BFCDDC"/>
            </w:tcBorders>
            <w:shd w:val="clear" w:color="auto" w:fill="BFCDDC"/>
          </w:tcPr>
          <w:p>
            <w:pPr>
              <w:ind w:left="100"/>
              <w:spacing w:after="0" w:line="201" w:lineRule="exact"/>
              <w:rPr>
                <w:sz w:val="20"/>
                <w:szCs w:val="20"/>
                <w:color w:val="auto"/>
              </w:rPr>
            </w:pPr>
            <w:r>
              <w:rPr>
                <w:rFonts w:ascii="Arial" w:cs="Arial" w:eastAsia="Arial" w:hAnsi="Arial"/>
                <w:sz w:val="15"/>
                <w:szCs w:val="15"/>
                <w:color w:val="auto"/>
              </w:rPr>
              <w:t>(13 persons)</w:t>
            </w:r>
            <w:r>
              <w:rPr>
                <w:rFonts w:ascii="Arial" w:cs="Arial" w:eastAsia="Arial" w:hAnsi="Arial"/>
                <w:sz w:val="22"/>
                <w:szCs w:val="22"/>
                <w:color w:val="auto"/>
                <w:vertAlign w:val="superscript"/>
              </w:rPr>
              <w:t>(6)</w:t>
            </w:r>
          </w:p>
        </w:tc>
        <w:tc>
          <w:tcPr>
            <w:tcW w:w="120" w:type="dxa"/>
            <w:vAlign w:val="bottom"/>
            <w:tcBorders>
              <w:bottom w:val="single" w:sz="8" w:color="BFCDDC"/>
            </w:tcBorders>
            <w:shd w:val="clear" w:color="auto" w:fill="BFCDDC"/>
          </w:tcPr>
          <w:p>
            <w:pPr>
              <w:spacing w:after="0"/>
              <w:rPr>
                <w:sz w:val="17"/>
                <w:szCs w:val="17"/>
                <w:color w:val="auto"/>
              </w:rPr>
            </w:pPr>
          </w:p>
        </w:tc>
        <w:tc>
          <w:tcPr>
            <w:tcW w:w="1560" w:type="dxa"/>
            <w:vAlign w:val="bottom"/>
            <w:tcBorders>
              <w:bottom w:val="single" w:sz="8" w:color="BFCDDC"/>
            </w:tcBorders>
            <w:shd w:val="clear" w:color="auto" w:fill="BFCDDC"/>
          </w:tcPr>
          <w:p>
            <w:pPr>
              <w:jc w:val="right"/>
              <w:spacing w:after="0"/>
              <w:rPr>
                <w:sz w:val="20"/>
                <w:szCs w:val="20"/>
                <w:color w:val="auto"/>
              </w:rPr>
            </w:pPr>
            <w:r>
              <w:rPr>
                <w:rFonts w:ascii="Arial" w:cs="Arial" w:eastAsia="Arial" w:hAnsi="Arial"/>
                <w:sz w:val="15"/>
                <w:szCs w:val="15"/>
                <w:color w:val="auto"/>
              </w:rPr>
              <w:t>6,372,698</w:t>
            </w:r>
          </w:p>
        </w:tc>
        <w:tc>
          <w:tcPr>
            <w:tcW w:w="1240" w:type="dxa"/>
            <w:vAlign w:val="bottom"/>
            <w:tcBorders>
              <w:bottom w:val="single" w:sz="8" w:color="BFCDDC"/>
            </w:tcBorders>
            <w:shd w:val="clear" w:color="auto" w:fill="BFCDDC"/>
          </w:tcPr>
          <w:p>
            <w:pPr>
              <w:jc w:val="right"/>
              <w:spacing w:after="0"/>
              <w:rPr>
                <w:sz w:val="20"/>
                <w:szCs w:val="20"/>
                <w:color w:val="auto"/>
              </w:rPr>
            </w:pPr>
            <w:r>
              <w:rPr>
                <w:rFonts w:ascii="Arial" w:cs="Arial" w:eastAsia="Arial" w:hAnsi="Arial"/>
                <w:sz w:val="15"/>
                <w:szCs w:val="15"/>
                <w:color w:val="auto"/>
              </w:rPr>
              <w:t>3.38%</w:t>
            </w:r>
          </w:p>
        </w:tc>
        <w:tc>
          <w:tcPr>
            <w:tcW w:w="1600" w:type="dxa"/>
            <w:vAlign w:val="bottom"/>
            <w:tcBorders>
              <w:bottom w:val="single" w:sz="8" w:color="BFCDDC"/>
            </w:tcBorders>
            <w:gridSpan w:val="2"/>
            <w:shd w:val="clear" w:color="auto" w:fill="BFCDDC"/>
          </w:tcPr>
          <w:p>
            <w:pPr>
              <w:jc w:val="right"/>
              <w:spacing w:after="0"/>
              <w:rPr>
                <w:sz w:val="20"/>
                <w:szCs w:val="20"/>
                <w:color w:val="auto"/>
              </w:rPr>
            </w:pPr>
            <w:r>
              <w:rPr>
                <w:rFonts w:ascii="Arial" w:cs="Arial" w:eastAsia="Arial" w:hAnsi="Arial"/>
                <w:sz w:val="15"/>
                <w:szCs w:val="15"/>
                <w:color w:val="auto"/>
              </w:rPr>
              <w:t>0.86%</w:t>
            </w:r>
          </w:p>
        </w:tc>
        <w:tc>
          <w:tcPr>
            <w:tcW w:w="180" w:type="dxa"/>
            <w:vAlign w:val="bottom"/>
            <w:tcBorders>
              <w:bottom w:val="single" w:sz="8" w:color="BFCDDC"/>
            </w:tcBorders>
            <w:shd w:val="clear" w:color="auto" w:fill="BFCDDC"/>
          </w:tcPr>
          <w:p>
            <w:pPr>
              <w:spacing w:after="0"/>
              <w:rPr>
                <w:sz w:val="17"/>
                <w:szCs w:val="17"/>
                <w:color w:val="auto"/>
              </w:rPr>
            </w:pPr>
          </w:p>
        </w:tc>
        <w:tc>
          <w:tcPr>
            <w:tcW w:w="1560" w:type="dxa"/>
            <w:vAlign w:val="bottom"/>
            <w:tcBorders>
              <w:bottom w:val="single" w:sz="8" w:color="BFCDDC"/>
            </w:tcBorders>
            <w:shd w:val="clear" w:color="auto" w:fill="BFCDDC"/>
          </w:tcPr>
          <w:p>
            <w:pPr>
              <w:ind w:left="13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BFCDDC"/>
            </w:tcBorders>
            <w:shd w:val="clear" w:color="auto" w:fill="BFCDDC"/>
          </w:tcPr>
          <w:p>
            <w:pPr>
              <w:ind w:left="900"/>
              <w:spacing w:after="0"/>
              <w:rPr>
                <w:sz w:val="20"/>
                <w:szCs w:val="20"/>
                <w:color w:val="auto"/>
              </w:rPr>
            </w:pPr>
            <w:r>
              <w:rPr>
                <w:rFonts w:ascii="Arial" w:cs="Arial" w:eastAsia="Arial" w:hAnsi="Arial"/>
                <w:sz w:val="15"/>
                <w:szCs w:val="15"/>
                <w:color w:val="auto"/>
              </w:rPr>
              <w:t>—</w:t>
            </w:r>
          </w:p>
        </w:tc>
      </w:tr>
      <w:tr>
        <w:trPr>
          <w:trHeight w:val="20"/>
        </w:trPr>
        <w:tc>
          <w:tcPr>
            <w:tcW w:w="2100" w:type="dxa"/>
            <w:vAlign w:val="bottom"/>
            <w:shd w:val="clear" w:color="auto" w:fill="001544"/>
          </w:tcPr>
          <w:p>
            <w:pPr>
              <w:spacing w:after="0" w:line="20" w:lineRule="exact"/>
              <w:rPr>
                <w:sz w:val="1"/>
                <w:szCs w:val="1"/>
                <w:color w:val="auto"/>
              </w:rPr>
            </w:pPr>
          </w:p>
        </w:tc>
        <w:tc>
          <w:tcPr>
            <w:tcW w:w="120" w:type="dxa"/>
            <w:vAlign w:val="bottom"/>
            <w:shd w:val="clear" w:color="auto" w:fill="001544"/>
          </w:tcPr>
          <w:p>
            <w:pPr>
              <w:spacing w:after="0" w:line="20" w:lineRule="exact"/>
              <w:rPr>
                <w:sz w:val="1"/>
                <w:szCs w:val="1"/>
                <w:color w:val="auto"/>
              </w:rPr>
            </w:pPr>
          </w:p>
        </w:tc>
        <w:tc>
          <w:tcPr>
            <w:tcW w:w="1560" w:type="dxa"/>
            <w:vAlign w:val="bottom"/>
            <w:shd w:val="clear" w:color="auto" w:fill="001544"/>
          </w:tcPr>
          <w:p>
            <w:pPr>
              <w:spacing w:after="0" w:line="20" w:lineRule="exact"/>
              <w:rPr>
                <w:sz w:val="1"/>
                <w:szCs w:val="1"/>
                <w:color w:val="auto"/>
              </w:rPr>
            </w:pPr>
          </w:p>
        </w:tc>
        <w:tc>
          <w:tcPr>
            <w:tcW w:w="1240" w:type="dxa"/>
            <w:vAlign w:val="bottom"/>
            <w:shd w:val="clear" w:color="auto" w:fill="001544"/>
          </w:tcPr>
          <w:p>
            <w:pPr>
              <w:spacing w:after="0" w:line="20" w:lineRule="exact"/>
              <w:rPr>
                <w:sz w:val="1"/>
                <w:szCs w:val="1"/>
                <w:color w:val="auto"/>
              </w:rPr>
            </w:pPr>
          </w:p>
        </w:tc>
        <w:tc>
          <w:tcPr>
            <w:tcW w:w="180" w:type="dxa"/>
            <w:vAlign w:val="bottom"/>
            <w:shd w:val="clear" w:color="auto" w:fill="001544"/>
          </w:tcPr>
          <w:p>
            <w:pPr>
              <w:spacing w:after="0" w:line="20" w:lineRule="exact"/>
              <w:rPr>
                <w:sz w:val="1"/>
                <w:szCs w:val="1"/>
                <w:color w:val="auto"/>
              </w:rPr>
            </w:pPr>
          </w:p>
        </w:tc>
        <w:tc>
          <w:tcPr>
            <w:tcW w:w="1420" w:type="dxa"/>
            <w:vAlign w:val="bottom"/>
            <w:shd w:val="clear" w:color="auto" w:fill="001544"/>
          </w:tcPr>
          <w:p>
            <w:pPr>
              <w:spacing w:after="0" w:line="20" w:lineRule="exact"/>
              <w:rPr>
                <w:sz w:val="1"/>
                <w:szCs w:val="1"/>
                <w:color w:val="auto"/>
              </w:rPr>
            </w:pPr>
          </w:p>
        </w:tc>
        <w:tc>
          <w:tcPr>
            <w:tcW w:w="180" w:type="dxa"/>
            <w:vAlign w:val="bottom"/>
            <w:shd w:val="clear" w:color="auto" w:fill="001544"/>
          </w:tcPr>
          <w:p>
            <w:pPr>
              <w:spacing w:after="0" w:line="20" w:lineRule="exact"/>
              <w:rPr>
                <w:sz w:val="1"/>
                <w:szCs w:val="1"/>
                <w:color w:val="auto"/>
              </w:rPr>
            </w:pPr>
          </w:p>
        </w:tc>
        <w:tc>
          <w:tcPr>
            <w:tcW w:w="1560" w:type="dxa"/>
            <w:vAlign w:val="bottom"/>
            <w:shd w:val="clear" w:color="auto" w:fill="001544"/>
          </w:tcPr>
          <w:p>
            <w:pPr>
              <w:spacing w:after="0" w:line="20" w:lineRule="exact"/>
              <w:rPr>
                <w:sz w:val="1"/>
                <w:szCs w:val="1"/>
                <w:color w:val="auto"/>
              </w:rPr>
            </w:pPr>
          </w:p>
        </w:tc>
        <w:tc>
          <w:tcPr>
            <w:tcW w:w="1100" w:type="dxa"/>
            <w:vAlign w:val="bottom"/>
            <w:shd w:val="clear" w:color="auto" w:fill="001544"/>
          </w:tcPr>
          <w:p>
            <w:pPr>
              <w:spacing w:after="0" w:line="20" w:lineRule="exact"/>
              <w:rPr>
                <w:sz w:val="1"/>
                <w:szCs w:val="1"/>
                <w:color w:val="auto"/>
              </w:rPr>
            </w:pPr>
          </w:p>
        </w:tc>
      </w:tr>
    </w:tbl>
    <w:p>
      <w:pPr>
        <w:spacing w:after="0" w:line="64" w:lineRule="exact"/>
        <w:rPr>
          <w:sz w:val="20"/>
          <w:szCs w:val="20"/>
          <w:color w:val="auto"/>
        </w:rPr>
      </w:pPr>
    </w:p>
    <w:p>
      <w:pPr>
        <w:ind w:left="300" w:hanging="293"/>
        <w:spacing w:after="0"/>
        <w:tabs>
          <w:tab w:leader="none" w:pos="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19" w:lineRule="exact"/>
        <w:rPr>
          <w:sz w:val="20"/>
          <w:szCs w:val="20"/>
          <w:color w:val="auto"/>
        </w:rPr>
      </w:pPr>
    </w:p>
    <w:p>
      <w:pPr>
        <w:ind w:left="340" w:right="520" w:hanging="333"/>
        <w:spacing w:after="0" w:line="280" w:lineRule="auto"/>
        <w:tabs>
          <w:tab w:leader="none" w:pos="34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address of each of beneficial owner is c/o DigitalBridge Group, Inc., 750 Park of Commerce Drive, Suite 210, Boca Raton, FL 33487.</w:t>
      </w:r>
    </w:p>
    <w:p>
      <w:pPr>
        <w:spacing w:after="0" w:line="200" w:lineRule="exact"/>
        <w:rPr>
          <w:sz w:val="20"/>
          <w:szCs w:val="20"/>
          <w:color w:val="auto"/>
        </w:rPr>
      </w:pPr>
    </w:p>
    <w:p>
      <w:pPr>
        <w:spacing w:after="0" w:line="22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4" w:lineRule="exact"/>
        <w:rPr>
          <w:sz w:val="20"/>
          <w:szCs w:val="20"/>
          <w:color w:val="auto"/>
        </w:rPr>
      </w:pPr>
    </w:p>
    <w:p>
      <w:pPr>
        <w:ind w:left="340" w:hanging="333"/>
        <w:spacing w:after="0" w:line="248" w:lineRule="auto"/>
        <w:tabs>
          <w:tab w:leader="none" w:pos="34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Beneficial ownership is determined in accordance with the rules of the SEC and generally includes voting or investment power with respect to securities. “Common Share Equivalents” includes (A) 176,117,082 shares of our Class A common stock and 149,571 shares of Class B common stock, in each case where (i) the investor actually owns beneficially or of record, (ii) over which the investor has or shares direct or indirect voting or dispositive control (such as in the capacity as a general partner of an investment fund); and (iii) over which the investor has the right to acquire direct or indirect voting or dispositive control within 60 days, (B) 172,444 deferred stock units held by certain of our non-executive directors, which will be automatically settled in shares of our Class A common stock following each such director’s departure from our Board, and (C) 11,923,371 OP units and LTIP units which may be redeemed for cash or, at our option, shares of Class A common stock, subject to certain conditions, and in accordance with the limited liability company agreement of our Operating Company, in each case, as of April 8, 2025. The percentages presented in the table are based on (i) 188,362,468 common share equivalents, (ii) 176,117,082 shares of our Class A common stock and (iii) 149,571 shares of Class B common stock outstanding, in each case, as of April 8, 2025.</w:t>
      </w:r>
    </w:p>
    <w:p>
      <w:pPr>
        <w:spacing w:after="0" w:line="37" w:lineRule="exact"/>
        <w:rPr>
          <w:rFonts w:ascii="Arial" w:cs="Arial" w:eastAsia="Arial" w:hAnsi="Arial"/>
          <w:sz w:val="15"/>
          <w:szCs w:val="15"/>
          <w:color w:val="auto"/>
        </w:rPr>
      </w:pPr>
    </w:p>
    <w:p>
      <w:pPr>
        <w:ind w:left="340" w:right="200" w:hanging="333"/>
        <w:spacing w:after="0" w:line="280" w:lineRule="auto"/>
        <w:tabs>
          <w:tab w:leader="none" w:pos="34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Includes shares of restricted Class A common stock subject to time-based vesting for Messrs. Ganzi, Jenkins, Mayrhofer, Goldschein, Stewart and Wu. Excludes restricted stock units subject to performance-based vesting.</w:t>
      </w:r>
    </w:p>
    <w:p>
      <w:pPr>
        <w:spacing w:after="0" w:line="24" w:lineRule="exact"/>
        <w:rPr>
          <w:rFonts w:ascii="Arial" w:cs="Arial" w:eastAsia="Arial" w:hAnsi="Arial"/>
          <w:sz w:val="15"/>
          <w:szCs w:val="15"/>
          <w:color w:val="auto"/>
        </w:rPr>
      </w:pPr>
    </w:p>
    <w:p>
      <w:pPr>
        <w:ind w:left="340" w:hanging="333"/>
        <w:spacing w:after="0"/>
        <w:tabs>
          <w:tab w:leader="none" w:pos="34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Includes deferred stock units as follows: Mr. Brown— 26,361; Ms. Curtin—106,018; and Mr. Rasheed— 39,499.</w:t>
      </w:r>
    </w:p>
    <w:p>
      <w:pPr>
        <w:spacing w:after="0" w:line="66" w:lineRule="exact"/>
        <w:rPr>
          <w:rFonts w:ascii="Arial" w:cs="Arial" w:eastAsia="Arial" w:hAnsi="Arial"/>
          <w:sz w:val="15"/>
          <w:szCs w:val="15"/>
          <w:color w:val="auto"/>
        </w:rPr>
      </w:pPr>
    </w:p>
    <w:p>
      <w:pPr>
        <w:ind w:left="340" w:right="160" w:hanging="333"/>
        <w:spacing w:after="0" w:line="280" w:lineRule="auto"/>
        <w:tabs>
          <w:tab w:leader="none" w:pos="34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Includes shares of restricted Class A common stock subject to time-based vesting for Messrs. Brown, McCray, Rasheed, Schapiro and Tolley and Mses. Curtin, Diefenderfer and Reiss.</w:t>
      </w:r>
    </w:p>
    <w:p>
      <w:pPr>
        <w:spacing w:after="0" w:line="12" w:lineRule="exact"/>
        <w:rPr>
          <w:rFonts w:ascii="Arial" w:cs="Arial" w:eastAsia="Arial" w:hAnsi="Arial"/>
          <w:sz w:val="15"/>
          <w:szCs w:val="15"/>
          <w:color w:val="auto"/>
        </w:rPr>
      </w:pPr>
    </w:p>
    <w:p>
      <w:pPr>
        <w:ind w:left="340" w:hanging="333"/>
        <w:spacing w:after="0"/>
        <w:tabs>
          <w:tab w:leader="none" w:pos="34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Includes our directors and executive officers as of April 8, 2025.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or directors owns any shares of our preferred stock.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40"/>
          </w:cols>
          <w:pgMar w:left="1200" w:top="487" w:right="125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3040"/>
        <w:spacing w:after="0"/>
        <w:rPr>
          <w:sz w:val="20"/>
          <w:szCs w:val="20"/>
          <w:color w:val="auto"/>
        </w:rPr>
      </w:pPr>
      <w:r>
        <w:rPr>
          <w:rFonts w:ascii="Arial" w:cs="Arial" w:eastAsia="Arial" w:hAnsi="Arial"/>
          <w:sz w:val="16"/>
          <w:szCs w:val="16"/>
          <w:color w:val="B1B4B6"/>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600900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64" w:lineRule="exact"/>
        <w:rPr>
          <w:sz w:val="20"/>
          <w:szCs w:val="20"/>
          <w:color w:val="auto"/>
        </w:rPr>
      </w:pPr>
    </w:p>
    <w:p>
      <w:pPr>
        <w:ind w:right="1020"/>
        <w:spacing w:after="0" w:line="255" w:lineRule="auto"/>
        <w:rPr>
          <w:sz w:val="20"/>
          <w:szCs w:val="20"/>
          <w:color w:val="auto"/>
        </w:rPr>
      </w:pPr>
      <w:r>
        <w:rPr>
          <w:rFonts w:ascii="Arial" w:cs="Arial" w:eastAsia="Arial" w:hAnsi="Arial"/>
          <w:sz w:val="35"/>
          <w:szCs w:val="35"/>
          <w:color w:val="001544"/>
        </w:rPr>
        <w:t>Ownership of Equity Securities of the Company by 5% Stockholders</w:t>
      </w:r>
    </w:p>
    <w:p>
      <w:pPr>
        <w:spacing w:after="0" w:line="126"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 following table sets forth how many shares of our Class A common stock are beneficially owned by each person known to us to be the beneficial owner of more than five percent (5%) of the outstanding shares of our Class A common stock, in each case, based solely on, and as of the date of, such person’s filing of a Schedule 13D or Schedule 13G with the SEC.</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20" w:type="dxa"/>
            <w:vAlign w:val="bottom"/>
            <w:gridSpan w:val="2"/>
          </w:tcPr>
          <w:p>
            <w:pPr>
              <w:jc w:val="right"/>
              <w:ind w:right="245"/>
              <w:spacing w:after="0"/>
              <w:rPr>
                <w:sz w:val="20"/>
                <w:szCs w:val="20"/>
                <w:color w:val="auto"/>
              </w:rPr>
            </w:pPr>
            <w:r>
              <w:rPr>
                <w:rFonts w:ascii="Arial" w:cs="Arial" w:eastAsia="Arial" w:hAnsi="Arial"/>
                <w:sz w:val="15"/>
                <w:szCs w:val="15"/>
                <w:b w:val="1"/>
                <w:bCs w:val="1"/>
                <w:color w:val="001544"/>
              </w:rPr>
              <w:t>Amount and Nature of Beneficial Ownership of</w:t>
            </w:r>
          </w:p>
        </w:tc>
        <w:tc>
          <w:tcPr>
            <w:tcW w:w="0" w:type="dxa"/>
            <w:vAlign w:val="bottom"/>
          </w:tcPr>
          <w:p>
            <w:pPr>
              <w:spacing w:after="0"/>
              <w:rPr>
                <w:sz w:val="1"/>
                <w:szCs w:val="1"/>
                <w:color w:val="auto"/>
              </w:rPr>
            </w:pPr>
          </w:p>
        </w:tc>
      </w:tr>
      <w:tr>
        <w:trPr>
          <w:trHeight w:val="188"/>
        </w:trPr>
        <w:tc>
          <w:tcPr>
            <w:tcW w:w="5400" w:type="dxa"/>
            <w:vAlign w:val="bottom"/>
            <w:vMerge w:val="restart"/>
          </w:tcPr>
          <w:p>
            <w:pPr>
              <w:ind w:left="100"/>
              <w:spacing w:after="0"/>
              <w:rPr>
                <w:sz w:val="20"/>
                <w:szCs w:val="20"/>
                <w:color w:val="auto"/>
              </w:rPr>
            </w:pPr>
            <w:r>
              <w:rPr>
                <w:rFonts w:ascii="Arial" w:cs="Arial" w:eastAsia="Arial" w:hAnsi="Arial"/>
                <w:sz w:val="15"/>
                <w:szCs w:val="15"/>
                <w:b w:val="1"/>
                <w:bCs w:val="1"/>
                <w:color w:val="001544"/>
              </w:rPr>
              <w:t>Name and Address of Beneficial Owner</w:t>
            </w:r>
          </w:p>
        </w:tc>
        <w:tc>
          <w:tcPr>
            <w:tcW w:w="240" w:type="dxa"/>
            <w:vAlign w:val="bottom"/>
          </w:tcPr>
          <w:p>
            <w:pPr>
              <w:spacing w:after="0"/>
              <w:rPr>
                <w:sz w:val="16"/>
                <w:szCs w:val="16"/>
                <w:color w:val="auto"/>
              </w:rPr>
            </w:pPr>
          </w:p>
        </w:tc>
        <w:tc>
          <w:tcPr>
            <w:tcW w:w="3820" w:type="dxa"/>
            <w:vAlign w:val="bottom"/>
            <w:tcBorders>
              <w:bottom w:val="single" w:sz="8" w:color="001544"/>
            </w:tcBorders>
            <w:gridSpan w:val="2"/>
          </w:tcPr>
          <w:p>
            <w:pPr>
              <w:jc w:val="right"/>
              <w:ind w:right="1065"/>
              <w:spacing w:after="0"/>
              <w:rPr>
                <w:sz w:val="20"/>
                <w:szCs w:val="20"/>
                <w:color w:val="auto"/>
              </w:rPr>
            </w:pPr>
            <w:r>
              <w:rPr>
                <w:rFonts w:ascii="Arial" w:cs="Arial" w:eastAsia="Arial" w:hAnsi="Arial"/>
                <w:sz w:val="15"/>
                <w:szCs w:val="15"/>
                <w:b w:val="1"/>
                <w:bCs w:val="1"/>
                <w:color w:val="001544"/>
              </w:rPr>
              <w:t>Class A Common Stock</w:t>
            </w:r>
          </w:p>
        </w:tc>
        <w:tc>
          <w:tcPr>
            <w:tcW w:w="0" w:type="dxa"/>
            <w:vAlign w:val="bottom"/>
          </w:tcPr>
          <w:p>
            <w:pPr>
              <w:spacing w:after="0"/>
              <w:rPr>
                <w:sz w:val="1"/>
                <w:szCs w:val="1"/>
                <w:color w:val="auto"/>
              </w:rPr>
            </w:pPr>
          </w:p>
        </w:tc>
      </w:tr>
      <w:tr>
        <w:trPr>
          <w:trHeight w:val="206"/>
        </w:trPr>
        <w:tc>
          <w:tcPr>
            <w:tcW w:w="5400" w:type="dxa"/>
            <w:vAlign w:val="bottom"/>
            <w:tcBorders>
              <w:bottom w:val="single" w:sz="8" w:color="001544"/>
            </w:tcBorders>
            <w:vMerge w:val="continue"/>
          </w:tcPr>
          <w:p>
            <w:pPr>
              <w:spacing w:after="0"/>
              <w:rPr>
                <w:sz w:val="17"/>
                <w:szCs w:val="17"/>
                <w:color w:val="auto"/>
              </w:rPr>
            </w:pPr>
          </w:p>
        </w:tc>
        <w:tc>
          <w:tcPr>
            <w:tcW w:w="240" w:type="dxa"/>
            <w:vAlign w:val="bottom"/>
            <w:tcBorders>
              <w:bottom w:val="single" w:sz="8" w:color="001544"/>
            </w:tcBorders>
          </w:tcPr>
          <w:p>
            <w:pPr>
              <w:spacing w:after="0"/>
              <w:rPr>
                <w:sz w:val="17"/>
                <w:szCs w:val="17"/>
                <w:color w:val="auto"/>
              </w:rPr>
            </w:pPr>
          </w:p>
        </w:tc>
        <w:tc>
          <w:tcPr>
            <w:tcW w:w="2000" w:type="dxa"/>
            <w:vAlign w:val="bottom"/>
            <w:tcBorders>
              <w:bottom w:val="single" w:sz="8" w:color="001544"/>
            </w:tcBorders>
          </w:tcPr>
          <w:p>
            <w:pPr>
              <w:jc w:val="right"/>
              <w:ind w:right="785"/>
              <w:spacing w:after="0"/>
              <w:rPr>
                <w:sz w:val="20"/>
                <w:szCs w:val="20"/>
                <w:color w:val="auto"/>
              </w:rPr>
            </w:pPr>
            <w:r>
              <w:rPr>
                <w:rFonts w:ascii="Arial" w:cs="Arial" w:eastAsia="Arial" w:hAnsi="Arial"/>
                <w:sz w:val="15"/>
                <w:szCs w:val="15"/>
                <w:b w:val="1"/>
                <w:bCs w:val="1"/>
                <w:color w:val="001544"/>
              </w:rPr>
              <w:t>Number</w:t>
            </w:r>
          </w:p>
        </w:tc>
        <w:tc>
          <w:tcPr>
            <w:tcW w:w="1820" w:type="dxa"/>
            <w:vAlign w:val="bottom"/>
            <w:tcBorders>
              <w:bottom w:val="single" w:sz="8" w:color="001544"/>
            </w:tcBorders>
          </w:tcPr>
          <w:p>
            <w:pPr>
              <w:jc w:val="right"/>
              <w:ind w:right="465"/>
              <w:spacing w:after="0" w:line="206" w:lineRule="exact"/>
              <w:rPr>
                <w:sz w:val="20"/>
                <w:szCs w:val="20"/>
                <w:color w:val="auto"/>
              </w:rPr>
            </w:pPr>
            <w:r>
              <w:rPr>
                <w:rFonts w:ascii="Arial" w:cs="Arial" w:eastAsia="Arial" w:hAnsi="Arial"/>
                <w:sz w:val="15"/>
                <w:szCs w:val="15"/>
                <w:b w:val="1"/>
                <w:bCs w:val="1"/>
                <w:color w:val="001544"/>
              </w:rPr>
              <w:t>Percentage</w:t>
            </w:r>
            <w:r>
              <w:rPr>
                <w:rFonts w:ascii="Arial" w:cs="Arial" w:eastAsia="Arial" w:hAnsi="Arial"/>
                <w:sz w:val="22"/>
                <w:szCs w:val="22"/>
                <w:b w:val="1"/>
                <w:bCs w:val="1"/>
                <w:color w:val="001544"/>
                <w:vertAlign w:val="superscript"/>
              </w:rPr>
              <w:t>(1)</w:t>
            </w:r>
          </w:p>
        </w:tc>
        <w:tc>
          <w:tcPr>
            <w:tcW w:w="0" w:type="dxa"/>
            <w:vAlign w:val="bottom"/>
          </w:tcPr>
          <w:p>
            <w:pPr>
              <w:spacing w:after="0"/>
              <w:rPr>
                <w:sz w:val="1"/>
                <w:szCs w:val="1"/>
                <w:color w:val="auto"/>
              </w:rPr>
            </w:pPr>
          </w:p>
        </w:tc>
      </w:tr>
      <w:tr>
        <w:trPr>
          <w:trHeight w:val="219"/>
        </w:trPr>
        <w:tc>
          <w:tcPr>
            <w:tcW w:w="5400" w:type="dxa"/>
            <w:vAlign w:val="bottom"/>
            <w:tcBorders>
              <w:bottom w:val="single" w:sz="8" w:color="001544"/>
            </w:tcBorders>
            <w:shd w:val="clear" w:color="auto" w:fill="DBDFEA"/>
          </w:tcPr>
          <w:p>
            <w:pPr>
              <w:ind w:left="100"/>
              <w:spacing w:after="0" w:line="219" w:lineRule="exact"/>
              <w:rPr>
                <w:sz w:val="20"/>
                <w:szCs w:val="20"/>
                <w:color w:val="auto"/>
              </w:rPr>
            </w:pPr>
            <w:r>
              <w:rPr>
                <w:rFonts w:ascii="Arial" w:cs="Arial" w:eastAsia="Arial" w:hAnsi="Arial"/>
                <w:sz w:val="15"/>
                <w:szCs w:val="15"/>
                <w:color w:val="auto"/>
              </w:rPr>
              <w:t>The Vanguard Group</w:t>
            </w:r>
            <w:r>
              <w:rPr>
                <w:rFonts w:ascii="Arial" w:cs="Arial" w:eastAsia="Arial" w:hAnsi="Arial"/>
                <w:sz w:val="22"/>
                <w:szCs w:val="22"/>
                <w:color w:val="auto"/>
                <w:vertAlign w:val="superscript"/>
              </w:rPr>
              <w:t>(2)</w:t>
            </w:r>
          </w:p>
        </w:tc>
        <w:tc>
          <w:tcPr>
            <w:tcW w:w="2240" w:type="dxa"/>
            <w:vAlign w:val="bottom"/>
            <w:tcBorders>
              <w:bottom w:val="single" w:sz="8" w:color="001544"/>
            </w:tcBorders>
            <w:gridSpan w:val="2"/>
            <w:shd w:val="clear" w:color="auto" w:fill="DBDFEA"/>
          </w:tcPr>
          <w:p>
            <w:pPr>
              <w:jc w:val="right"/>
              <w:ind w:right="265"/>
              <w:spacing w:after="0"/>
              <w:rPr>
                <w:sz w:val="20"/>
                <w:szCs w:val="20"/>
                <w:color w:val="auto"/>
              </w:rPr>
            </w:pPr>
            <w:r>
              <w:rPr>
                <w:rFonts w:ascii="Arial" w:cs="Arial" w:eastAsia="Arial" w:hAnsi="Arial"/>
                <w:sz w:val="15"/>
                <w:szCs w:val="15"/>
                <w:color w:val="auto"/>
              </w:rPr>
              <w:t>17,098,253</w:t>
            </w:r>
          </w:p>
        </w:tc>
        <w:tc>
          <w:tcPr>
            <w:tcW w:w="1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9.7 %</w:t>
            </w:r>
          </w:p>
        </w:tc>
        <w:tc>
          <w:tcPr>
            <w:tcW w:w="0" w:type="dxa"/>
            <w:vAlign w:val="bottom"/>
          </w:tcPr>
          <w:p>
            <w:pPr>
              <w:spacing w:after="0"/>
              <w:rPr>
                <w:sz w:val="1"/>
                <w:szCs w:val="1"/>
                <w:color w:val="auto"/>
              </w:rPr>
            </w:pPr>
          </w:p>
        </w:tc>
      </w:tr>
      <w:tr>
        <w:trPr>
          <w:trHeight w:val="219"/>
        </w:trPr>
        <w:tc>
          <w:tcPr>
            <w:tcW w:w="5400" w:type="dxa"/>
            <w:vAlign w:val="bottom"/>
            <w:tcBorders>
              <w:bottom w:val="single" w:sz="8" w:color="001544"/>
            </w:tcBorders>
            <w:shd w:val="clear" w:color="auto" w:fill="DBDFEA"/>
          </w:tcPr>
          <w:p>
            <w:pPr>
              <w:ind w:left="100"/>
              <w:spacing w:after="0" w:line="219" w:lineRule="exact"/>
              <w:rPr>
                <w:sz w:val="20"/>
                <w:szCs w:val="20"/>
                <w:color w:val="auto"/>
              </w:rPr>
            </w:pPr>
            <w:r>
              <w:rPr>
                <w:rFonts w:ascii="Arial" w:cs="Arial" w:eastAsia="Arial" w:hAnsi="Arial"/>
                <w:sz w:val="15"/>
                <w:szCs w:val="15"/>
                <w:color w:val="auto"/>
              </w:rPr>
              <w:t>Wafra Inc.</w:t>
            </w:r>
            <w:r>
              <w:rPr>
                <w:rFonts w:ascii="Arial" w:cs="Arial" w:eastAsia="Arial" w:hAnsi="Arial"/>
                <w:sz w:val="22"/>
                <w:szCs w:val="22"/>
                <w:color w:val="auto"/>
                <w:vertAlign w:val="superscript"/>
              </w:rPr>
              <w:t>(3)</w:t>
            </w:r>
          </w:p>
        </w:tc>
        <w:tc>
          <w:tcPr>
            <w:tcW w:w="240" w:type="dxa"/>
            <w:vAlign w:val="bottom"/>
            <w:tcBorders>
              <w:bottom w:val="single" w:sz="8" w:color="001544"/>
            </w:tcBorders>
            <w:shd w:val="clear" w:color="auto" w:fill="DBDFEA"/>
          </w:tcPr>
          <w:p>
            <w:pPr>
              <w:spacing w:after="0"/>
              <w:rPr>
                <w:sz w:val="19"/>
                <w:szCs w:val="19"/>
                <w:color w:val="auto"/>
              </w:rPr>
            </w:pPr>
          </w:p>
        </w:tc>
        <w:tc>
          <w:tcPr>
            <w:tcW w:w="2000" w:type="dxa"/>
            <w:vAlign w:val="bottom"/>
            <w:tcBorders>
              <w:bottom w:val="single" w:sz="8" w:color="001544"/>
            </w:tcBorders>
            <w:shd w:val="clear" w:color="auto" w:fill="DBDFEA"/>
          </w:tcPr>
          <w:p>
            <w:pPr>
              <w:jc w:val="right"/>
              <w:ind w:right="265"/>
              <w:spacing w:after="0"/>
              <w:rPr>
                <w:sz w:val="20"/>
                <w:szCs w:val="20"/>
                <w:color w:val="auto"/>
              </w:rPr>
            </w:pPr>
            <w:r>
              <w:rPr>
                <w:rFonts w:ascii="Arial" w:cs="Arial" w:eastAsia="Arial" w:hAnsi="Arial"/>
                <w:sz w:val="15"/>
                <w:szCs w:val="15"/>
                <w:color w:val="auto"/>
              </w:rPr>
              <w:t>17,111,399</w:t>
            </w:r>
          </w:p>
        </w:tc>
        <w:tc>
          <w:tcPr>
            <w:tcW w:w="1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9.7 %</w:t>
            </w:r>
          </w:p>
        </w:tc>
        <w:tc>
          <w:tcPr>
            <w:tcW w:w="0" w:type="dxa"/>
            <w:vAlign w:val="bottom"/>
          </w:tcPr>
          <w:p>
            <w:pPr>
              <w:spacing w:after="0"/>
              <w:rPr>
                <w:sz w:val="1"/>
                <w:szCs w:val="1"/>
                <w:color w:val="auto"/>
              </w:rPr>
            </w:pPr>
          </w:p>
        </w:tc>
      </w:tr>
      <w:tr>
        <w:trPr>
          <w:trHeight w:val="219"/>
        </w:trPr>
        <w:tc>
          <w:tcPr>
            <w:tcW w:w="5400" w:type="dxa"/>
            <w:vAlign w:val="bottom"/>
            <w:tcBorders>
              <w:bottom w:val="single" w:sz="8" w:color="001544"/>
            </w:tcBorders>
            <w:shd w:val="clear" w:color="auto" w:fill="DBDFEA"/>
          </w:tcPr>
          <w:p>
            <w:pPr>
              <w:ind w:left="100"/>
              <w:spacing w:after="0" w:line="219" w:lineRule="exact"/>
              <w:rPr>
                <w:sz w:val="20"/>
                <w:szCs w:val="20"/>
                <w:color w:val="auto"/>
              </w:rPr>
            </w:pPr>
            <w:r>
              <w:rPr>
                <w:rFonts w:ascii="Arial" w:cs="Arial" w:eastAsia="Arial" w:hAnsi="Arial"/>
                <w:sz w:val="15"/>
                <w:szCs w:val="15"/>
                <w:color w:val="auto"/>
              </w:rPr>
              <w:t>BlackRock, Inc.</w:t>
            </w:r>
            <w:r>
              <w:rPr>
                <w:rFonts w:ascii="Arial" w:cs="Arial" w:eastAsia="Arial" w:hAnsi="Arial"/>
                <w:sz w:val="22"/>
                <w:szCs w:val="22"/>
                <w:color w:val="auto"/>
                <w:vertAlign w:val="superscript"/>
              </w:rPr>
              <w:t>(4)</w:t>
            </w:r>
          </w:p>
        </w:tc>
        <w:tc>
          <w:tcPr>
            <w:tcW w:w="240" w:type="dxa"/>
            <w:vAlign w:val="bottom"/>
            <w:tcBorders>
              <w:bottom w:val="single" w:sz="8" w:color="001544"/>
            </w:tcBorders>
            <w:shd w:val="clear" w:color="auto" w:fill="DBDFEA"/>
          </w:tcPr>
          <w:p>
            <w:pPr>
              <w:spacing w:after="0"/>
              <w:rPr>
                <w:sz w:val="19"/>
                <w:szCs w:val="19"/>
                <w:color w:val="auto"/>
              </w:rPr>
            </w:pPr>
          </w:p>
        </w:tc>
        <w:tc>
          <w:tcPr>
            <w:tcW w:w="2000" w:type="dxa"/>
            <w:vAlign w:val="bottom"/>
            <w:tcBorders>
              <w:bottom w:val="single" w:sz="8" w:color="001544"/>
            </w:tcBorders>
            <w:shd w:val="clear" w:color="auto" w:fill="DBDFEA"/>
          </w:tcPr>
          <w:p>
            <w:pPr>
              <w:jc w:val="right"/>
              <w:ind w:right="265"/>
              <w:spacing w:after="0"/>
              <w:rPr>
                <w:sz w:val="20"/>
                <w:szCs w:val="20"/>
                <w:color w:val="auto"/>
              </w:rPr>
            </w:pPr>
            <w:r>
              <w:rPr>
                <w:rFonts w:ascii="Arial" w:cs="Arial" w:eastAsia="Arial" w:hAnsi="Arial"/>
                <w:sz w:val="15"/>
                <w:szCs w:val="15"/>
                <w:color w:val="auto"/>
              </w:rPr>
              <w:t>12,066,848</w:t>
            </w:r>
          </w:p>
        </w:tc>
        <w:tc>
          <w:tcPr>
            <w:tcW w:w="1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6.9 %</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00" w:hanging="293"/>
        <w:spacing w:after="0"/>
        <w:tabs>
          <w:tab w:leader="none" w:pos="30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The percentages presented in the table is based on 174,311,207 shares of our Class A common stock outstanding as of March 5, 2025.</w:t>
      </w:r>
    </w:p>
    <w:p>
      <w:pPr>
        <w:spacing w:after="0" w:line="66" w:lineRule="exact"/>
        <w:rPr>
          <w:rFonts w:ascii="Arial" w:cs="Arial" w:eastAsia="Arial" w:hAnsi="Arial"/>
          <w:sz w:val="15"/>
          <w:szCs w:val="15"/>
          <w:color w:val="auto"/>
        </w:rPr>
      </w:pPr>
    </w:p>
    <w:p>
      <w:pPr>
        <w:ind w:left="300" w:right="60" w:hanging="293"/>
        <w:spacing w:after="0" w:line="253" w:lineRule="auto"/>
        <w:tabs>
          <w:tab w:leader="none" w:pos="30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Based solely on information provided in a Schedule 13G/A filed on November 12, 2024, The Vanguard Group, Inc. has sole voting power with respect to 0 shares of our Class A common stock, sole dispositive power with respect to 16,754,591 shares of our Class A common stock, shared voting power with respect to 156,790 shares of our Class A common stock, and shared dispositive power with respect to 343,662 shares. The address of The Vanguard Group, Inc., as reported by it in the Schedule 13G/A, is 100 Vanguard Blvd., Malvern, PA 19355.</w:t>
      </w:r>
    </w:p>
    <w:p>
      <w:pPr>
        <w:spacing w:after="0" w:line="33" w:lineRule="exact"/>
        <w:rPr>
          <w:rFonts w:ascii="Arial" w:cs="Arial" w:eastAsia="Arial" w:hAnsi="Arial"/>
          <w:sz w:val="15"/>
          <w:szCs w:val="15"/>
          <w:color w:val="auto"/>
        </w:rPr>
      </w:pPr>
    </w:p>
    <w:p>
      <w:pPr>
        <w:ind w:left="300" w:right="60" w:hanging="293"/>
        <w:spacing w:after="0" w:line="252" w:lineRule="auto"/>
        <w:tabs>
          <w:tab w:leader="none" w:pos="30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Based on information provided in a Schedule 13G/A filed on November 29, 2022 and the Company’s warrant register, Wafra Strategic Holdings LP, WSH GP LLC, Wafra Inc. and Wafra Funds GP Inc. (the “Wafra Reporting Persons”), and The Public Institution of Social Security, a public pension plan that is indirectly owned and controlled by the government of the State of Kuwait (“PIFSS”), have sole voting and dispositive power with respect to 17,111,399 shares of our Class A common stock. The address of the Wafra Reporting Persons, as reported in the Schedule 13G/A, is 345 Park Avenue, 41st Floor New York, New York 10154-0101 and the address of PIFSS is AlMurqab, Al-Soor St, Ta’aminat Building, Kuwait City 13104 Kuwait.</w:t>
      </w:r>
    </w:p>
    <w:p>
      <w:pPr>
        <w:spacing w:after="0" w:line="44" w:lineRule="exact"/>
        <w:rPr>
          <w:rFonts w:ascii="Arial" w:cs="Arial" w:eastAsia="Arial" w:hAnsi="Arial"/>
          <w:sz w:val="15"/>
          <w:szCs w:val="15"/>
          <w:color w:val="auto"/>
        </w:rPr>
      </w:pPr>
    </w:p>
    <w:p>
      <w:pPr>
        <w:ind w:left="300" w:right="40" w:hanging="293"/>
        <w:spacing w:after="0" w:line="256" w:lineRule="auto"/>
        <w:tabs>
          <w:tab w:leader="none" w:pos="30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Based solely on information provided in a Schedule 13G/A filed on January 26, 2024, BlackRock, Inc. has sole voting power with respect to 11,709,083 shares of our Class A common stock, sole dispositive power with respect to 12,066,848 shares of our Class A common stock, shared voting power with respect to 0 shares of our Class A common stock, and shared dispositive power with respect to 0 shares. The address of BlackRock, Inc., as reported by it in the Schedule 13G/A, is 50 Hudson Yards, New York, NY 10001.</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158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40"/>
          <w:szCs w:val="40"/>
          <w:color w:val="auto"/>
        </w:rPr>
        <w:t>PROPOSAL NO. 3:</w:t>
      </w:r>
    </w:p>
    <w:p>
      <w:pPr>
        <w:spacing w:after="0" w:line="50" w:lineRule="exact"/>
        <w:rPr>
          <w:sz w:val="20"/>
          <w:szCs w:val="20"/>
          <w:color w:val="auto"/>
        </w:rPr>
      </w:pPr>
    </w:p>
    <w:p>
      <w:pPr>
        <w:ind w:right="260"/>
        <w:spacing w:after="0" w:line="258" w:lineRule="auto"/>
        <w:rPr>
          <w:sz w:val="20"/>
          <w:szCs w:val="20"/>
          <w:color w:val="auto"/>
        </w:rPr>
      </w:pPr>
      <w:r>
        <w:rPr>
          <w:rFonts w:ascii="Arial" w:cs="Arial" w:eastAsia="Arial" w:hAnsi="Arial"/>
          <w:sz w:val="45"/>
          <w:szCs w:val="45"/>
          <w:b w:val="1"/>
          <w:bCs w:val="1"/>
          <w:color w:val="auto"/>
        </w:rPr>
        <w:t>RATIFICATION OF APPOINTMENT OF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478790" cy="641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78790" cy="6413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both"/>
        <w:ind w:right="120"/>
        <w:spacing w:after="0" w:line="242" w:lineRule="auto"/>
        <w:rPr>
          <w:sz w:val="20"/>
          <w:szCs w:val="20"/>
          <w:color w:val="auto"/>
        </w:rPr>
      </w:pPr>
      <w:r>
        <w:rPr>
          <w:rFonts w:ascii="Arial" w:cs="Arial" w:eastAsia="Arial" w:hAnsi="Arial"/>
          <w:sz w:val="18"/>
          <w:szCs w:val="18"/>
          <w:color w:val="auto"/>
        </w:rPr>
        <w:t>The Audit Committee of our Board of Directors has appointed Ernst &amp; Young LLP as our independent registered public accounting firm for the fiscal year ending December 31, 2025. A representative of Ernst &amp; Young LLP is expected to be present at the 2025 Annual Meeting and will be available to respond to appropriate questions from our stockholders and will be given an opportunity to make a statement if he or she desires to do so.</w:t>
      </w:r>
    </w:p>
    <w:p>
      <w:pPr>
        <w:spacing w:after="0" w:line="17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Stockholder ratification of the selection of Ernst &amp; Young LLP as our independent registered public accounting firm is not required by our bylaws or otherwise. However, our Board is submitting the appointment of Ernst &amp; Young LLP to the stockholders for ratification as a matter of good corporate governance.</w:t>
      </w:r>
    </w:p>
    <w:p>
      <w:pPr>
        <w:spacing w:after="0" w:line="16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If this selection is not ratified by our stockholders, the Audit Committee may, but need not, reconsider its appointment and endorsement. Even if the selection is ratified, the Audit Committee in its discretion may direct the appointment of a different independent registered public accounting firm at any time during the year if it determines that such a change would be in the best interests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115570</wp:posOffset>
            </wp:positionV>
            <wp:extent cx="6009005" cy="4146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09005" cy="414655"/>
                    </a:xfrm>
                    <a:prstGeom prst="rect">
                      <a:avLst/>
                    </a:prstGeom>
                    <a:noFill/>
                  </pic:spPr>
                </pic:pic>
              </a:graphicData>
            </a:graphic>
          </wp:anchor>
        </w:drawing>
      </w:r>
    </w:p>
    <w:p>
      <w:pPr>
        <w:spacing w:after="0" w:line="249" w:lineRule="exact"/>
        <w:rPr>
          <w:sz w:val="20"/>
          <w:szCs w:val="20"/>
          <w:color w:val="auto"/>
        </w:rPr>
      </w:pPr>
    </w:p>
    <w:p>
      <w:pPr>
        <w:ind w:left="960" w:right="360"/>
        <w:spacing w:after="0" w:line="278" w:lineRule="auto"/>
        <w:rPr>
          <w:sz w:val="20"/>
          <w:szCs w:val="20"/>
          <w:color w:val="auto"/>
        </w:rPr>
      </w:pPr>
      <w:r>
        <w:rPr>
          <w:rFonts w:ascii="Arial" w:cs="Arial" w:eastAsia="Arial" w:hAnsi="Arial"/>
          <w:sz w:val="17"/>
          <w:szCs w:val="17"/>
          <w:color w:val="auto"/>
        </w:rPr>
        <w:t xml:space="preserve">Our Board of Directors Recommends a Vote </w:t>
      </w:r>
      <w:r>
        <w:rPr>
          <w:rFonts w:ascii="Arial" w:cs="Arial" w:eastAsia="Arial" w:hAnsi="Arial"/>
          <w:sz w:val="20"/>
          <w:szCs w:val="20"/>
          <w:color w:val="auto"/>
        </w:rPr>
        <w:t>“</w:t>
      </w:r>
      <w:r>
        <w:rPr>
          <w:rFonts w:ascii="Arial" w:cs="Arial" w:eastAsia="Arial" w:hAnsi="Arial"/>
          <w:sz w:val="20"/>
          <w:szCs w:val="20"/>
          <w:b w:val="1"/>
          <w:bCs w:val="1"/>
          <w:color w:val="008861"/>
        </w:rPr>
        <w:t>FOR</w:t>
      </w:r>
      <w:r>
        <w:rPr>
          <w:rFonts w:ascii="Arial" w:cs="Arial" w:eastAsia="Arial" w:hAnsi="Arial"/>
          <w:sz w:val="20"/>
          <w:szCs w:val="20"/>
          <w:color w:val="auto"/>
        </w:rPr>
        <w:t>”</w:t>
      </w:r>
      <w:r>
        <w:rPr>
          <w:rFonts w:ascii="Arial" w:cs="Arial" w:eastAsia="Arial" w:hAnsi="Arial"/>
          <w:sz w:val="17"/>
          <w:szCs w:val="17"/>
          <w:color w:val="auto"/>
        </w:rPr>
        <w:t xml:space="preserve"> Ratification of the Selection of Ernst &amp; Young LLP as our Independent Registered Public Accounting Firm for the fiscal year ending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158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ectPr>
          <w:pgSz w:w="11900" w:h="16838" w:orient="portrait"/>
          <w:cols w:equalWidth="0" w:num="1">
            <w:col w:w="9440"/>
          </w:cols>
          <w:pgMar w:left="1200" w:top="487" w:right="125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40"/>
          <w:szCs w:val="40"/>
          <w:color w:val="auto"/>
        </w:rPr>
        <w:t>AUDIT</w:t>
      </w:r>
    </w:p>
    <w:p>
      <w:pPr>
        <w:spacing w:after="0" w:line="50"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194945</wp:posOffset>
            </wp:positionV>
            <wp:extent cx="478790" cy="641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78790" cy="6413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Audit Committee is currently composed of Messrs. Brown, Rasheed, Schapiro and Tolley (Chairman) and Ms. Reiss. The members of the Audit Committee are appointed by and serve at the discretion of the Board of Directors. The Audit Committee operates under a written charter adopted by our Board of Directors.</w:t>
      </w:r>
    </w:p>
    <w:p>
      <w:pPr>
        <w:spacing w:after="0" w:line="14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One of the principal purposes of the Audit Committee is to assist the Board of Directors in the oversight of the integrity of the Company’s financial statements. The Company’s management team has the primary responsibility for the financial statements and the reporting process, including the system of internal controls and disclosure controls and procedures. In fulfilling its oversight responsibilities, the Audit Committee reviewed and discussed the audited financial statements in the Annual Report on Form 10-K for the fiscal year ended December 31, 2024 with our management.</w:t>
      </w:r>
    </w:p>
    <w:p>
      <w:pPr>
        <w:spacing w:after="0" w:line="15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Audit Committee also is responsible for assisting the Board of Directors in the oversight of the qualification, independence and performance of the Company’s independent auditors. The Audit Committee reviewed and discussed with the independent auditors, who are responsible for expressing an opinion on the conformity of those audited financial statements with generally accepted accounting principles, its judgments as to the quality, not just the acceptability, of the Company’s accounting principles and such other matters as are required to be discussed with the Audit Committee under generally accepted auditing standards and those matters required to be discussed by the applicable requirements of the Public Company Accounting Oversight Board Auditing and the SEC.</w:t>
      </w:r>
    </w:p>
    <w:p>
      <w:pPr>
        <w:spacing w:after="0" w:line="15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Audit Committee has received both the written disclosures and the letter from Ernst &amp; Young LLP required by applicable requirements of the Public Company Accounting Oversight Board regarding the independent accountant’s communications with the Audit Committee concerning independence, and has discussed with Ernst &amp; Young LLP its independence. In addition, the Audit Committee has considered whether the provision of non-audit services, and the fees charged for such non-audit services, by Ernst &amp; Young LLP are compatible with maintaining the independence of Ernst &amp; Young LLP from management and the Company.</w:t>
      </w:r>
    </w:p>
    <w:p>
      <w:pPr>
        <w:spacing w:after="0" w:line="151" w:lineRule="exact"/>
        <w:rPr>
          <w:sz w:val="20"/>
          <w:szCs w:val="20"/>
          <w:color w:val="auto"/>
        </w:rPr>
      </w:pPr>
    </w:p>
    <w:p>
      <w:pPr>
        <w:jc w:val="both"/>
        <w:ind w:right="280"/>
        <w:spacing w:after="0" w:line="247"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our audited financial statements for 2024 be included in our Annual Report on Form 10-K for the fiscal year ended December 31, 2024 for filing with the SEC.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139700</wp:posOffset>
            </wp:positionV>
            <wp:extent cx="6009005" cy="158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382"/>
        </w:trPr>
        <w:tc>
          <w:tcPr>
            <w:tcW w:w="1760" w:type="dxa"/>
            <w:vAlign w:val="bottom"/>
            <w:shd w:val="clear" w:color="auto" w:fill="DBDFEA"/>
          </w:tcPr>
          <w:p>
            <w:pPr>
              <w:ind w:left="140"/>
              <w:spacing w:after="0"/>
              <w:rPr>
                <w:sz w:val="20"/>
                <w:szCs w:val="20"/>
                <w:color w:val="auto"/>
              </w:rPr>
            </w:pPr>
            <w:r>
              <w:rPr>
                <w:rFonts w:ascii="Arial" w:cs="Arial" w:eastAsia="Arial" w:hAnsi="Arial"/>
                <w:sz w:val="16"/>
                <w:szCs w:val="16"/>
                <w:b w:val="1"/>
                <w:bCs w:val="1"/>
                <w:color w:val="001544"/>
              </w:rPr>
              <w:t>James Keith Brown</w:t>
            </w:r>
          </w:p>
        </w:tc>
        <w:tc>
          <w:tcPr>
            <w:tcW w:w="120" w:type="dxa"/>
            <w:vAlign w:val="bottom"/>
            <w:tcBorders>
              <w:right w:val="single" w:sz="8" w:color="008861"/>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shd w:val="clear" w:color="auto" w:fill="DBDFEA"/>
          </w:tcPr>
          <w:p>
            <w:pPr>
              <w:ind w:left="240"/>
              <w:spacing w:after="0"/>
              <w:rPr>
                <w:sz w:val="20"/>
                <w:szCs w:val="20"/>
                <w:color w:val="auto"/>
              </w:rPr>
            </w:pPr>
            <w:r>
              <w:rPr>
                <w:rFonts w:ascii="Arial" w:cs="Arial" w:eastAsia="Arial" w:hAnsi="Arial"/>
                <w:sz w:val="16"/>
                <w:szCs w:val="16"/>
                <w:b w:val="1"/>
                <w:bCs w:val="1"/>
                <w:color w:val="001544"/>
              </w:rPr>
              <w:t>Sháka Rasheed</w:t>
            </w:r>
          </w:p>
        </w:tc>
        <w:tc>
          <w:tcPr>
            <w:tcW w:w="140" w:type="dxa"/>
            <w:vAlign w:val="bottom"/>
            <w:tcBorders>
              <w:right w:val="single" w:sz="8" w:color="008861"/>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shd w:val="clear" w:color="auto" w:fill="DBDFEA"/>
          </w:tcPr>
          <w:p>
            <w:pPr>
              <w:jc w:val="center"/>
              <w:spacing w:after="0"/>
              <w:rPr>
                <w:sz w:val="20"/>
                <w:szCs w:val="20"/>
                <w:color w:val="auto"/>
              </w:rPr>
            </w:pPr>
            <w:r>
              <w:rPr>
                <w:rFonts w:ascii="Arial" w:cs="Arial" w:eastAsia="Arial" w:hAnsi="Arial"/>
                <w:sz w:val="16"/>
                <w:szCs w:val="16"/>
                <w:b w:val="1"/>
                <w:bCs w:val="1"/>
                <w:color w:val="001544"/>
                <w:w w:val="99"/>
              </w:rPr>
              <w:t>Dale Anne</w:t>
            </w:r>
          </w:p>
        </w:tc>
        <w:tc>
          <w:tcPr>
            <w:tcW w:w="140" w:type="dxa"/>
            <w:vAlign w:val="bottom"/>
            <w:tcBorders>
              <w:right w:val="single" w:sz="8" w:color="008861"/>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shd w:val="clear" w:color="auto" w:fill="DBDFEA"/>
          </w:tcPr>
          <w:p>
            <w:pPr>
              <w:ind w:left="360"/>
              <w:spacing w:after="0"/>
              <w:rPr>
                <w:sz w:val="20"/>
                <w:szCs w:val="20"/>
                <w:color w:val="auto"/>
              </w:rPr>
            </w:pPr>
            <w:r>
              <w:rPr>
                <w:rFonts w:ascii="Arial" w:cs="Arial" w:eastAsia="Arial" w:hAnsi="Arial"/>
                <w:sz w:val="16"/>
                <w:szCs w:val="16"/>
                <w:b w:val="1"/>
                <w:bCs w:val="1"/>
                <w:color w:val="001544"/>
              </w:rPr>
              <w:t>Ian Schapiro</w:t>
            </w:r>
          </w:p>
        </w:tc>
        <w:tc>
          <w:tcPr>
            <w:tcW w:w="140" w:type="dxa"/>
            <w:vAlign w:val="bottom"/>
            <w:tcBorders>
              <w:right w:val="single" w:sz="8" w:color="008861"/>
            </w:tcBorders>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shd w:val="clear" w:color="auto" w:fill="DBDFEA"/>
          </w:tcPr>
          <w:p>
            <w:pPr>
              <w:jc w:val="center"/>
              <w:spacing w:after="0"/>
              <w:rPr>
                <w:sz w:val="20"/>
                <w:szCs w:val="20"/>
                <w:color w:val="auto"/>
              </w:rPr>
            </w:pPr>
            <w:r>
              <w:rPr>
                <w:rFonts w:ascii="Arial" w:cs="Arial" w:eastAsia="Arial" w:hAnsi="Arial"/>
                <w:sz w:val="16"/>
                <w:szCs w:val="16"/>
                <w:b w:val="1"/>
                <w:bCs w:val="1"/>
                <w:color w:val="001544"/>
              </w:rPr>
              <w:t>David M.</w:t>
            </w:r>
          </w:p>
        </w:tc>
      </w:tr>
      <w:tr>
        <w:trPr>
          <w:trHeight w:val="221"/>
        </w:trPr>
        <w:tc>
          <w:tcPr>
            <w:tcW w:w="1760" w:type="dxa"/>
            <w:vAlign w:val="bottom"/>
            <w:shd w:val="clear" w:color="auto" w:fill="DBDFEA"/>
          </w:tcPr>
          <w:p>
            <w:pPr>
              <w:spacing w:after="0"/>
              <w:rPr>
                <w:sz w:val="19"/>
                <w:szCs w:val="19"/>
                <w:color w:val="auto"/>
              </w:rPr>
            </w:pPr>
          </w:p>
        </w:tc>
        <w:tc>
          <w:tcPr>
            <w:tcW w:w="120" w:type="dxa"/>
            <w:vAlign w:val="bottom"/>
            <w:tcBorders>
              <w:right w:val="single" w:sz="8" w:color="008861"/>
            </w:tcBorders>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shd w:val="clear" w:color="auto" w:fill="DBDFEA"/>
          </w:tcPr>
          <w:p>
            <w:pPr>
              <w:spacing w:after="0"/>
              <w:rPr>
                <w:sz w:val="19"/>
                <w:szCs w:val="19"/>
                <w:color w:val="auto"/>
              </w:rPr>
            </w:pPr>
          </w:p>
        </w:tc>
        <w:tc>
          <w:tcPr>
            <w:tcW w:w="140" w:type="dxa"/>
            <w:vAlign w:val="bottom"/>
            <w:tcBorders>
              <w:right w:val="single" w:sz="8" w:color="008861"/>
            </w:tcBorders>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shd w:val="clear" w:color="auto" w:fill="DBDFEA"/>
          </w:tcPr>
          <w:p>
            <w:pPr>
              <w:jc w:val="center"/>
              <w:spacing w:after="0"/>
              <w:rPr>
                <w:sz w:val="20"/>
                <w:szCs w:val="20"/>
                <w:color w:val="auto"/>
              </w:rPr>
            </w:pPr>
            <w:r>
              <w:rPr>
                <w:rFonts w:ascii="Arial" w:cs="Arial" w:eastAsia="Arial" w:hAnsi="Arial"/>
                <w:sz w:val="16"/>
                <w:szCs w:val="16"/>
                <w:b w:val="1"/>
                <w:bCs w:val="1"/>
                <w:color w:val="001544"/>
                <w:w w:val="98"/>
              </w:rPr>
              <w:t>Reiss</w:t>
            </w:r>
          </w:p>
        </w:tc>
        <w:tc>
          <w:tcPr>
            <w:tcW w:w="140" w:type="dxa"/>
            <w:vAlign w:val="bottom"/>
            <w:tcBorders>
              <w:right w:val="single" w:sz="8" w:color="008861"/>
            </w:tcBorders>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shd w:val="clear" w:color="auto" w:fill="DBDFEA"/>
          </w:tcPr>
          <w:p>
            <w:pPr>
              <w:spacing w:after="0"/>
              <w:rPr>
                <w:sz w:val="19"/>
                <w:szCs w:val="19"/>
                <w:color w:val="auto"/>
              </w:rPr>
            </w:pPr>
          </w:p>
        </w:tc>
        <w:tc>
          <w:tcPr>
            <w:tcW w:w="140" w:type="dxa"/>
            <w:vAlign w:val="bottom"/>
            <w:tcBorders>
              <w:right w:val="single" w:sz="8" w:color="008861"/>
            </w:tcBorders>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shd w:val="clear" w:color="auto" w:fill="DBDFEA"/>
          </w:tcPr>
          <w:p>
            <w:pPr>
              <w:jc w:val="center"/>
              <w:spacing w:after="0"/>
              <w:rPr>
                <w:sz w:val="20"/>
                <w:szCs w:val="20"/>
                <w:color w:val="auto"/>
              </w:rPr>
            </w:pPr>
            <w:r>
              <w:rPr>
                <w:rFonts w:ascii="Arial" w:cs="Arial" w:eastAsia="Arial" w:hAnsi="Arial"/>
                <w:sz w:val="16"/>
                <w:szCs w:val="16"/>
                <w:b w:val="1"/>
                <w:bCs w:val="1"/>
                <w:color w:val="001544"/>
                <w:w w:val="98"/>
              </w:rPr>
              <w:t xml:space="preserve">Tolley </w:t>
            </w:r>
            <w:r>
              <w:rPr>
                <w:rFonts w:ascii="Arial" w:cs="Arial" w:eastAsia="Arial" w:hAnsi="Arial"/>
                <w:sz w:val="16"/>
                <w:szCs w:val="16"/>
                <w:i w:val="1"/>
                <w:iCs w:val="1"/>
                <w:color w:val="000000"/>
                <w:w w:val="98"/>
              </w:rPr>
              <w:t>Chairperson</w:t>
            </w:r>
          </w:p>
        </w:tc>
      </w:tr>
      <w:tr>
        <w:trPr>
          <w:trHeight w:val="43"/>
        </w:trPr>
        <w:tc>
          <w:tcPr>
            <w:tcW w:w="1760" w:type="dxa"/>
            <w:vAlign w:val="bottom"/>
            <w:shd w:val="clear" w:color="auto" w:fill="DBDFEA"/>
          </w:tcPr>
          <w:p>
            <w:pPr>
              <w:spacing w:after="0"/>
              <w:rPr>
                <w:sz w:val="3"/>
                <w:szCs w:val="3"/>
                <w:color w:val="auto"/>
              </w:rPr>
            </w:pPr>
          </w:p>
        </w:tc>
        <w:tc>
          <w:tcPr>
            <w:tcW w:w="120" w:type="dxa"/>
            <w:vAlign w:val="bottom"/>
            <w:tcBorders>
              <w:right w:val="single" w:sz="8" w:color="008861"/>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shd w:val="clear" w:color="auto" w:fill="DBDFEA"/>
          </w:tcPr>
          <w:p>
            <w:pPr>
              <w:spacing w:after="0"/>
              <w:rPr>
                <w:sz w:val="3"/>
                <w:szCs w:val="3"/>
                <w:color w:val="auto"/>
              </w:rPr>
            </w:pPr>
          </w:p>
        </w:tc>
        <w:tc>
          <w:tcPr>
            <w:tcW w:w="140" w:type="dxa"/>
            <w:vAlign w:val="bottom"/>
            <w:tcBorders>
              <w:right w:val="single" w:sz="8" w:color="008861"/>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shd w:val="clear" w:color="auto" w:fill="DBDFEA"/>
          </w:tcPr>
          <w:p>
            <w:pPr>
              <w:spacing w:after="0"/>
              <w:rPr>
                <w:sz w:val="3"/>
                <w:szCs w:val="3"/>
                <w:color w:val="auto"/>
              </w:rPr>
            </w:pPr>
          </w:p>
        </w:tc>
        <w:tc>
          <w:tcPr>
            <w:tcW w:w="140" w:type="dxa"/>
            <w:vAlign w:val="bottom"/>
            <w:tcBorders>
              <w:right w:val="single" w:sz="8" w:color="008861"/>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shd w:val="clear" w:color="auto" w:fill="DBDFEA"/>
          </w:tcPr>
          <w:p>
            <w:pPr>
              <w:spacing w:after="0"/>
              <w:rPr>
                <w:sz w:val="3"/>
                <w:szCs w:val="3"/>
                <w:color w:val="auto"/>
              </w:rPr>
            </w:pPr>
          </w:p>
        </w:tc>
        <w:tc>
          <w:tcPr>
            <w:tcW w:w="140" w:type="dxa"/>
            <w:vAlign w:val="bottom"/>
            <w:tcBorders>
              <w:right w:val="single" w:sz="8" w:color="008861"/>
            </w:tcBorders>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shd w:val="clear" w:color="auto" w:fill="DBDFEA"/>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-996950</wp:posOffset>
            </wp:positionV>
            <wp:extent cx="670560" cy="670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0560" cy="67056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-996950</wp:posOffset>
            </wp:positionV>
            <wp:extent cx="694055" cy="6864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4055" cy="686435"/>
                    </a:xfrm>
                    <a:prstGeom prst="rect">
                      <a:avLst/>
                    </a:prstGeom>
                    <a:noFill/>
                  </pic:spPr>
                </pic:pic>
              </a:graphicData>
            </a:graphic>
          </wp:anchor>
        </w:drawing>
        <w:drawing>
          <wp:anchor simplePos="0" relativeHeight="251657728" behindDoc="1" locked="0" layoutInCell="0" allowOverlap="1">
            <wp:simplePos x="0" y="0"/>
            <wp:positionH relativeFrom="column">
              <wp:posOffset>2665095</wp:posOffset>
            </wp:positionH>
            <wp:positionV relativeFrom="paragraph">
              <wp:posOffset>-996950</wp:posOffset>
            </wp:positionV>
            <wp:extent cx="678180" cy="6864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8180" cy="686435"/>
                    </a:xfrm>
                    <a:prstGeom prst="rect">
                      <a:avLst/>
                    </a:prstGeom>
                    <a:noFill/>
                  </pic:spPr>
                </pic:pic>
              </a:graphicData>
            </a:graphic>
          </wp:anchor>
        </w:drawing>
        <w:drawing>
          <wp:anchor simplePos="0" relativeHeight="251657728" behindDoc="1" locked="0" layoutInCell="0" allowOverlap="1">
            <wp:simplePos x="0" y="0"/>
            <wp:positionH relativeFrom="column">
              <wp:posOffset>5107305</wp:posOffset>
            </wp:positionH>
            <wp:positionV relativeFrom="paragraph">
              <wp:posOffset>-996950</wp:posOffset>
            </wp:positionV>
            <wp:extent cx="694055" cy="6940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4055" cy="69405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-996950</wp:posOffset>
            </wp:positionV>
            <wp:extent cx="694055" cy="6940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 xml:space="preserve">DIGITALBRIDGE  2025 PROXY STATEMENT  </w:t>
      </w:r>
      <w:r>
        <w:rPr>
          <w:rFonts w:ascii="Arial" w:cs="Arial" w:eastAsia="Arial" w:hAnsi="Arial"/>
          <w:sz w:val="17"/>
          <w:szCs w:val="17"/>
          <w:color w:val="008861"/>
        </w:rPr>
        <w:t>|</w:t>
      </w:r>
      <w:r>
        <w:rPr>
          <w:rFonts w:ascii="Arial" w:cs="Arial" w:eastAsia="Arial" w:hAnsi="Arial"/>
          <w:sz w:val="17"/>
          <w:szCs w:val="17"/>
          <w:color w:val="auto"/>
        </w:rPr>
        <w:t xml:space="preserv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40"/>
          <w:szCs w:val="40"/>
          <w:color w:val="auto"/>
        </w:rPr>
        <w:t>INDEPENDENT REGISTERED</w:t>
      </w:r>
    </w:p>
    <w:p>
      <w:pPr>
        <w:spacing w:after="0" w:line="50"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PUBLIC ACCOUNTING FIRM’S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194945</wp:posOffset>
            </wp:positionV>
            <wp:extent cx="478790" cy="641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8790" cy="6413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Aggregate fees billed and expected to be billed by Ernst &amp; Young LLP for the fiscal years ended December 31, 2024 and 2023 were as follows: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7240" w:type="dxa"/>
            <w:vAlign w:val="bottom"/>
          </w:tcPr>
          <w:p>
            <w:pPr>
              <w:spacing w:after="0"/>
              <w:rPr>
                <w:sz w:val="15"/>
                <w:szCs w:val="15"/>
                <w:color w:val="auto"/>
              </w:rPr>
            </w:pPr>
          </w:p>
        </w:tc>
        <w:tc>
          <w:tcPr>
            <w:tcW w:w="1280" w:type="dxa"/>
            <w:vAlign w:val="bottom"/>
          </w:tcPr>
          <w:p>
            <w:pPr>
              <w:jc w:val="right"/>
              <w:ind w:right="385"/>
              <w:spacing w:after="0"/>
              <w:rPr>
                <w:sz w:val="20"/>
                <w:szCs w:val="20"/>
                <w:color w:val="auto"/>
              </w:rPr>
            </w:pPr>
            <w:r>
              <w:rPr>
                <w:rFonts w:ascii="Arial" w:cs="Arial" w:eastAsia="Arial" w:hAnsi="Arial"/>
                <w:sz w:val="15"/>
                <w:szCs w:val="15"/>
                <w:b w:val="1"/>
                <w:bCs w:val="1"/>
                <w:color w:val="001544"/>
              </w:rPr>
              <w:t>2024</w:t>
            </w:r>
          </w:p>
        </w:tc>
        <w:tc>
          <w:tcPr>
            <w:tcW w:w="940" w:type="dxa"/>
            <w:vAlign w:val="bottom"/>
          </w:tcPr>
          <w:p>
            <w:pPr>
              <w:jc w:val="right"/>
              <w:ind w:right="205"/>
              <w:spacing w:after="0"/>
              <w:rPr>
                <w:sz w:val="20"/>
                <w:szCs w:val="20"/>
                <w:color w:val="auto"/>
              </w:rPr>
            </w:pPr>
            <w:r>
              <w:rPr>
                <w:rFonts w:ascii="Arial" w:cs="Arial" w:eastAsia="Arial" w:hAnsi="Arial"/>
                <w:sz w:val="15"/>
                <w:szCs w:val="15"/>
                <w:b w:val="1"/>
                <w:bCs w:val="1"/>
                <w:color w:val="001544"/>
              </w:rPr>
              <w:t>2023</w:t>
            </w:r>
          </w:p>
        </w:tc>
      </w:tr>
      <w:tr>
        <w:trPr>
          <w:trHeight w:val="201"/>
        </w:trPr>
        <w:tc>
          <w:tcPr>
            <w:tcW w:w="7240" w:type="dxa"/>
            <w:vAlign w:val="bottom"/>
            <w:tcBorders>
              <w:bottom w:val="single" w:sz="8" w:color="001544"/>
            </w:tcBorders>
          </w:tcPr>
          <w:p>
            <w:pPr>
              <w:ind w:left="100"/>
              <w:spacing w:after="0"/>
              <w:rPr>
                <w:sz w:val="20"/>
                <w:szCs w:val="20"/>
                <w:color w:val="auto"/>
              </w:rPr>
            </w:pPr>
            <w:r>
              <w:rPr>
                <w:rFonts w:ascii="Arial" w:cs="Arial" w:eastAsia="Arial" w:hAnsi="Arial"/>
                <w:sz w:val="15"/>
                <w:szCs w:val="15"/>
                <w:b w:val="1"/>
                <w:bCs w:val="1"/>
                <w:color w:val="001544"/>
              </w:rPr>
              <w:t>Type of Fee</w:t>
            </w:r>
          </w:p>
        </w:tc>
        <w:tc>
          <w:tcPr>
            <w:tcW w:w="1280" w:type="dxa"/>
            <w:vAlign w:val="bottom"/>
            <w:tcBorders>
              <w:bottom w:val="single" w:sz="8" w:color="001544"/>
            </w:tcBorders>
          </w:tcPr>
          <w:p>
            <w:pPr>
              <w:jc w:val="right"/>
              <w:ind w:right="445"/>
              <w:spacing w:after="0"/>
              <w:rPr>
                <w:sz w:val="20"/>
                <w:szCs w:val="20"/>
                <w:color w:val="auto"/>
              </w:rPr>
            </w:pPr>
            <w:r>
              <w:rPr>
                <w:rFonts w:ascii="Arial" w:cs="Arial" w:eastAsia="Arial" w:hAnsi="Arial"/>
                <w:sz w:val="15"/>
                <w:szCs w:val="15"/>
                <w:b w:val="1"/>
                <w:bCs w:val="1"/>
                <w:color w:val="001544"/>
              </w:rPr>
              <w:t>($)</w:t>
            </w:r>
          </w:p>
        </w:tc>
        <w:tc>
          <w:tcPr>
            <w:tcW w:w="940" w:type="dxa"/>
            <w:vAlign w:val="bottom"/>
            <w:tcBorders>
              <w:bottom w:val="single" w:sz="8" w:color="001544"/>
            </w:tcBorders>
          </w:tcPr>
          <w:p>
            <w:pPr>
              <w:jc w:val="right"/>
              <w:ind w:right="285"/>
              <w:spacing w:after="0"/>
              <w:rPr>
                <w:sz w:val="20"/>
                <w:szCs w:val="20"/>
                <w:color w:val="auto"/>
              </w:rPr>
            </w:pPr>
            <w:r>
              <w:rPr>
                <w:rFonts w:ascii="Arial" w:cs="Arial" w:eastAsia="Arial" w:hAnsi="Arial"/>
                <w:sz w:val="15"/>
                <w:szCs w:val="15"/>
                <w:b w:val="1"/>
                <w:bCs w:val="1"/>
                <w:color w:val="001544"/>
              </w:rPr>
              <w:t>($)</w:t>
            </w:r>
          </w:p>
        </w:tc>
      </w:tr>
      <w:tr>
        <w:trPr>
          <w:trHeight w:val="181"/>
        </w:trPr>
        <w:tc>
          <w:tcPr>
            <w:tcW w:w="7240" w:type="dxa"/>
            <w:vAlign w:val="bottom"/>
            <w:tcBorders>
              <w:bottom w:val="single" w:sz="8" w:color="001544"/>
            </w:tcBorders>
            <w:shd w:val="clear" w:color="auto" w:fill="DBDFEA"/>
          </w:tcPr>
          <w:p>
            <w:pPr>
              <w:ind w:left="100"/>
              <w:spacing w:after="0" w:line="181" w:lineRule="exact"/>
              <w:rPr>
                <w:sz w:val="20"/>
                <w:szCs w:val="20"/>
                <w:color w:val="auto"/>
              </w:rPr>
            </w:pPr>
            <w:r>
              <w:rPr>
                <w:rFonts w:ascii="Arial" w:cs="Arial" w:eastAsia="Arial" w:hAnsi="Arial"/>
                <w:sz w:val="14"/>
                <w:szCs w:val="14"/>
                <w:color w:val="auto"/>
              </w:rPr>
              <w:t>Audit Fees</w:t>
            </w:r>
            <w:r>
              <w:rPr>
                <w:rFonts w:ascii="Arial" w:cs="Arial" w:eastAsia="Arial" w:hAnsi="Arial"/>
                <w:sz w:val="20"/>
                <w:szCs w:val="20"/>
                <w:color w:val="auto"/>
                <w:vertAlign w:val="superscript"/>
              </w:rPr>
              <w:t>(1)</w:t>
            </w:r>
          </w:p>
        </w:tc>
        <w:tc>
          <w:tcPr>
            <w:tcW w:w="1280" w:type="dxa"/>
            <w:vAlign w:val="bottom"/>
            <w:tcBorders>
              <w:bottom w:val="single" w:sz="8" w:color="001544"/>
            </w:tcBorders>
            <w:shd w:val="clear" w:color="auto" w:fill="DBDFEA"/>
          </w:tcPr>
          <w:p>
            <w:pPr>
              <w:jc w:val="right"/>
              <w:ind w:right="165"/>
              <w:spacing w:after="0"/>
              <w:rPr>
                <w:sz w:val="20"/>
                <w:szCs w:val="20"/>
                <w:color w:val="auto"/>
              </w:rPr>
            </w:pPr>
            <w:r>
              <w:rPr>
                <w:rFonts w:ascii="Arial" w:cs="Arial" w:eastAsia="Arial" w:hAnsi="Arial"/>
                <w:sz w:val="15"/>
                <w:szCs w:val="15"/>
                <w:color w:val="auto"/>
              </w:rPr>
              <w:t>2,454,561</w:t>
            </w:r>
          </w:p>
        </w:tc>
        <w:tc>
          <w:tcPr>
            <w:tcW w:w="9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2,905,407</w:t>
            </w:r>
          </w:p>
        </w:tc>
      </w:tr>
      <w:tr>
        <w:trPr>
          <w:trHeight w:val="219"/>
        </w:trPr>
        <w:tc>
          <w:tcPr>
            <w:tcW w:w="7240" w:type="dxa"/>
            <w:vAlign w:val="bottom"/>
            <w:tcBorders>
              <w:bottom w:val="single" w:sz="8" w:color="001544"/>
            </w:tcBorders>
            <w:shd w:val="clear" w:color="auto" w:fill="DBDFEA"/>
          </w:tcPr>
          <w:p>
            <w:pPr>
              <w:ind w:left="100"/>
              <w:spacing w:after="0" w:line="219" w:lineRule="exact"/>
              <w:rPr>
                <w:sz w:val="20"/>
                <w:szCs w:val="20"/>
                <w:color w:val="auto"/>
              </w:rPr>
            </w:pPr>
            <w:r>
              <w:rPr>
                <w:rFonts w:ascii="Arial" w:cs="Arial" w:eastAsia="Arial" w:hAnsi="Arial"/>
                <w:sz w:val="15"/>
                <w:szCs w:val="15"/>
                <w:color w:val="auto"/>
              </w:rPr>
              <w:t>Tax Fees</w:t>
            </w:r>
            <w:r>
              <w:rPr>
                <w:rFonts w:ascii="Arial" w:cs="Arial" w:eastAsia="Arial" w:hAnsi="Arial"/>
                <w:sz w:val="22"/>
                <w:szCs w:val="22"/>
                <w:color w:val="auto"/>
                <w:vertAlign w:val="superscript"/>
              </w:rPr>
              <w:t>(2)</w:t>
            </w:r>
          </w:p>
        </w:tc>
        <w:tc>
          <w:tcPr>
            <w:tcW w:w="1280" w:type="dxa"/>
            <w:vAlign w:val="bottom"/>
            <w:tcBorders>
              <w:bottom w:val="single" w:sz="8" w:color="001544"/>
            </w:tcBorders>
            <w:shd w:val="clear" w:color="auto" w:fill="DBDFEA"/>
          </w:tcPr>
          <w:p>
            <w:pPr>
              <w:jc w:val="right"/>
              <w:ind w:right="165"/>
              <w:spacing w:after="0"/>
              <w:rPr>
                <w:sz w:val="20"/>
                <w:szCs w:val="20"/>
                <w:color w:val="auto"/>
              </w:rPr>
            </w:pPr>
            <w:r>
              <w:rPr>
                <w:rFonts w:ascii="Arial" w:cs="Arial" w:eastAsia="Arial" w:hAnsi="Arial"/>
                <w:sz w:val="15"/>
                <w:szCs w:val="15"/>
                <w:color w:val="auto"/>
              </w:rPr>
              <w:t>66,938</w:t>
            </w:r>
          </w:p>
        </w:tc>
        <w:tc>
          <w:tcPr>
            <w:tcW w:w="9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1,161,017</w:t>
            </w:r>
          </w:p>
        </w:tc>
      </w:tr>
      <w:tr>
        <w:trPr>
          <w:trHeight w:val="211"/>
        </w:trPr>
        <w:tc>
          <w:tcPr>
            <w:tcW w:w="7240" w:type="dxa"/>
            <w:vAlign w:val="bottom"/>
            <w:tcBorders>
              <w:bottom w:val="single" w:sz="8" w:color="001544"/>
            </w:tcBorders>
            <w:shd w:val="clear" w:color="auto" w:fill="BFCDDC"/>
          </w:tcPr>
          <w:p>
            <w:pPr>
              <w:ind w:left="300"/>
              <w:spacing w:after="0"/>
              <w:rPr>
                <w:sz w:val="20"/>
                <w:szCs w:val="20"/>
                <w:color w:val="auto"/>
              </w:rPr>
            </w:pPr>
            <w:r>
              <w:rPr>
                <w:rFonts w:ascii="Arial" w:cs="Arial" w:eastAsia="Arial" w:hAnsi="Arial"/>
                <w:sz w:val="15"/>
                <w:szCs w:val="15"/>
                <w:color w:val="auto"/>
              </w:rPr>
              <w:t>Total</w:t>
            </w:r>
          </w:p>
        </w:tc>
        <w:tc>
          <w:tcPr>
            <w:tcW w:w="1280" w:type="dxa"/>
            <w:vAlign w:val="bottom"/>
            <w:tcBorders>
              <w:bottom w:val="single" w:sz="8" w:color="001544"/>
            </w:tcBorders>
            <w:shd w:val="clear" w:color="auto" w:fill="BFCDDC"/>
          </w:tcPr>
          <w:p>
            <w:pPr>
              <w:jc w:val="right"/>
              <w:ind w:right="165"/>
              <w:spacing w:after="0"/>
              <w:rPr>
                <w:sz w:val="20"/>
                <w:szCs w:val="20"/>
                <w:color w:val="auto"/>
              </w:rPr>
            </w:pPr>
            <w:r>
              <w:rPr>
                <w:rFonts w:ascii="Arial" w:cs="Arial" w:eastAsia="Arial" w:hAnsi="Arial"/>
                <w:sz w:val="15"/>
                <w:szCs w:val="15"/>
                <w:color w:val="auto"/>
              </w:rPr>
              <w:t>2,521,500</w:t>
            </w:r>
          </w:p>
        </w:tc>
        <w:tc>
          <w:tcPr>
            <w:tcW w:w="94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4,066,424</w:t>
            </w:r>
          </w:p>
        </w:tc>
      </w:tr>
    </w:tbl>
    <w:p>
      <w:pPr>
        <w:spacing w:after="0" w:line="63" w:lineRule="exact"/>
        <w:rPr>
          <w:sz w:val="20"/>
          <w:szCs w:val="20"/>
          <w:color w:val="auto"/>
        </w:rPr>
      </w:pPr>
    </w:p>
    <w:p>
      <w:pPr>
        <w:ind w:left="300" w:right="80" w:hanging="293"/>
        <w:spacing w:after="0" w:line="253" w:lineRule="auto"/>
        <w:tabs>
          <w:tab w:leader="none" w:pos="30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Fees for audit services for the fiscal years ended December 31, 2024 and 2023 include fees associated with the annual audits for such years, for both the Company and those audits required by statute or regulation, including the audit of the Company’s internal control over financial reporting, the quarterly review of the financial statements included in the Company’s quarterly reports on Form 10-Q, consultations with the Company’s management on technical accounting and regulatory issues and services provided for assistance with and review of other regulatory filings.</w:t>
      </w:r>
    </w:p>
    <w:p>
      <w:pPr>
        <w:spacing w:after="0" w:line="33" w:lineRule="exact"/>
        <w:rPr>
          <w:rFonts w:ascii="Arial" w:cs="Arial" w:eastAsia="Arial" w:hAnsi="Arial"/>
          <w:sz w:val="15"/>
          <w:szCs w:val="15"/>
          <w:color w:val="auto"/>
        </w:rPr>
      </w:pPr>
    </w:p>
    <w:p>
      <w:pPr>
        <w:ind w:left="300" w:right="140" w:hanging="293"/>
        <w:spacing w:after="0" w:line="262" w:lineRule="auto"/>
        <w:tabs>
          <w:tab w:leader="none" w:pos="30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Tax fees represent fees and expenses related to the review and assistance with the preparation of tax returns, tax consulting and structuring, and general federal, state and foreign tax consulting. Tax compliance fees comprise $0.1 million and $0.6 million of this total for the years ended December 31, 2024 and 2023,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35"/>
          <w:szCs w:val="35"/>
          <w:color w:val="001544"/>
        </w:rPr>
        <w:t>Audit Committee Pre-Approval Policy</w:t>
      </w:r>
    </w:p>
    <w:p>
      <w:pPr>
        <w:spacing w:after="0" w:line="20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Audit Committee’s policy is to review and pre-approve, either pursuant to the Audit Committee’s Audit and Non-Audit Services Pre-Approval Policy or through a separate pre-approval by the Audit Committee, any engagement of the Company’s independent auditor to provide any audit or permissible non-audit service to the Company. Pursuant to the Audit and Non-Audit Services Pre-Approval Policy, which will be reviewed and reassessed annually by the Audit Committee, a list of specific services within certain categories of services, including audit, audit-related, tax and other services, are specifically pre-approved for the upcoming or current fiscal year, subject to an aggregate maximum annual fee payable by the Company for each category of pre-approved services. Any service that is not included in the approved list of services must be separately pre-approved by the Audit Committee. In addition, all audit and permissible non-audit services in excess of the pre-approved fee level, whether or not included on the pre-approved list of services, must be separately pre-approved by the Audit Committee. The Audit Committee has delegated authority to its chairperson to specifically pre-approve engagements for the performance of audit and permissible non-audit services, provided that the estimated cost for such services shall not exceed $250,000. The chairperson must report all pre-approval decisions to the Audit Committee at its next scheduled meeting and provide a description of the terms of the engagement, including</w:t>
      </w:r>
    </w:p>
    <w:p>
      <w:pPr>
        <w:spacing w:after="0" w:line="183" w:lineRule="exact"/>
        <w:rPr>
          <w:sz w:val="20"/>
          <w:szCs w:val="20"/>
          <w:color w:val="auto"/>
        </w:rPr>
      </w:pPr>
    </w:p>
    <w:p>
      <w:pPr>
        <w:ind w:right="40" w:firstLine="7"/>
        <w:spacing w:after="0" w:line="237" w:lineRule="auto"/>
        <w:tabs>
          <w:tab w:leader="none" w:pos="2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type of services covered by the engagement, (2) the dates the engagement is scheduled to commence and terminate, (3) the estimated fees payable by the Company pursuant to the engagement, (4) other material terms of the engagement, and (5) such other information as the Audit Committee may request. All of the audit fees shown above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4820"/>
        <w:spacing w:after="0"/>
        <w:rPr>
          <w:sz w:val="20"/>
          <w:szCs w:val="20"/>
          <w:color w:val="auto"/>
        </w:rPr>
      </w:pPr>
      <w:r>
        <w:rPr>
          <w:rFonts w:ascii="Arial" w:cs="Arial" w:eastAsia="Arial" w:hAnsi="Arial"/>
          <w:sz w:val="16"/>
          <w:szCs w:val="16"/>
          <w:color w:val="B1B4B6"/>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600900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40"/>
          <w:szCs w:val="40"/>
          <w:color w:val="auto"/>
        </w:rPr>
        <w:t>CERTAIN RELATIONSHIPS</w:t>
      </w:r>
    </w:p>
    <w:p>
      <w:pPr>
        <w:spacing w:after="0" w:line="50"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202565</wp:posOffset>
            </wp:positionV>
            <wp:extent cx="478790" cy="641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78790" cy="6413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35"/>
          <w:szCs w:val="35"/>
          <w:color w:val="001544"/>
        </w:rPr>
        <w:t>Policy for Review of Related Party Transactions</w:t>
      </w:r>
    </w:p>
    <w:p>
      <w:pPr>
        <w:spacing w:after="0" w:line="202"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Our Board of Directors has adopted a written Related Party Transaction Policy in order to ensure that related party transactions are properly reviewed and fully disclosed in accordance with the rules and regulations of the SEC and NYSE. All related party transactions, including transactions between us and any executive officer, director, director nominee or more than 5% stockholder of the Company, or any of their immediate family members, where the amount involved exceeds $120,000 and in which such related person has a direct or indirect material interest, must be approved or ratified by either our Audit Committee or a majority of the disinterested members of our Board of Directors. For purposes of the policy, a related party transaction does not include any co-investments made by and between the Company (or its subsidiaries) and one or more investment vehicles formed, sponsored and managed by the Company or its subsidiaries, regardless of when such co-investment is made, or any transactions related to any such co-investment. As a general rule, all related party transactions should be on terms reasonably comparable to those that could be obtained by the Company in arm’s length dealings with an unrelated third party; however, in such cases where it may be impractical or unnecessary to make such a comparison, the Audit Committee or a majority of the disinterested members of the Board may approve any such transaction at their discretion in accordance with the Related Party Transaction Policy.</w:t>
      </w:r>
    </w:p>
    <w:p>
      <w:pPr>
        <w:spacing w:after="0" w:line="179"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Pursuant to our Audit Committee’s charter, in addition to conducting a review of all related party transactions in accordance with the Related Party Transaction Policy, the Audit Committee must review the Related Party Transaction Policy periodically and reports the results of such reviews to Board.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Investment in Managed Investment Vehicles</w:t>
      </w:r>
    </w:p>
    <w:p>
      <w:pPr>
        <w:spacing w:after="0" w:line="21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Subject to the Company’s related party policies and procedures, senior management, investment professionals and certain other employees may invest on a discretionary basis in investment vehicles sponsored by the Company, either directly in the vehicle or indirectly through the general partner entity. These investments are generally not subject to management fees, carried interest or performance fees, but otherwise bear their proportionate share of other operating expenses of the investment vehicles. Since January 1, 2024, our executive officers (and, in some cases, certain investment trusts or other vehicles or charitable organizations controlled by them or their immediate family members) had the following gross contributions relating to their personal investments (and the investments of any such trusts) in Company sponsored investment vehicles and general partner entities: Messrs. Ganzi, Jenkins, Stewart and Goldschein made gross contributions of $4.0 million, $2.9 million, $0.1 million and $0.1 million, respectively. During the same period, our executive officers (and, in some cases, certain investment trusts or other vehicles or charitable organizations controlled by them or their immediate family members) received the following distributions relating to their personal investments (and the investments of any such trusts) in Company sponsored investment vehicles and general partner entities: Messrs. Ganzi, Jenkins, Stewart and Goldschein received distributions of $2.7 million, $2.2 million, and $0.1 million, respectively.</w:t>
      </w:r>
    </w:p>
    <w:p>
      <w:pPr>
        <w:spacing w:after="0" w:line="200" w:lineRule="exact"/>
        <w:rPr>
          <w:sz w:val="20"/>
          <w:szCs w:val="20"/>
          <w:color w:val="auto"/>
        </w:rPr>
      </w:pPr>
    </w:p>
    <w:p>
      <w:pPr>
        <w:spacing w:after="0" w:line="37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Aircraft Reimbursement</w:t>
      </w:r>
    </w:p>
    <w:p>
      <w:pPr>
        <w:spacing w:after="0" w:line="21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November 2020, the Board determined that the Company will provide reimbursement to Mr. Ganzi for certain defined fixed costs of any aircraft owned by Mr. Ganzi. The fixed cost reimbursements are made based on an allocable portion of an aircraft’s annual budgeted cash fixed operating costs, based on the number of hours the aircraft is used for business purposes. At least once a year, the Company reconciles the budgeted fixed operating costs with the actual fixed operating costs of the aircraft, and the Company or Mr. Ganzi, as applicable, makes a true-up payment for any difference. The fixed cost reimbursement are in addition to the Company’s reimbursement of certain variable operational costs of business travel on a chartered or private jet, as provided in Mr. Ganzi’s employment agreement. Pursuant to these arrangements, the Company reimbursed Mr. Ganzi $1,603,386 for personal private aircraft usage in 2024 and made payments of $6,652,077 to Mr. Ganzi for the use of such aircraft by Mr. Ganzi and other of our personnel for business purposes.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Consulting Agreement</w:t>
      </w:r>
    </w:p>
    <w:p>
      <w:pPr>
        <w:spacing w:after="0" w:line="218"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On June 30, 2024, a subsidiary of the Company entered into a consulting agreement with Jacky Wu, the Company’s former Executive Vice President, Chief Financial Officer and Treasurer, pursuant to which Mr. Wu provided certain advisory services to the Company through December 31, 2024. The terms of the consulting agreement were consistent with those provided in Mr. Wu's Final Employment Agreement (see “Employment Agreements with Other Named Executive Officers—Jacky Wu”), and Mr. Wu received $360,000 in fees for his services pursuant to the agreement.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70 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40"/>
          <w:szCs w:val="40"/>
          <w:color w:val="auto"/>
        </w:rPr>
        <w:t>FREQUENTLY ASKED</w:t>
      </w:r>
    </w:p>
    <w:p>
      <w:pPr>
        <w:spacing w:after="0" w:line="50"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194945</wp:posOffset>
            </wp:positionV>
            <wp:extent cx="478790" cy="641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78790" cy="6413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right="80"/>
        <w:spacing w:after="0" w:line="255" w:lineRule="auto"/>
        <w:rPr>
          <w:sz w:val="20"/>
          <w:szCs w:val="20"/>
          <w:color w:val="auto"/>
        </w:rPr>
      </w:pPr>
      <w:r>
        <w:rPr>
          <w:rFonts w:ascii="Arial" w:cs="Arial" w:eastAsia="Arial" w:hAnsi="Arial"/>
          <w:sz w:val="35"/>
          <w:szCs w:val="35"/>
          <w:color w:val="001544"/>
        </w:rPr>
        <w:t>Questions and Answers about the 2025 Annual Meeting and Voting</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What is a proxy?</w:t>
      </w:r>
    </w:p>
    <w:p>
      <w:pPr>
        <w:spacing w:after="0" w:line="21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 proxy is your legal designation of another person to vote on your behalf. By completing and returning the enclosed proxy card, you are giving each of the persons named in the proxy card, Thomas Mayrhofer and Geoffrey Goldschein, the authority to vote your shares in the manner you indicate on your proxy card. If you sign and return a proxy card without indicating how you want your shares to be voted, the persons named as proxies will vote your shares in accordance with the Board’s recommendations on each proposal.</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Who is qualified to vote?</w:t>
      </w:r>
    </w:p>
    <w:p>
      <w:pPr>
        <w:spacing w:after="0" w:line="211"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You are qualified to vote on all matters presented to the stockholders at the meeting if you own shares of our Class A common stock, par value $0.01 per share, or our Class B common stock, par value $0.01 per share, at the close of business on April 7, 2025, the record date for the 2025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How many shares may vote at the meeting?</w:t>
      </w:r>
    </w:p>
    <w:p>
      <w:pPr>
        <w:spacing w:after="0" w:line="21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On April 7, 2025, there were approximately 176,129,352 shares of Class A common stock outstanding and eligible to vote and 149,571 shares of Class B common stock outstanding and eligible to vote. Each Class A common share is entitled to one vote and each Class B common share is entitled to 36.5 votes. As a result, we expect that a total of 187,048,035 votes will be entitled to be cast (which we refer to in this Proxy Statement as the “voting shares”) on all matters presented to stockholders at the meeting.</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How many shares must be present to hold the meeting?</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presence at the 2025 Annual Meeting in person or by proxy of stockholders entitled to cast a majority of all the votes entitled to be cast at the meeting will constitute a quorum for the transaction of business. Abstentions and broker non-votes, if any, will be counted as present at the meeting for the purpose of determining a quorum. A broker non-vote occurs with respect to a proposal when a broker, trustee, or other nominee has discretionary authority to vote on one or more proposals to be voted on at a meeting of stockholders but is not permitted to vote on other proposals without instructions from the beneficial owner and the beneficial owner fails to provide the nominee with such instructions. If a quorum is not present, the 2025 Annual Meeting may be adjourned by the chairman of the meeting to a time and date not more than 120 days after the original record date without notice other than announcement at the meeting.</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What is the difference between a “stockholder of record” and a “street name” holder?</w:t>
      </w:r>
    </w:p>
    <w:p>
      <w:pPr>
        <w:spacing w:after="0" w:line="21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These terms describe how your shares are held. If your shares are registered directly in your name with Equiniti Trust Company, LLC, our transfer agent, you are a “stockholder of record.” If your shares are held in the name of a brokerage, bank, trust or other nominee as a custodian, you are a “street name” holder.</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FREQUENTLY ASKED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How do I vote my shares?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you have several choices. You can vote your shares by proxy:</w:t>
      </w:r>
    </w:p>
    <w:p>
      <w:pPr>
        <w:spacing w:after="0" w:line="195" w:lineRule="exact"/>
        <w:rPr>
          <w:sz w:val="20"/>
          <w:szCs w:val="20"/>
          <w:color w:val="auto"/>
        </w:rPr>
      </w:pPr>
    </w:p>
    <w:p>
      <w:pPr>
        <w:ind w:left="300" w:hanging="293"/>
        <w:spacing w:after="0"/>
        <w:tabs>
          <w:tab w:leader="none" w:pos="300" w:val="left"/>
        </w:tabs>
        <w:numPr>
          <w:ilvl w:val="0"/>
          <w:numId w:val="120"/>
        </w:numPr>
        <w:rPr>
          <w:rFonts w:ascii="Times New Roman" w:cs="Times New Roman" w:eastAsia="Times New Roman" w:hAnsi="Times New Roman"/>
          <w:sz w:val="18"/>
          <w:szCs w:val="18"/>
          <w:color w:val="001544"/>
        </w:rPr>
      </w:pPr>
      <w:r>
        <w:rPr>
          <w:rFonts w:ascii="Arial" w:cs="Arial" w:eastAsia="Arial" w:hAnsi="Arial"/>
          <w:sz w:val="18"/>
          <w:szCs w:val="18"/>
          <w:color w:val="auto"/>
        </w:rPr>
        <w:t>Via the Internet;</w:t>
      </w:r>
    </w:p>
    <w:p>
      <w:pPr>
        <w:spacing w:after="0" w:line="56" w:lineRule="exact"/>
        <w:rPr>
          <w:rFonts w:ascii="Times New Roman" w:cs="Times New Roman" w:eastAsia="Times New Roman" w:hAnsi="Times New Roman"/>
          <w:sz w:val="18"/>
          <w:szCs w:val="18"/>
          <w:color w:val="001544"/>
        </w:rPr>
      </w:pPr>
    </w:p>
    <w:p>
      <w:pPr>
        <w:ind w:left="300" w:hanging="293"/>
        <w:spacing w:after="0"/>
        <w:tabs>
          <w:tab w:leader="none" w:pos="300" w:val="left"/>
        </w:tabs>
        <w:numPr>
          <w:ilvl w:val="0"/>
          <w:numId w:val="120"/>
        </w:numPr>
        <w:rPr>
          <w:rFonts w:ascii="Times New Roman" w:cs="Times New Roman" w:eastAsia="Times New Roman" w:hAnsi="Times New Roman"/>
          <w:sz w:val="18"/>
          <w:szCs w:val="18"/>
          <w:color w:val="001544"/>
        </w:rPr>
      </w:pPr>
      <w:r>
        <w:rPr>
          <w:rFonts w:ascii="Arial" w:cs="Arial" w:eastAsia="Arial" w:hAnsi="Arial"/>
          <w:sz w:val="18"/>
          <w:szCs w:val="18"/>
          <w:color w:val="auto"/>
        </w:rPr>
        <w:t>By telephone; or</w:t>
      </w:r>
    </w:p>
    <w:p>
      <w:pPr>
        <w:spacing w:after="0" w:line="68" w:lineRule="exact"/>
        <w:rPr>
          <w:rFonts w:ascii="Times New Roman" w:cs="Times New Roman" w:eastAsia="Times New Roman" w:hAnsi="Times New Roman"/>
          <w:sz w:val="18"/>
          <w:szCs w:val="18"/>
          <w:color w:val="001544"/>
        </w:rPr>
      </w:pPr>
    </w:p>
    <w:p>
      <w:pPr>
        <w:ind w:left="300" w:hanging="293"/>
        <w:spacing w:after="0"/>
        <w:tabs>
          <w:tab w:leader="none" w:pos="300" w:val="left"/>
        </w:tabs>
        <w:numPr>
          <w:ilvl w:val="0"/>
          <w:numId w:val="120"/>
        </w:numPr>
        <w:rPr>
          <w:rFonts w:ascii="Times New Roman" w:cs="Times New Roman" w:eastAsia="Times New Roman" w:hAnsi="Times New Roman"/>
          <w:sz w:val="18"/>
          <w:szCs w:val="18"/>
          <w:color w:val="001544"/>
        </w:rPr>
      </w:pPr>
      <w:r>
        <w:rPr>
          <w:rFonts w:ascii="Arial" w:cs="Arial" w:eastAsia="Arial" w:hAnsi="Arial"/>
          <w:sz w:val="18"/>
          <w:szCs w:val="18"/>
          <w:color w:val="auto"/>
        </w:rPr>
        <w:t>By mailing your proxy card.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specific instructions set forth on the enclosed printed proxy card or voting instruction form. For security reasons, our electronic voting system has been designed to authenticate your identity as a stockholder. As such, please have readily available the control number provided to you on your proxy form when voting via the Internet or by telephone. If you hold your shares in “street name,” your broker, bank, trustee or nominee will provide you with materials and instructions for voting your shares.</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Can I vote my shares in person at the meeting?</w:t>
      </w:r>
    </w:p>
    <w:p>
      <w:pPr>
        <w:spacing w:after="0" w:line="21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 xml:space="preserve">If you are a “stockholder of record,” you may vote your shares in person at the virtual meeting by visiting </w:t>
      </w:r>
      <w:r>
        <w:rPr>
          <w:rFonts w:ascii="Arial" w:cs="Arial" w:eastAsia="Arial" w:hAnsi="Arial"/>
          <w:sz w:val="18"/>
          <w:szCs w:val="18"/>
          <w:color w:val="001544"/>
        </w:rPr>
        <w:t>https://web.lumiconnect.com/286413441</w:t>
      </w:r>
      <w:r>
        <w:rPr>
          <w:rFonts w:ascii="Arial" w:cs="Arial" w:eastAsia="Arial" w:hAnsi="Arial"/>
          <w:sz w:val="18"/>
          <w:szCs w:val="18"/>
          <w:color w:val="000000"/>
        </w:rPr>
        <w:t>; passcode:</w:t>
      </w:r>
      <w:r>
        <w:rPr>
          <w:rFonts w:ascii="Arial" w:cs="Arial" w:eastAsia="Arial" w:hAnsi="Arial"/>
          <w:sz w:val="18"/>
          <w:szCs w:val="18"/>
          <w:color w:val="001544"/>
        </w:rPr>
        <w:t xml:space="preserve"> </w:t>
      </w:r>
      <w:r>
        <w:rPr>
          <w:rFonts w:ascii="Arial" w:cs="Arial" w:eastAsia="Arial" w:hAnsi="Arial"/>
          <w:sz w:val="18"/>
          <w:szCs w:val="18"/>
          <w:i w:val="1"/>
          <w:iCs w:val="1"/>
          <w:color w:val="000000"/>
        </w:rPr>
        <w:t>digitalbridge2025</w:t>
      </w:r>
      <w:r>
        <w:rPr>
          <w:rFonts w:ascii="Arial" w:cs="Arial" w:eastAsia="Arial" w:hAnsi="Arial"/>
          <w:sz w:val="18"/>
          <w:szCs w:val="18"/>
          <w:color w:val="001544"/>
        </w:rPr>
        <w:t xml:space="preserve"> </w:t>
      </w:r>
      <w:r>
        <w:rPr>
          <w:rFonts w:ascii="Arial" w:cs="Arial" w:eastAsia="Arial" w:hAnsi="Arial"/>
          <w:sz w:val="18"/>
          <w:szCs w:val="18"/>
          <w:color w:val="000000"/>
        </w:rPr>
        <w:t>(unique 11-digit control number required). To vote,</w:t>
      </w:r>
      <w:r>
        <w:rPr>
          <w:rFonts w:ascii="Arial" w:cs="Arial" w:eastAsia="Arial" w:hAnsi="Arial"/>
          <w:sz w:val="18"/>
          <w:szCs w:val="18"/>
          <w:color w:val="001544"/>
        </w:rPr>
        <w:t xml:space="preserve"> </w:t>
      </w:r>
      <w:r>
        <w:rPr>
          <w:rFonts w:ascii="Arial" w:cs="Arial" w:eastAsia="Arial" w:hAnsi="Arial"/>
          <w:sz w:val="18"/>
          <w:szCs w:val="18"/>
          <w:color w:val="000000"/>
        </w:rPr>
        <w:t>you will need your control number included in your proxy materials, on your proxy card, or on the instructions that accompanied your proxy materials. Please note that even if you plan to virtually attend the 2025 Annual Meeting, we encourage you to submit a proxy in advance to ensure your shares are represented. Your voting in person (virtually) at the 2025 Annual Meeting will automatically result in the revocation of any previously submitted proxy.</w:t>
      </w:r>
    </w:p>
    <w:p>
      <w:pPr>
        <w:spacing w:after="0" w:line="17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If you hold your shares in “street name,” you must obtain a legal proxy from your broker, bank, trustee or nominee, giving you the right to vote the shares at the meeting, and you will be assigned a virtual control number in order to vote your shares during the 2025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What are the Board’s recommendations on how I should vote my shares?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that you vote your shares as follows:</w:t>
      </w:r>
    </w:p>
    <w:p>
      <w:pPr>
        <w:spacing w:after="0" w:line="195" w:lineRule="exact"/>
        <w:rPr>
          <w:sz w:val="20"/>
          <w:szCs w:val="20"/>
          <w:color w:val="auto"/>
        </w:rPr>
      </w:pPr>
    </w:p>
    <w:p>
      <w:pPr>
        <w:ind w:left="300" w:hanging="293"/>
        <w:spacing w:after="0"/>
        <w:tabs>
          <w:tab w:leader="none" w:pos="300" w:val="left"/>
        </w:tabs>
        <w:numPr>
          <w:ilvl w:val="0"/>
          <w:numId w:val="121"/>
        </w:numPr>
        <w:rPr>
          <w:rFonts w:ascii="Times New Roman" w:cs="Times New Roman" w:eastAsia="Times New Roman" w:hAnsi="Times New Roman"/>
          <w:sz w:val="18"/>
          <w:szCs w:val="18"/>
          <w:color w:val="001544"/>
        </w:rPr>
      </w:pPr>
      <w:r>
        <w:rPr>
          <w:rFonts w:ascii="Arial" w:cs="Arial" w:eastAsia="Arial" w:hAnsi="Arial"/>
          <w:sz w:val="18"/>
          <w:szCs w:val="18"/>
          <w:color w:val="auto"/>
        </w:rPr>
        <w:t>Proposal 1: FOR all of the nominees for election as directors named on the enclosed proxy card.</w:t>
      </w:r>
    </w:p>
    <w:p>
      <w:pPr>
        <w:spacing w:after="0" w:line="56" w:lineRule="exact"/>
        <w:rPr>
          <w:rFonts w:ascii="Times New Roman" w:cs="Times New Roman" w:eastAsia="Times New Roman" w:hAnsi="Times New Roman"/>
          <w:sz w:val="18"/>
          <w:szCs w:val="18"/>
          <w:color w:val="001544"/>
        </w:rPr>
      </w:pPr>
    </w:p>
    <w:p>
      <w:pPr>
        <w:ind w:left="300" w:hanging="293"/>
        <w:spacing w:after="0"/>
        <w:tabs>
          <w:tab w:leader="none" w:pos="300" w:val="left"/>
        </w:tabs>
        <w:numPr>
          <w:ilvl w:val="0"/>
          <w:numId w:val="121"/>
        </w:numPr>
        <w:rPr>
          <w:rFonts w:ascii="Times New Roman" w:cs="Times New Roman" w:eastAsia="Times New Roman" w:hAnsi="Times New Roman"/>
          <w:sz w:val="18"/>
          <w:szCs w:val="18"/>
          <w:color w:val="001544"/>
        </w:rPr>
      </w:pPr>
      <w:r>
        <w:rPr>
          <w:rFonts w:ascii="Arial" w:cs="Arial" w:eastAsia="Arial" w:hAnsi="Arial"/>
          <w:sz w:val="18"/>
          <w:szCs w:val="18"/>
          <w:color w:val="auto"/>
        </w:rPr>
        <w:t>Proposal 2: FOR the advisory vote to approve executive compensation.</w:t>
      </w:r>
    </w:p>
    <w:p>
      <w:pPr>
        <w:spacing w:after="0" w:line="56" w:lineRule="exact"/>
        <w:rPr>
          <w:rFonts w:ascii="Times New Roman" w:cs="Times New Roman" w:eastAsia="Times New Roman" w:hAnsi="Times New Roman"/>
          <w:sz w:val="18"/>
          <w:szCs w:val="18"/>
          <w:color w:val="001544"/>
        </w:rPr>
      </w:pPr>
    </w:p>
    <w:p>
      <w:pPr>
        <w:ind w:left="300" w:right="840" w:hanging="293"/>
        <w:spacing w:after="0" w:line="260" w:lineRule="auto"/>
        <w:tabs>
          <w:tab w:leader="none" w:pos="300" w:val="left"/>
        </w:tabs>
        <w:numPr>
          <w:ilvl w:val="0"/>
          <w:numId w:val="121"/>
        </w:numPr>
        <w:rPr>
          <w:rFonts w:ascii="Times New Roman" w:cs="Times New Roman" w:eastAsia="Times New Roman" w:hAnsi="Times New Roman"/>
          <w:sz w:val="18"/>
          <w:szCs w:val="18"/>
          <w:color w:val="001544"/>
        </w:rPr>
      </w:pPr>
      <w:r>
        <w:rPr>
          <w:rFonts w:ascii="Arial" w:cs="Arial" w:eastAsia="Arial" w:hAnsi="Arial"/>
          <w:sz w:val="18"/>
          <w:szCs w:val="18"/>
          <w:color w:val="auto"/>
        </w:rPr>
        <w:t>Proposal 3: FOR ratification of the appointment of Ernst &amp; Young LLP as our independent registered public accounting firm for the fiscal year ending December 31, 2025.</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What are broker non-votes and how will they affect voting?</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Under applicable NYSE rules, brokers holding shares of our Class A common stock for beneficial owners in nominee or “street name” must vote those shares according to the specific instructions they receive from the beneficial owners. However, brokers or nominees holding shares for a beneficial owner who do not receive voting instructions from the beneficial owner may not under the NYSE’s rules have discretionary voting power on non-routine matters. In these cases, if no specific voting instructions are provided by the beneficial owner, the broker may not vote on non-routine proposals. This results in what is known as a “broker non-vote.” Broker non-votes may arise in the context of voting for the proposals related to the election of directors and the approval of the advisory vote to approve executive compensation because such proposals are considered non-routine matters. Unless specific voting instructions are provided by the beneficial owner, the broker will be unable to vote for these proposals. Accordingly, we urge stockholders who hold their shares through a broker or other nominee to provide voting instructions so that your shares of common stock may be voted on these proposals. The ratification of the appointment of Ernst &amp; Young LLP as our independent registered public</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158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ectPr>
          <w:pgSz w:w="11900" w:h="16838" w:orient="portrait"/>
          <w:cols w:equalWidth="0" w:num="1">
            <w:col w:w="9440"/>
          </w:cols>
          <w:pgMar w:left="1200" w:top="487" w:right="125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5420"/>
        <w:spacing w:after="0"/>
        <w:rPr>
          <w:sz w:val="20"/>
          <w:szCs w:val="20"/>
          <w:color w:val="auto"/>
        </w:rPr>
      </w:pPr>
      <w:r>
        <w:rPr>
          <w:rFonts w:ascii="Arial" w:cs="Arial" w:eastAsia="Arial" w:hAnsi="Arial"/>
          <w:sz w:val="16"/>
          <w:szCs w:val="16"/>
          <w:color w:val="B1B4B6"/>
        </w:rPr>
        <w:t>FREQUENTLY ASKED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60090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3"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accounting firm for the year ending December 31, 2025 is a matter considered routine under applicable NYSE rules. A broker or other nominee may generally vote on routine matters and, therefore, no broker non-votes are expected to exist in connection with this proposal.</w:t>
      </w:r>
    </w:p>
    <w:p>
      <w:pPr>
        <w:spacing w:after="0" w:line="16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Abstentions and broker non-votes will not be counted as votes cast and, as a result, will have no impact on the outcome of the election of directors and the advisory vote to approve executive compensation.</w:t>
      </w:r>
    </w:p>
    <w:p>
      <w:pPr>
        <w:spacing w:after="0" w:line="15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If you provide specific instructions with regard to certain items, your shares will be voted as you instruct on such items. If you vote by proxy card and sign the proxy card without giving specific instructions, your shares will be voted in accordance with the recommendations of the Board (FOR all of our nominees to the Board, FOR the approval on a non-binding, advisory basis, of the compensation of our named executive officers and FOR ratification of the appointment of our independent registered public accounting firm).</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What vote is required to approve each proposal?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approve each of the proposals, the following votes are required from the holders of voting shares.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0" w:type="dxa"/>
            <w:vAlign w:val="bottom"/>
          </w:tcPr>
          <w:p>
            <w:pPr>
              <w:ind w:left="60"/>
              <w:spacing w:after="0"/>
              <w:rPr>
                <w:sz w:val="20"/>
                <w:szCs w:val="20"/>
                <w:color w:val="auto"/>
              </w:rPr>
            </w:pPr>
            <w:r>
              <w:rPr>
                <w:rFonts w:ascii="Arial" w:cs="Arial" w:eastAsia="Arial" w:hAnsi="Arial"/>
                <w:sz w:val="16"/>
                <w:szCs w:val="16"/>
                <w:b w:val="1"/>
                <w:bCs w:val="1"/>
                <w:color w:val="001544"/>
              </w:rPr>
              <w:t>Proposal</w:t>
            </w:r>
          </w:p>
        </w:tc>
        <w:tc>
          <w:tcPr>
            <w:tcW w:w="4380" w:type="dxa"/>
            <w:vAlign w:val="bottom"/>
          </w:tcPr>
          <w:p>
            <w:pPr>
              <w:spacing w:after="0"/>
              <w:rPr>
                <w:sz w:val="16"/>
                <w:szCs w:val="16"/>
                <w:color w:val="auto"/>
              </w:rPr>
            </w:pPr>
          </w:p>
        </w:tc>
        <w:tc>
          <w:tcPr>
            <w:tcW w:w="4280" w:type="dxa"/>
            <w:vAlign w:val="bottom"/>
          </w:tcPr>
          <w:p>
            <w:pPr>
              <w:ind w:left="60"/>
              <w:spacing w:after="0"/>
              <w:rPr>
                <w:sz w:val="20"/>
                <w:szCs w:val="20"/>
                <w:color w:val="auto"/>
              </w:rPr>
            </w:pPr>
            <w:r>
              <w:rPr>
                <w:rFonts w:ascii="Arial" w:cs="Arial" w:eastAsia="Arial" w:hAnsi="Arial"/>
                <w:sz w:val="16"/>
                <w:szCs w:val="16"/>
                <w:b w:val="1"/>
                <w:bCs w:val="1"/>
                <w:color w:val="001544"/>
              </w:rPr>
              <w:t>Impact of Abstentions and</w:t>
            </w:r>
          </w:p>
        </w:tc>
        <w:tc>
          <w:tcPr>
            <w:tcW w:w="0" w:type="dxa"/>
            <w:vAlign w:val="bottom"/>
          </w:tcPr>
          <w:p>
            <w:pPr>
              <w:spacing w:after="0"/>
              <w:rPr>
                <w:sz w:val="1"/>
                <w:szCs w:val="1"/>
                <w:color w:val="auto"/>
              </w:rPr>
            </w:pPr>
          </w:p>
        </w:tc>
      </w:tr>
      <w:tr>
        <w:trPr>
          <w:trHeight w:val="218"/>
        </w:trPr>
        <w:tc>
          <w:tcPr>
            <w:tcW w:w="800" w:type="dxa"/>
            <w:vAlign w:val="bottom"/>
          </w:tcPr>
          <w:p>
            <w:pPr>
              <w:ind w:left="60"/>
              <w:spacing w:after="0"/>
              <w:rPr>
                <w:sz w:val="20"/>
                <w:szCs w:val="20"/>
                <w:color w:val="auto"/>
              </w:rPr>
            </w:pPr>
            <w:r>
              <w:rPr>
                <w:rFonts w:ascii="Arial" w:cs="Arial" w:eastAsia="Arial" w:hAnsi="Arial"/>
                <w:sz w:val="16"/>
                <w:szCs w:val="16"/>
                <w:b w:val="1"/>
                <w:bCs w:val="1"/>
                <w:color w:val="001544"/>
              </w:rPr>
              <w:t>Number</w:t>
            </w:r>
          </w:p>
        </w:tc>
        <w:tc>
          <w:tcPr>
            <w:tcW w:w="4380" w:type="dxa"/>
            <w:vAlign w:val="bottom"/>
          </w:tcPr>
          <w:p>
            <w:pPr>
              <w:ind w:left="120"/>
              <w:spacing w:after="0"/>
              <w:rPr>
                <w:sz w:val="20"/>
                <w:szCs w:val="20"/>
                <w:color w:val="auto"/>
              </w:rPr>
            </w:pPr>
            <w:r>
              <w:rPr>
                <w:rFonts w:ascii="Arial" w:cs="Arial" w:eastAsia="Arial" w:hAnsi="Arial"/>
                <w:sz w:val="16"/>
                <w:szCs w:val="16"/>
                <w:b w:val="1"/>
                <w:bCs w:val="1"/>
                <w:color w:val="001544"/>
              </w:rPr>
              <w:t>Vote Required</w:t>
            </w:r>
          </w:p>
        </w:tc>
        <w:tc>
          <w:tcPr>
            <w:tcW w:w="4280" w:type="dxa"/>
            <w:vAlign w:val="bottom"/>
          </w:tcPr>
          <w:p>
            <w:pPr>
              <w:ind w:left="60"/>
              <w:spacing w:after="0"/>
              <w:rPr>
                <w:sz w:val="20"/>
                <w:szCs w:val="20"/>
                <w:color w:val="auto"/>
              </w:rPr>
            </w:pPr>
            <w:r>
              <w:rPr>
                <w:rFonts w:ascii="Arial" w:cs="Arial" w:eastAsia="Arial" w:hAnsi="Arial"/>
                <w:sz w:val="16"/>
                <w:szCs w:val="16"/>
                <w:b w:val="1"/>
                <w:bCs w:val="1"/>
                <w:color w:val="001544"/>
              </w:rPr>
              <w:t>Broker Non-Votes, if Any</w:t>
            </w:r>
          </w:p>
        </w:tc>
        <w:tc>
          <w:tcPr>
            <w:tcW w:w="0" w:type="dxa"/>
            <w:vAlign w:val="bottom"/>
          </w:tcPr>
          <w:p>
            <w:pPr>
              <w:spacing w:after="0"/>
              <w:rPr>
                <w:sz w:val="1"/>
                <w:szCs w:val="1"/>
                <w:color w:val="auto"/>
              </w:rPr>
            </w:pPr>
          </w:p>
        </w:tc>
      </w:tr>
      <w:tr>
        <w:trPr>
          <w:trHeight w:val="30"/>
        </w:trPr>
        <w:tc>
          <w:tcPr>
            <w:tcW w:w="800" w:type="dxa"/>
            <w:vAlign w:val="bottom"/>
            <w:tcBorders>
              <w:bottom w:val="single" w:sz="8" w:color="001544"/>
            </w:tcBorders>
          </w:tcPr>
          <w:p>
            <w:pPr>
              <w:spacing w:after="0"/>
              <w:rPr>
                <w:sz w:val="2"/>
                <w:szCs w:val="2"/>
                <w:color w:val="auto"/>
              </w:rPr>
            </w:pPr>
          </w:p>
        </w:tc>
        <w:tc>
          <w:tcPr>
            <w:tcW w:w="4380" w:type="dxa"/>
            <w:vAlign w:val="bottom"/>
            <w:tcBorders>
              <w:bottom w:val="single" w:sz="8" w:color="001544"/>
            </w:tcBorders>
          </w:tcPr>
          <w:p>
            <w:pPr>
              <w:spacing w:after="0"/>
              <w:rPr>
                <w:sz w:val="2"/>
                <w:szCs w:val="2"/>
                <w:color w:val="auto"/>
              </w:rPr>
            </w:pPr>
          </w:p>
        </w:tc>
        <w:tc>
          <w:tcPr>
            <w:tcW w:w="4280" w:type="dxa"/>
            <w:vAlign w:val="bottom"/>
            <w:tcBorders>
              <w:bottom w:val="single" w:sz="8" w:color="001544"/>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800" w:type="dxa"/>
            <w:vAlign w:val="bottom"/>
            <w:vMerge w:val="restart"/>
            <w:shd w:val="clear" w:color="auto" w:fill="DBDFEA"/>
          </w:tcPr>
          <w:p>
            <w:pPr>
              <w:ind w:left="60"/>
              <w:spacing w:after="0"/>
              <w:rPr>
                <w:sz w:val="20"/>
                <w:szCs w:val="20"/>
                <w:color w:val="auto"/>
              </w:rPr>
            </w:pPr>
            <w:r>
              <w:rPr>
                <w:rFonts w:ascii="Arial" w:cs="Arial" w:eastAsia="Arial" w:hAnsi="Arial"/>
                <w:sz w:val="30"/>
                <w:szCs w:val="30"/>
                <w:color w:val="001544"/>
              </w:rPr>
              <w:t>1</w:t>
            </w:r>
          </w:p>
        </w:tc>
        <w:tc>
          <w:tcPr>
            <w:tcW w:w="4380" w:type="dxa"/>
            <w:vAlign w:val="bottom"/>
            <w:shd w:val="clear" w:color="auto" w:fill="DBDFEA"/>
          </w:tcPr>
          <w:p>
            <w:pPr>
              <w:ind w:left="120"/>
              <w:spacing w:after="0"/>
              <w:rPr>
                <w:sz w:val="20"/>
                <w:szCs w:val="20"/>
                <w:color w:val="auto"/>
              </w:rPr>
            </w:pPr>
            <w:r>
              <w:rPr>
                <w:rFonts w:ascii="Arial" w:cs="Arial" w:eastAsia="Arial" w:hAnsi="Arial"/>
                <w:sz w:val="16"/>
                <w:szCs w:val="16"/>
                <w:color w:val="auto"/>
              </w:rPr>
              <w:t>Each director nominee will be elected by a majority of the</w:t>
            </w:r>
          </w:p>
        </w:tc>
        <w:tc>
          <w:tcPr>
            <w:tcW w:w="4280" w:type="dxa"/>
            <w:vAlign w:val="bottom"/>
            <w:shd w:val="clear" w:color="auto" w:fill="DBDFEA"/>
          </w:tcPr>
          <w:p>
            <w:pPr>
              <w:ind w:left="60"/>
              <w:spacing w:after="0"/>
              <w:rPr>
                <w:sz w:val="20"/>
                <w:szCs w:val="20"/>
                <w:color w:val="auto"/>
              </w:rPr>
            </w:pPr>
            <w:r>
              <w:rPr>
                <w:rFonts w:ascii="Arial" w:cs="Arial" w:eastAsia="Arial" w:hAnsi="Arial"/>
                <w:sz w:val="16"/>
                <w:szCs w:val="16"/>
                <w:color w:val="auto"/>
              </w:rPr>
              <w:t>Abstentions/broker non-votes will not be counted as votes</w:t>
            </w:r>
          </w:p>
        </w:tc>
        <w:tc>
          <w:tcPr>
            <w:tcW w:w="0" w:type="dxa"/>
            <w:vAlign w:val="bottom"/>
          </w:tcPr>
          <w:p>
            <w:pPr>
              <w:spacing w:after="0"/>
              <w:rPr>
                <w:sz w:val="1"/>
                <w:szCs w:val="1"/>
                <w:color w:val="auto"/>
              </w:rPr>
            </w:pPr>
          </w:p>
        </w:tc>
      </w:tr>
      <w:tr>
        <w:trPr>
          <w:trHeight w:val="248"/>
        </w:trPr>
        <w:tc>
          <w:tcPr>
            <w:tcW w:w="800" w:type="dxa"/>
            <w:vAlign w:val="bottom"/>
            <w:tcBorders>
              <w:bottom w:val="single" w:sz="8" w:color="DBDFEA"/>
            </w:tcBorders>
            <w:vMerge w:val="continue"/>
            <w:shd w:val="clear" w:color="auto" w:fill="DBDFEA"/>
          </w:tcPr>
          <w:p>
            <w:pPr>
              <w:spacing w:after="0"/>
              <w:rPr>
                <w:sz w:val="21"/>
                <w:szCs w:val="21"/>
                <w:color w:val="auto"/>
              </w:rPr>
            </w:pPr>
          </w:p>
        </w:tc>
        <w:tc>
          <w:tcPr>
            <w:tcW w:w="4380" w:type="dxa"/>
            <w:vAlign w:val="bottom"/>
            <w:tcBorders>
              <w:bottom w:val="single" w:sz="8" w:color="DBDFEA"/>
            </w:tcBorders>
            <w:shd w:val="clear" w:color="auto" w:fill="DBDFEA"/>
          </w:tcPr>
          <w:p>
            <w:pPr>
              <w:ind w:left="120"/>
              <w:spacing w:after="0"/>
              <w:rPr>
                <w:sz w:val="20"/>
                <w:szCs w:val="20"/>
                <w:color w:val="auto"/>
              </w:rPr>
            </w:pPr>
            <w:r>
              <w:rPr>
                <w:rFonts w:ascii="Arial" w:cs="Arial" w:eastAsia="Arial" w:hAnsi="Arial"/>
                <w:sz w:val="16"/>
                <w:szCs w:val="16"/>
                <w:color w:val="auto"/>
              </w:rPr>
              <w:t>votes cast. Stockholders may not cumulate votes.</w:t>
            </w:r>
          </w:p>
        </w:tc>
        <w:tc>
          <w:tcPr>
            <w:tcW w:w="4280" w:type="dxa"/>
            <w:vAlign w:val="bottom"/>
            <w:tcBorders>
              <w:bottom w:val="single" w:sz="8" w:color="DBDFEA"/>
            </w:tcBorders>
            <w:shd w:val="clear" w:color="auto" w:fill="DBDFEA"/>
          </w:tcPr>
          <w:p>
            <w:pPr>
              <w:ind w:left="60"/>
              <w:spacing w:after="0"/>
              <w:rPr>
                <w:sz w:val="20"/>
                <w:szCs w:val="20"/>
                <w:color w:val="auto"/>
              </w:rPr>
            </w:pPr>
            <w:r>
              <w:rPr>
                <w:rFonts w:ascii="Arial" w:cs="Arial" w:eastAsia="Arial" w:hAnsi="Arial"/>
                <w:sz w:val="16"/>
                <w:szCs w:val="16"/>
                <w:color w:val="auto"/>
              </w:rPr>
              <w:t>cast and will have no impact on the outcome.</w:t>
            </w:r>
          </w:p>
        </w:tc>
        <w:tc>
          <w:tcPr>
            <w:tcW w:w="0" w:type="dxa"/>
            <w:vAlign w:val="bottom"/>
          </w:tcPr>
          <w:p>
            <w:pPr>
              <w:spacing w:after="0"/>
              <w:rPr>
                <w:sz w:val="1"/>
                <w:szCs w:val="1"/>
                <w:color w:val="auto"/>
              </w:rPr>
            </w:pPr>
          </w:p>
        </w:tc>
      </w:tr>
      <w:tr>
        <w:trPr>
          <w:trHeight w:val="197"/>
        </w:trPr>
        <w:tc>
          <w:tcPr>
            <w:tcW w:w="800" w:type="dxa"/>
            <w:vAlign w:val="bottom"/>
            <w:tcBorders>
              <w:top w:val="single" w:sz="8" w:color="001544"/>
            </w:tcBorders>
            <w:vMerge w:val="restart"/>
            <w:shd w:val="clear" w:color="auto" w:fill="DBDFEA"/>
          </w:tcPr>
          <w:p>
            <w:pPr>
              <w:ind w:left="60"/>
              <w:spacing w:after="0"/>
              <w:rPr>
                <w:sz w:val="20"/>
                <w:szCs w:val="20"/>
                <w:color w:val="auto"/>
              </w:rPr>
            </w:pPr>
            <w:r>
              <w:rPr>
                <w:rFonts w:ascii="Arial" w:cs="Arial" w:eastAsia="Arial" w:hAnsi="Arial"/>
                <w:sz w:val="30"/>
                <w:szCs w:val="30"/>
                <w:color w:val="001544"/>
              </w:rPr>
              <w:t>2</w:t>
            </w:r>
          </w:p>
        </w:tc>
        <w:tc>
          <w:tcPr>
            <w:tcW w:w="4380" w:type="dxa"/>
            <w:vAlign w:val="bottom"/>
            <w:tcBorders>
              <w:top w:val="single" w:sz="8" w:color="001544"/>
            </w:tcBorders>
            <w:shd w:val="clear" w:color="auto" w:fill="DBDFEA"/>
          </w:tcPr>
          <w:p>
            <w:pPr>
              <w:ind w:left="120"/>
              <w:spacing w:after="0"/>
              <w:rPr>
                <w:sz w:val="20"/>
                <w:szCs w:val="20"/>
                <w:color w:val="auto"/>
              </w:rPr>
            </w:pPr>
            <w:r>
              <w:rPr>
                <w:rFonts w:ascii="Arial" w:cs="Arial" w:eastAsia="Arial" w:hAnsi="Arial"/>
                <w:sz w:val="16"/>
                <w:szCs w:val="16"/>
                <w:color w:val="auto"/>
              </w:rPr>
              <w:t>This proposal is advisory and not binding. We will consider</w:t>
            </w:r>
          </w:p>
        </w:tc>
        <w:tc>
          <w:tcPr>
            <w:tcW w:w="4280" w:type="dxa"/>
            <w:vAlign w:val="bottom"/>
            <w:tcBorders>
              <w:top w:val="single" w:sz="8" w:color="001544"/>
            </w:tcBorders>
            <w:shd w:val="clear" w:color="auto" w:fill="DBDFEA"/>
          </w:tcPr>
          <w:p>
            <w:pPr>
              <w:ind w:left="60"/>
              <w:spacing w:after="0"/>
              <w:rPr>
                <w:sz w:val="20"/>
                <w:szCs w:val="20"/>
                <w:color w:val="auto"/>
              </w:rPr>
            </w:pPr>
            <w:r>
              <w:rPr>
                <w:rFonts w:ascii="Arial" w:cs="Arial" w:eastAsia="Arial" w:hAnsi="Arial"/>
                <w:sz w:val="16"/>
                <w:szCs w:val="16"/>
                <w:color w:val="auto"/>
              </w:rPr>
              <w:t>Abstentions/broker non-votes will not be counted as votes</w:t>
            </w:r>
          </w:p>
        </w:tc>
        <w:tc>
          <w:tcPr>
            <w:tcW w:w="0" w:type="dxa"/>
            <w:vAlign w:val="bottom"/>
          </w:tcPr>
          <w:p>
            <w:pPr>
              <w:spacing w:after="0"/>
              <w:rPr>
                <w:sz w:val="1"/>
                <w:szCs w:val="1"/>
                <w:color w:val="auto"/>
              </w:rPr>
            </w:pPr>
          </w:p>
        </w:tc>
      </w:tr>
      <w:tr>
        <w:trPr>
          <w:trHeight w:val="176"/>
        </w:trPr>
        <w:tc>
          <w:tcPr>
            <w:tcW w:w="800" w:type="dxa"/>
            <w:vAlign w:val="bottom"/>
            <w:vMerge w:val="continue"/>
            <w:shd w:val="clear" w:color="auto" w:fill="DBDFEA"/>
          </w:tcPr>
          <w:p>
            <w:pPr>
              <w:spacing w:after="0"/>
              <w:rPr>
                <w:sz w:val="15"/>
                <w:szCs w:val="15"/>
                <w:color w:val="auto"/>
              </w:rPr>
            </w:pPr>
          </w:p>
        </w:tc>
        <w:tc>
          <w:tcPr>
            <w:tcW w:w="4380" w:type="dxa"/>
            <w:vAlign w:val="bottom"/>
            <w:shd w:val="clear" w:color="auto" w:fill="DBDFEA"/>
          </w:tcPr>
          <w:p>
            <w:pPr>
              <w:ind w:left="120"/>
              <w:spacing w:after="0" w:line="176" w:lineRule="exact"/>
              <w:rPr>
                <w:sz w:val="20"/>
                <w:szCs w:val="20"/>
                <w:color w:val="auto"/>
              </w:rPr>
            </w:pPr>
            <w:r>
              <w:rPr>
                <w:rFonts w:ascii="Arial" w:cs="Arial" w:eastAsia="Arial" w:hAnsi="Arial"/>
                <w:sz w:val="16"/>
                <w:szCs w:val="16"/>
                <w:color w:val="auto"/>
              </w:rPr>
              <w:t>stockholders to have approved the proposal if it is approved</w:t>
            </w:r>
          </w:p>
        </w:tc>
        <w:tc>
          <w:tcPr>
            <w:tcW w:w="4280" w:type="dxa"/>
            <w:vAlign w:val="bottom"/>
            <w:shd w:val="clear" w:color="auto" w:fill="DBDFEA"/>
          </w:tcPr>
          <w:p>
            <w:pPr>
              <w:ind w:left="60"/>
              <w:spacing w:after="0" w:line="176" w:lineRule="exact"/>
              <w:rPr>
                <w:sz w:val="20"/>
                <w:szCs w:val="20"/>
                <w:color w:val="auto"/>
              </w:rPr>
            </w:pPr>
            <w:r>
              <w:rPr>
                <w:rFonts w:ascii="Arial" w:cs="Arial" w:eastAsia="Arial" w:hAnsi="Arial"/>
                <w:sz w:val="16"/>
                <w:szCs w:val="16"/>
                <w:color w:val="auto"/>
              </w:rPr>
              <w:t>cast and will have no impact on the outcome.</w:t>
            </w:r>
          </w:p>
        </w:tc>
        <w:tc>
          <w:tcPr>
            <w:tcW w:w="0" w:type="dxa"/>
            <w:vAlign w:val="bottom"/>
          </w:tcPr>
          <w:p>
            <w:pPr>
              <w:spacing w:after="0"/>
              <w:rPr>
                <w:sz w:val="1"/>
                <w:szCs w:val="1"/>
                <w:color w:val="auto"/>
              </w:rPr>
            </w:pPr>
          </w:p>
        </w:tc>
      </w:tr>
      <w:tr>
        <w:trPr>
          <w:trHeight w:val="253"/>
        </w:trPr>
        <w:tc>
          <w:tcPr>
            <w:tcW w:w="800" w:type="dxa"/>
            <w:vAlign w:val="bottom"/>
            <w:tcBorders>
              <w:bottom w:val="single" w:sz="8" w:color="DBDFEA"/>
            </w:tcBorders>
            <w:shd w:val="clear" w:color="auto" w:fill="DBDFEA"/>
          </w:tcPr>
          <w:p>
            <w:pPr>
              <w:spacing w:after="0"/>
              <w:rPr>
                <w:sz w:val="21"/>
                <w:szCs w:val="21"/>
                <w:color w:val="auto"/>
              </w:rPr>
            </w:pPr>
          </w:p>
        </w:tc>
        <w:tc>
          <w:tcPr>
            <w:tcW w:w="4380" w:type="dxa"/>
            <w:vAlign w:val="bottom"/>
            <w:tcBorders>
              <w:bottom w:val="single" w:sz="8" w:color="DBDFEA"/>
            </w:tcBorders>
            <w:shd w:val="clear" w:color="auto" w:fill="DBDFEA"/>
          </w:tcPr>
          <w:p>
            <w:pPr>
              <w:ind w:left="120"/>
              <w:spacing w:after="0"/>
              <w:rPr>
                <w:sz w:val="20"/>
                <w:szCs w:val="20"/>
                <w:color w:val="auto"/>
              </w:rPr>
            </w:pPr>
            <w:r>
              <w:rPr>
                <w:rFonts w:ascii="Arial" w:cs="Arial" w:eastAsia="Arial" w:hAnsi="Arial"/>
                <w:sz w:val="16"/>
                <w:szCs w:val="16"/>
                <w:color w:val="auto"/>
              </w:rPr>
              <w:t>by a majority of the votes cast.</w:t>
            </w:r>
          </w:p>
        </w:tc>
        <w:tc>
          <w:tcPr>
            <w:tcW w:w="4280" w:type="dxa"/>
            <w:vAlign w:val="bottom"/>
            <w:tcBorders>
              <w:bottom w:val="single" w:sz="8" w:color="DBDFEA"/>
            </w:tcBorders>
            <w:shd w:val="clear" w:color="auto" w:fill="DBDFEA"/>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00" w:type="dxa"/>
            <w:vAlign w:val="bottom"/>
            <w:tcBorders>
              <w:top w:val="single" w:sz="8" w:color="001544"/>
            </w:tcBorders>
            <w:vMerge w:val="restart"/>
            <w:shd w:val="clear" w:color="auto" w:fill="DBDFEA"/>
          </w:tcPr>
          <w:p>
            <w:pPr>
              <w:ind w:left="60"/>
              <w:spacing w:after="0"/>
              <w:rPr>
                <w:sz w:val="20"/>
                <w:szCs w:val="20"/>
                <w:color w:val="auto"/>
              </w:rPr>
            </w:pPr>
            <w:r>
              <w:rPr>
                <w:rFonts w:ascii="Arial" w:cs="Arial" w:eastAsia="Arial" w:hAnsi="Arial"/>
                <w:sz w:val="30"/>
                <w:szCs w:val="30"/>
                <w:color w:val="auto"/>
              </w:rPr>
              <w:t>3</w:t>
            </w:r>
          </w:p>
        </w:tc>
        <w:tc>
          <w:tcPr>
            <w:tcW w:w="4380" w:type="dxa"/>
            <w:vAlign w:val="bottom"/>
            <w:tcBorders>
              <w:top w:val="single" w:sz="8" w:color="001544"/>
            </w:tcBorders>
            <w:shd w:val="clear" w:color="auto" w:fill="DBDFEA"/>
          </w:tcPr>
          <w:p>
            <w:pPr>
              <w:ind w:left="120"/>
              <w:spacing w:after="0"/>
              <w:rPr>
                <w:sz w:val="20"/>
                <w:szCs w:val="20"/>
                <w:color w:val="auto"/>
              </w:rPr>
            </w:pPr>
            <w:r>
              <w:rPr>
                <w:rFonts w:ascii="Arial" w:cs="Arial" w:eastAsia="Arial" w:hAnsi="Arial"/>
                <w:sz w:val="16"/>
                <w:szCs w:val="16"/>
                <w:color w:val="auto"/>
              </w:rPr>
              <w:t>A majority of the votes cast.</w:t>
            </w:r>
          </w:p>
        </w:tc>
        <w:tc>
          <w:tcPr>
            <w:tcW w:w="4280" w:type="dxa"/>
            <w:vAlign w:val="bottom"/>
            <w:tcBorders>
              <w:top w:val="single" w:sz="8" w:color="001544"/>
            </w:tcBorders>
            <w:shd w:val="clear" w:color="auto" w:fill="DBDFEA"/>
          </w:tcPr>
          <w:p>
            <w:pPr>
              <w:ind w:left="60"/>
              <w:spacing w:after="0"/>
              <w:rPr>
                <w:sz w:val="20"/>
                <w:szCs w:val="20"/>
                <w:color w:val="auto"/>
              </w:rPr>
            </w:pPr>
            <w:r>
              <w:rPr>
                <w:rFonts w:ascii="Arial" w:cs="Arial" w:eastAsia="Arial" w:hAnsi="Arial"/>
                <w:sz w:val="16"/>
                <w:szCs w:val="16"/>
                <w:color w:val="auto"/>
              </w:rPr>
              <w:t>Abstentions will not be counted as votes cast and will have</w:t>
            </w:r>
          </w:p>
        </w:tc>
        <w:tc>
          <w:tcPr>
            <w:tcW w:w="0" w:type="dxa"/>
            <w:vAlign w:val="bottom"/>
          </w:tcPr>
          <w:p>
            <w:pPr>
              <w:spacing w:after="0"/>
              <w:rPr>
                <w:sz w:val="1"/>
                <w:szCs w:val="1"/>
                <w:color w:val="auto"/>
              </w:rPr>
            </w:pPr>
          </w:p>
        </w:tc>
      </w:tr>
      <w:tr>
        <w:trPr>
          <w:trHeight w:val="228"/>
        </w:trPr>
        <w:tc>
          <w:tcPr>
            <w:tcW w:w="800" w:type="dxa"/>
            <w:vAlign w:val="bottom"/>
            <w:tcBorders>
              <w:bottom w:val="single" w:sz="8" w:color="DBDFEA"/>
            </w:tcBorders>
            <w:vMerge w:val="continue"/>
            <w:shd w:val="clear" w:color="auto" w:fill="DBDFEA"/>
          </w:tcPr>
          <w:p>
            <w:pPr>
              <w:spacing w:after="0"/>
              <w:rPr>
                <w:sz w:val="19"/>
                <w:szCs w:val="19"/>
                <w:color w:val="auto"/>
              </w:rPr>
            </w:pPr>
          </w:p>
        </w:tc>
        <w:tc>
          <w:tcPr>
            <w:tcW w:w="4380" w:type="dxa"/>
            <w:vAlign w:val="bottom"/>
            <w:tcBorders>
              <w:bottom w:val="single" w:sz="8" w:color="DBDFEA"/>
            </w:tcBorders>
            <w:shd w:val="clear" w:color="auto" w:fill="DBDFEA"/>
          </w:tcPr>
          <w:p>
            <w:pPr>
              <w:spacing w:after="0"/>
              <w:rPr>
                <w:sz w:val="19"/>
                <w:szCs w:val="19"/>
                <w:color w:val="auto"/>
              </w:rPr>
            </w:pPr>
          </w:p>
        </w:tc>
        <w:tc>
          <w:tcPr>
            <w:tcW w:w="4280" w:type="dxa"/>
            <w:vAlign w:val="bottom"/>
            <w:tcBorders>
              <w:bottom w:val="single" w:sz="8" w:color="DBDFEA"/>
            </w:tcBorders>
            <w:shd w:val="clear" w:color="auto" w:fill="DBDFEA"/>
          </w:tcPr>
          <w:p>
            <w:pPr>
              <w:ind w:left="60"/>
              <w:spacing w:after="0"/>
              <w:rPr>
                <w:sz w:val="20"/>
                <w:szCs w:val="20"/>
                <w:color w:val="auto"/>
              </w:rPr>
            </w:pPr>
            <w:r>
              <w:rPr>
                <w:rFonts w:ascii="Arial" w:cs="Arial" w:eastAsia="Arial" w:hAnsi="Arial"/>
                <w:sz w:val="16"/>
                <w:szCs w:val="16"/>
                <w:color w:val="auto"/>
              </w:rPr>
              <w:t>no impact on the outcome.</w:t>
            </w:r>
          </w:p>
        </w:tc>
        <w:tc>
          <w:tcPr>
            <w:tcW w:w="0" w:type="dxa"/>
            <w:vAlign w:val="bottom"/>
          </w:tcPr>
          <w:p>
            <w:pPr>
              <w:spacing w:after="0"/>
              <w:rPr>
                <w:sz w:val="1"/>
                <w:szCs w:val="1"/>
                <w:color w:val="auto"/>
              </w:rPr>
            </w:pPr>
          </w:p>
        </w:tc>
      </w:tr>
      <w:tr>
        <w:trPr>
          <w:trHeight w:val="20"/>
        </w:trPr>
        <w:tc>
          <w:tcPr>
            <w:tcW w:w="800" w:type="dxa"/>
            <w:vAlign w:val="bottom"/>
            <w:shd w:val="clear" w:color="auto" w:fill="001544"/>
          </w:tcPr>
          <w:p>
            <w:pPr>
              <w:spacing w:after="0" w:line="20" w:lineRule="exact"/>
              <w:rPr>
                <w:sz w:val="1"/>
                <w:szCs w:val="1"/>
                <w:color w:val="auto"/>
              </w:rPr>
            </w:pPr>
          </w:p>
        </w:tc>
        <w:tc>
          <w:tcPr>
            <w:tcW w:w="4380" w:type="dxa"/>
            <w:vAlign w:val="bottom"/>
            <w:shd w:val="clear" w:color="auto" w:fill="001544"/>
          </w:tcPr>
          <w:p>
            <w:pPr>
              <w:spacing w:after="0" w:line="20" w:lineRule="exact"/>
              <w:rPr>
                <w:sz w:val="1"/>
                <w:szCs w:val="1"/>
                <w:color w:val="auto"/>
              </w:rPr>
            </w:pPr>
          </w:p>
        </w:tc>
        <w:tc>
          <w:tcPr>
            <w:tcW w:w="4280" w:type="dxa"/>
            <w:vAlign w:val="bottom"/>
            <w:shd w:val="clear" w:color="auto" w:fill="00154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Why did I receive more than one Notice or proxy card?</w:t>
      </w:r>
    </w:p>
    <w:p>
      <w:pPr>
        <w:spacing w:after="0" w:line="211" w:lineRule="exact"/>
        <w:rPr>
          <w:sz w:val="20"/>
          <w:szCs w:val="20"/>
          <w:color w:val="auto"/>
        </w:rPr>
      </w:pPr>
    </w:p>
    <w:p>
      <w:pPr>
        <w:ind w:right="320"/>
        <w:spacing w:after="0" w:line="242" w:lineRule="auto"/>
        <w:rPr>
          <w:sz w:val="20"/>
          <w:szCs w:val="20"/>
          <w:color w:val="auto"/>
        </w:rPr>
      </w:pPr>
      <w:r>
        <w:rPr>
          <w:rFonts w:ascii="Arial" w:cs="Arial" w:eastAsia="Arial" w:hAnsi="Arial"/>
          <w:sz w:val="18"/>
          <w:szCs w:val="18"/>
          <w:color w:val="auto"/>
        </w:rPr>
        <w:t>You will receive multiple notices or proxy cards if you hold your shares in different ways (e.g., joint tenancy, trusts, custodial accounts) or in multiple accounts. If your shares are held by a broker (i.e., in “street name”), you will receive your proxy card or other voting information from your broker, and you will return your proxy card(s) to your broker. You should vote on and sign each proxy card you receive.</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Can I change my vote after I have mailed in my proxy card?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you may revoke your proxy by doing one of the following:</w:t>
      </w:r>
    </w:p>
    <w:p>
      <w:pPr>
        <w:spacing w:after="0" w:line="195" w:lineRule="exact"/>
        <w:rPr>
          <w:sz w:val="20"/>
          <w:szCs w:val="20"/>
          <w:color w:val="auto"/>
        </w:rPr>
      </w:pPr>
    </w:p>
    <w:p>
      <w:pPr>
        <w:ind w:left="300" w:right="360" w:hanging="293"/>
        <w:spacing w:after="0" w:line="260" w:lineRule="auto"/>
        <w:tabs>
          <w:tab w:leader="none" w:pos="300" w:val="left"/>
        </w:tabs>
        <w:numPr>
          <w:ilvl w:val="0"/>
          <w:numId w:val="122"/>
        </w:numPr>
        <w:rPr>
          <w:rFonts w:ascii="Times New Roman" w:cs="Times New Roman" w:eastAsia="Times New Roman" w:hAnsi="Times New Roman"/>
          <w:sz w:val="18"/>
          <w:szCs w:val="18"/>
          <w:color w:val="001544"/>
        </w:rPr>
      </w:pPr>
      <w:r>
        <w:rPr>
          <w:rFonts w:ascii="Arial" w:cs="Arial" w:eastAsia="Arial" w:hAnsi="Arial"/>
          <w:sz w:val="18"/>
          <w:szCs w:val="18"/>
          <w:color w:val="auto"/>
        </w:rPr>
        <w:t>By authorizing a new proxy via telephone or Internet and submitting it so that it is received by 11:59 p.m. (Eastern Time) on May 21, 2025;</w:t>
      </w:r>
    </w:p>
    <w:p>
      <w:pPr>
        <w:spacing w:after="0" w:line="15" w:lineRule="exact"/>
        <w:rPr>
          <w:rFonts w:ascii="Times New Roman" w:cs="Times New Roman" w:eastAsia="Times New Roman" w:hAnsi="Times New Roman"/>
          <w:sz w:val="18"/>
          <w:szCs w:val="18"/>
          <w:color w:val="001544"/>
        </w:rPr>
      </w:pPr>
    </w:p>
    <w:p>
      <w:pPr>
        <w:jc w:val="both"/>
        <w:ind w:left="300" w:right="460" w:hanging="293"/>
        <w:spacing w:after="0" w:line="301" w:lineRule="auto"/>
        <w:tabs>
          <w:tab w:leader="none" w:pos="300" w:val="left"/>
        </w:tabs>
        <w:numPr>
          <w:ilvl w:val="0"/>
          <w:numId w:val="122"/>
        </w:numPr>
        <w:rPr>
          <w:rFonts w:ascii="Times New Roman" w:cs="Times New Roman" w:eastAsia="Times New Roman" w:hAnsi="Times New Roman"/>
          <w:sz w:val="16"/>
          <w:szCs w:val="16"/>
          <w:color w:val="001544"/>
        </w:rPr>
      </w:pPr>
      <w:r>
        <w:rPr>
          <w:rFonts w:ascii="Arial" w:cs="Arial" w:eastAsia="Arial" w:hAnsi="Arial"/>
          <w:sz w:val="16"/>
          <w:szCs w:val="16"/>
          <w:color w:val="auto"/>
        </w:rPr>
        <w:t>By sending written notice of revocation to our Chief Legal Officer and Secretary at 750 Park of Commerce Drive, Suite 210, Boca Raton, FL 33487, which notice must be received by 5:00 p.m. (Eastern Time) on May 21, 2025;</w:t>
      </w:r>
    </w:p>
    <w:p>
      <w:pPr>
        <w:spacing w:after="0" w:line="15" w:lineRule="exact"/>
        <w:rPr>
          <w:rFonts w:ascii="Times New Roman" w:cs="Times New Roman" w:eastAsia="Times New Roman" w:hAnsi="Times New Roman"/>
          <w:sz w:val="16"/>
          <w:szCs w:val="16"/>
          <w:color w:val="001544"/>
        </w:rPr>
      </w:pPr>
    </w:p>
    <w:p>
      <w:pPr>
        <w:ind w:left="300" w:right="360" w:hanging="293"/>
        <w:spacing w:after="0" w:line="246" w:lineRule="auto"/>
        <w:tabs>
          <w:tab w:leader="none" w:pos="300" w:val="left"/>
        </w:tabs>
        <w:numPr>
          <w:ilvl w:val="0"/>
          <w:numId w:val="122"/>
        </w:numPr>
        <w:rPr>
          <w:rFonts w:ascii="Times New Roman" w:cs="Times New Roman" w:eastAsia="Times New Roman" w:hAnsi="Times New Roman"/>
          <w:sz w:val="18"/>
          <w:szCs w:val="18"/>
          <w:color w:val="001544"/>
        </w:rPr>
      </w:pPr>
      <w:r>
        <w:rPr>
          <w:rFonts w:ascii="Arial" w:cs="Arial" w:eastAsia="Arial" w:hAnsi="Arial"/>
          <w:sz w:val="18"/>
          <w:szCs w:val="18"/>
          <w:color w:val="auto"/>
        </w:rPr>
        <w:t>By signing a later-dated proxy card and submitting it to our Chief Legal Officer and Secretary at 750 Park of Commerce Drive, Suite 210, Boca Raton, FL 33487, so that it is received by 5:00 p.m. (Eastern Time) on May 21, 2025; or</w:t>
      </w:r>
    </w:p>
    <w:p>
      <w:pPr>
        <w:spacing w:after="0" w:line="28" w:lineRule="exact"/>
        <w:rPr>
          <w:rFonts w:ascii="Times New Roman" w:cs="Times New Roman" w:eastAsia="Times New Roman" w:hAnsi="Times New Roman"/>
          <w:sz w:val="18"/>
          <w:szCs w:val="18"/>
          <w:color w:val="001544"/>
        </w:rPr>
      </w:pPr>
    </w:p>
    <w:p>
      <w:pPr>
        <w:ind w:left="300" w:hanging="293"/>
        <w:spacing w:after="0"/>
        <w:tabs>
          <w:tab w:leader="none" w:pos="300" w:val="left"/>
        </w:tabs>
        <w:numPr>
          <w:ilvl w:val="0"/>
          <w:numId w:val="122"/>
        </w:numPr>
        <w:rPr>
          <w:rFonts w:ascii="Times New Roman" w:cs="Times New Roman" w:eastAsia="Times New Roman" w:hAnsi="Times New Roman"/>
          <w:sz w:val="18"/>
          <w:szCs w:val="18"/>
          <w:color w:val="001544"/>
        </w:rPr>
      </w:pPr>
      <w:r>
        <w:rPr>
          <w:rFonts w:ascii="Arial" w:cs="Arial" w:eastAsia="Arial" w:hAnsi="Arial"/>
          <w:sz w:val="18"/>
          <w:szCs w:val="18"/>
          <w:color w:val="auto"/>
        </w:rPr>
        <w:t>By attending the meeting and voting your shares in person.</w:t>
      </w:r>
    </w:p>
    <w:p>
      <w:pPr>
        <w:spacing w:after="0" w:line="200" w:lineRule="exact"/>
        <w:rPr>
          <w:sz w:val="20"/>
          <w:szCs w:val="20"/>
          <w:color w:val="auto"/>
        </w:rPr>
      </w:pPr>
    </w:p>
    <w:p>
      <w:pPr>
        <w:spacing w:after="0" w:line="39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FREQUENTLY ASKED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If you require assistance in changing or revoking your proxy, please contact the Company’s proxy solicitor:</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D.F. King &amp; Co., Inc.</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48 Wall Street, 22nd Floor</w:t>
      </w:r>
    </w:p>
    <w:p>
      <w:pPr>
        <w:ind w:left="300"/>
        <w:spacing w:after="0"/>
        <w:rPr>
          <w:sz w:val="20"/>
          <w:szCs w:val="20"/>
          <w:color w:val="auto"/>
        </w:rPr>
      </w:pPr>
      <w:r>
        <w:rPr>
          <w:rFonts w:ascii="Arial" w:cs="Arial" w:eastAsia="Arial" w:hAnsi="Arial"/>
          <w:sz w:val="18"/>
          <w:szCs w:val="18"/>
          <w:color w:val="auto"/>
        </w:rPr>
        <w:t>New York, NY 10005</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Banks and Brokers Call Collect: (212) 269-5550</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All Others Call Toll-Free: (866) 342-4882</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Email: DBRG@dfking.com</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What happens if additional matters are presented at the 2025 Annual Meeting?</w:t>
      </w:r>
    </w:p>
    <w:p>
      <w:pPr>
        <w:spacing w:after="0" w:line="211"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We know of no other matters other than the items of business described in this Proxy Statement that can be considered at the 2025 Annual Meeting. If other matters requiring a vote do properly come before the 2025 Annual Meeting, any proxies received by us will be voted in the discretion of the proxy holders.</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Who will count the votes?</w:t>
      </w:r>
    </w:p>
    <w:p>
      <w:pPr>
        <w:spacing w:after="0" w:line="211" w:lineRule="exact"/>
        <w:rPr>
          <w:sz w:val="20"/>
          <w:szCs w:val="20"/>
          <w:color w:val="auto"/>
        </w:rPr>
      </w:pPr>
    </w:p>
    <w:p>
      <w:pPr>
        <w:ind w:right="580"/>
        <w:spacing w:after="0" w:line="247" w:lineRule="auto"/>
        <w:rPr>
          <w:sz w:val="20"/>
          <w:szCs w:val="20"/>
          <w:color w:val="auto"/>
        </w:rPr>
      </w:pPr>
      <w:r>
        <w:rPr>
          <w:rFonts w:ascii="Arial" w:cs="Arial" w:eastAsia="Arial" w:hAnsi="Arial"/>
          <w:sz w:val="18"/>
          <w:szCs w:val="18"/>
          <w:color w:val="auto"/>
        </w:rPr>
        <w:t>A representative of Equiniti Trust Company, LLC will be present at the meeting to count the votes and act as the independent inspector of election. We will publish the voting results in a filing with the SEC by the end of the fourth business day after the 2025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Who pays the cost of this proxy solicitation?</w:t>
      </w:r>
    </w:p>
    <w:p>
      <w:pPr>
        <w:spacing w:after="0" w:line="21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this proxy solicitation is by and on behalf of the Board of Directors, the Company will pay the cost of preparing, assembling and mailing the proxy materials. We will also request banks, brokers and other holders of record to send the proxy materials to, and obtain proxies from, beneficial owners and will reimburse them for their reasonable expenses in doing so. The Company has retained D.F. King to provide proxy solicitation services. Under our agreement with D.F. King, D.F. King will receive a fee of up to $12,500 plus the reimbursement of reasonable expenses. D.F. King will solicit proxies by mail, telephone, facsimile or email.</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Is this Proxy Statement the only way that proxies are being solicited?</w:t>
      </w:r>
    </w:p>
    <w:p>
      <w:pPr>
        <w:spacing w:after="0" w:line="21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Certain officers, directors, employees or other representatives of the Company may also solicit proxies by telephone, facsimile, e-mail or personal contact. They will not be specifically compensated for doing so.</w:t>
      </w:r>
    </w:p>
    <w:p>
      <w:pPr>
        <w:spacing w:after="0" w:line="114" w:lineRule="exact"/>
        <w:rPr>
          <w:sz w:val="20"/>
          <w:szCs w:val="20"/>
          <w:color w:val="auto"/>
        </w:rPr>
      </w:pPr>
    </w:p>
    <w:p>
      <w:pPr>
        <w:spacing w:after="0"/>
        <w:rPr>
          <w:sz w:val="20"/>
          <w:szCs w:val="20"/>
          <w:color w:val="auto"/>
        </w:rPr>
      </w:pPr>
      <w:r>
        <w:rPr>
          <w:rFonts w:ascii="Arial" w:cs="Arial" w:eastAsia="Arial" w:hAnsi="Arial"/>
          <w:sz w:val="35"/>
          <w:szCs w:val="35"/>
          <w:color w:val="001544"/>
        </w:rPr>
        <w:t>Attend Our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287655</wp:posOffset>
            </wp:positionV>
            <wp:extent cx="351155" cy="3352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51155" cy="335280"/>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271145</wp:posOffset>
            </wp:positionV>
            <wp:extent cx="351155" cy="3587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51155" cy="358775"/>
                    </a:xfrm>
                    <a:prstGeom prst="rect">
                      <a:avLst/>
                    </a:prstGeom>
                    <a:noFill/>
                  </pic:spPr>
                </pic:pic>
              </a:graphicData>
            </a:graphic>
          </wp:anchor>
        </w:drawing>
        <w:drawing>
          <wp:anchor simplePos="0" relativeHeight="251657728" behindDoc="1" locked="0" layoutInCell="0" allowOverlap="1">
            <wp:simplePos x="0" y="0"/>
            <wp:positionH relativeFrom="column">
              <wp:posOffset>1628140</wp:posOffset>
            </wp:positionH>
            <wp:positionV relativeFrom="paragraph">
              <wp:posOffset>191770</wp:posOffset>
            </wp:positionV>
            <wp:extent cx="271145" cy="4387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71145" cy="43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2360" w:type="dxa"/>
            <w:vAlign w:val="bottom"/>
            <w:tcBorders>
              <w:bottom w:val="single" w:sz="8" w:color="001544"/>
            </w:tcBorders>
          </w:tcPr>
          <w:p>
            <w:pPr>
              <w:ind w:left="640"/>
              <w:spacing w:after="0"/>
              <w:rPr>
                <w:sz w:val="20"/>
                <w:szCs w:val="20"/>
                <w:color w:val="auto"/>
              </w:rPr>
            </w:pPr>
            <w:r>
              <w:rPr>
                <w:rFonts w:ascii="Arial" w:cs="Arial" w:eastAsia="Arial" w:hAnsi="Arial"/>
                <w:sz w:val="16"/>
                <w:szCs w:val="16"/>
                <w:b w:val="1"/>
                <w:bCs w:val="1"/>
                <w:color w:val="001544"/>
              </w:rPr>
              <w:t>Date and Time</w:t>
            </w:r>
          </w:p>
        </w:tc>
        <w:tc>
          <w:tcPr>
            <w:tcW w:w="180" w:type="dxa"/>
            <w:vAlign w:val="bottom"/>
          </w:tcPr>
          <w:p>
            <w:pPr>
              <w:spacing w:after="0"/>
              <w:rPr>
                <w:sz w:val="19"/>
                <w:szCs w:val="19"/>
                <w:color w:val="auto"/>
              </w:rPr>
            </w:pPr>
          </w:p>
        </w:tc>
        <w:tc>
          <w:tcPr>
            <w:tcW w:w="3420" w:type="dxa"/>
            <w:vAlign w:val="bottom"/>
            <w:tcBorders>
              <w:bottom w:val="single" w:sz="8" w:color="001544"/>
            </w:tcBorders>
          </w:tcPr>
          <w:p>
            <w:pPr>
              <w:ind w:left="660"/>
              <w:spacing w:after="0"/>
              <w:rPr>
                <w:sz w:val="20"/>
                <w:szCs w:val="20"/>
                <w:color w:val="auto"/>
              </w:rPr>
            </w:pPr>
            <w:r>
              <w:rPr>
                <w:rFonts w:ascii="Arial" w:cs="Arial" w:eastAsia="Arial" w:hAnsi="Arial"/>
                <w:sz w:val="16"/>
                <w:szCs w:val="16"/>
                <w:b w:val="1"/>
                <w:bCs w:val="1"/>
                <w:color w:val="001544"/>
              </w:rPr>
              <w:t>Location</w:t>
            </w:r>
          </w:p>
        </w:tc>
        <w:tc>
          <w:tcPr>
            <w:tcW w:w="200" w:type="dxa"/>
            <w:vAlign w:val="bottom"/>
          </w:tcPr>
          <w:p>
            <w:pPr>
              <w:spacing w:after="0"/>
              <w:rPr>
                <w:sz w:val="19"/>
                <w:szCs w:val="19"/>
                <w:color w:val="auto"/>
              </w:rPr>
            </w:pPr>
          </w:p>
        </w:tc>
        <w:tc>
          <w:tcPr>
            <w:tcW w:w="3300" w:type="dxa"/>
            <w:vAlign w:val="bottom"/>
            <w:tcBorders>
              <w:bottom w:val="single" w:sz="8" w:color="001544"/>
            </w:tcBorders>
          </w:tcPr>
          <w:p>
            <w:pPr>
              <w:ind w:left="640"/>
              <w:spacing w:after="0"/>
              <w:rPr>
                <w:sz w:val="20"/>
                <w:szCs w:val="20"/>
                <w:color w:val="auto"/>
              </w:rPr>
            </w:pPr>
            <w:r>
              <w:rPr>
                <w:rFonts w:ascii="Arial" w:cs="Arial" w:eastAsia="Arial" w:hAnsi="Arial"/>
                <w:sz w:val="16"/>
                <w:szCs w:val="16"/>
                <w:b w:val="1"/>
                <w:bCs w:val="1"/>
                <w:color w:val="001544"/>
              </w:rPr>
              <w:t>Record Date</w:t>
            </w:r>
          </w:p>
        </w:tc>
      </w:tr>
      <w:tr>
        <w:trPr>
          <w:trHeight w:val="217"/>
        </w:trPr>
        <w:tc>
          <w:tcPr>
            <w:tcW w:w="2360" w:type="dxa"/>
            <w:vAlign w:val="bottom"/>
            <w:shd w:val="clear" w:color="auto" w:fill="DBDFEA"/>
          </w:tcPr>
          <w:p>
            <w:pPr>
              <w:ind w:left="60"/>
              <w:spacing w:after="0"/>
              <w:rPr>
                <w:sz w:val="20"/>
                <w:szCs w:val="20"/>
                <w:color w:val="auto"/>
              </w:rPr>
            </w:pPr>
            <w:r>
              <w:rPr>
                <w:rFonts w:ascii="Arial" w:cs="Arial" w:eastAsia="Arial" w:hAnsi="Arial"/>
                <w:sz w:val="17"/>
                <w:szCs w:val="17"/>
                <w:color w:val="auto"/>
              </w:rPr>
              <w:t>May 23, 2025,</w:t>
            </w:r>
          </w:p>
        </w:tc>
        <w:tc>
          <w:tcPr>
            <w:tcW w:w="180" w:type="dxa"/>
            <w:vAlign w:val="bottom"/>
          </w:tcPr>
          <w:p>
            <w:pPr>
              <w:spacing w:after="0"/>
              <w:rPr>
                <w:sz w:val="18"/>
                <w:szCs w:val="18"/>
                <w:color w:val="auto"/>
              </w:rPr>
            </w:pPr>
          </w:p>
        </w:tc>
        <w:tc>
          <w:tcPr>
            <w:tcW w:w="3420" w:type="dxa"/>
            <w:vAlign w:val="bottom"/>
            <w:shd w:val="clear" w:color="auto" w:fill="DBDFEA"/>
          </w:tcPr>
          <w:p>
            <w:pPr>
              <w:ind w:left="60"/>
              <w:spacing w:after="0"/>
              <w:rPr>
                <w:sz w:val="20"/>
                <w:szCs w:val="20"/>
                <w:color w:val="auto"/>
              </w:rPr>
            </w:pPr>
            <w:r>
              <w:rPr>
                <w:rFonts w:ascii="Arial" w:cs="Arial" w:eastAsia="Arial" w:hAnsi="Arial"/>
                <w:sz w:val="17"/>
                <w:szCs w:val="17"/>
                <w:color w:val="001544"/>
              </w:rPr>
              <w:t>https://web.lumiconnect.com/286413441</w:t>
            </w:r>
          </w:p>
        </w:tc>
        <w:tc>
          <w:tcPr>
            <w:tcW w:w="200" w:type="dxa"/>
            <w:vAlign w:val="bottom"/>
          </w:tcPr>
          <w:p>
            <w:pPr>
              <w:spacing w:after="0"/>
              <w:rPr>
                <w:sz w:val="18"/>
                <w:szCs w:val="18"/>
                <w:color w:val="auto"/>
              </w:rPr>
            </w:pPr>
          </w:p>
        </w:tc>
        <w:tc>
          <w:tcPr>
            <w:tcW w:w="3300" w:type="dxa"/>
            <w:vAlign w:val="bottom"/>
            <w:shd w:val="clear" w:color="auto" w:fill="DBDFEA"/>
          </w:tcPr>
          <w:p>
            <w:pPr>
              <w:ind w:left="60"/>
              <w:spacing w:after="0"/>
              <w:rPr>
                <w:sz w:val="20"/>
                <w:szCs w:val="20"/>
                <w:color w:val="auto"/>
              </w:rPr>
            </w:pPr>
            <w:r>
              <w:rPr>
                <w:rFonts w:ascii="Arial" w:cs="Arial" w:eastAsia="Arial" w:hAnsi="Arial"/>
                <w:sz w:val="17"/>
                <w:szCs w:val="17"/>
                <w:color w:val="auto"/>
              </w:rPr>
              <w:t>April 7, 2025</w:t>
            </w:r>
          </w:p>
        </w:tc>
      </w:tr>
      <w:tr>
        <w:trPr>
          <w:trHeight w:val="222"/>
        </w:trPr>
        <w:tc>
          <w:tcPr>
            <w:tcW w:w="2360" w:type="dxa"/>
            <w:vAlign w:val="bottom"/>
            <w:shd w:val="clear" w:color="auto" w:fill="DBDFEA"/>
          </w:tcPr>
          <w:p>
            <w:pPr>
              <w:ind w:left="60"/>
              <w:spacing w:after="0"/>
              <w:rPr>
                <w:sz w:val="20"/>
                <w:szCs w:val="20"/>
                <w:color w:val="auto"/>
              </w:rPr>
            </w:pPr>
            <w:r>
              <w:rPr>
                <w:rFonts w:ascii="Arial" w:cs="Arial" w:eastAsia="Arial" w:hAnsi="Arial"/>
                <w:sz w:val="17"/>
                <w:szCs w:val="17"/>
                <w:color w:val="auto"/>
              </w:rPr>
              <w:t>at 9:00 a.m., Eastern Time</w:t>
            </w:r>
          </w:p>
        </w:tc>
        <w:tc>
          <w:tcPr>
            <w:tcW w:w="180" w:type="dxa"/>
            <w:vAlign w:val="bottom"/>
          </w:tcPr>
          <w:p>
            <w:pPr>
              <w:spacing w:after="0"/>
              <w:rPr>
                <w:sz w:val="19"/>
                <w:szCs w:val="19"/>
                <w:color w:val="auto"/>
              </w:rPr>
            </w:pPr>
          </w:p>
        </w:tc>
        <w:tc>
          <w:tcPr>
            <w:tcW w:w="3420" w:type="dxa"/>
            <w:vAlign w:val="bottom"/>
            <w:shd w:val="clear" w:color="auto" w:fill="DBDFEA"/>
          </w:tcPr>
          <w:p>
            <w:pPr>
              <w:spacing w:after="0"/>
              <w:rPr>
                <w:sz w:val="19"/>
                <w:szCs w:val="19"/>
                <w:color w:val="auto"/>
              </w:rPr>
            </w:pPr>
          </w:p>
        </w:tc>
        <w:tc>
          <w:tcPr>
            <w:tcW w:w="200" w:type="dxa"/>
            <w:vAlign w:val="bottom"/>
          </w:tcPr>
          <w:p>
            <w:pPr>
              <w:spacing w:after="0"/>
              <w:rPr>
                <w:sz w:val="19"/>
                <w:szCs w:val="19"/>
                <w:color w:val="auto"/>
              </w:rPr>
            </w:pPr>
          </w:p>
        </w:tc>
        <w:tc>
          <w:tcPr>
            <w:tcW w:w="3300" w:type="dxa"/>
            <w:vAlign w:val="bottom"/>
            <w:shd w:val="clear" w:color="auto" w:fill="DBDFEA"/>
          </w:tcPr>
          <w:p>
            <w:pPr>
              <w:spacing w:after="0"/>
              <w:rPr>
                <w:sz w:val="19"/>
                <w:szCs w:val="19"/>
                <w:color w:val="auto"/>
              </w:rPr>
            </w:pPr>
          </w:p>
        </w:tc>
      </w:tr>
      <w:tr>
        <w:trPr>
          <w:trHeight w:val="34"/>
        </w:trPr>
        <w:tc>
          <w:tcPr>
            <w:tcW w:w="2360" w:type="dxa"/>
            <w:vAlign w:val="bottom"/>
            <w:shd w:val="clear" w:color="auto" w:fill="DBDFEA"/>
          </w:tcPr>
          <w:p>
            <w:pPr>
              <w:spacing w:after="0"/>
              <w:rPr>
                <w:sz w:val="2"/>
                <w:szCs w:val="2"/>
                <w:color w:val="auto"/>
              </w:rPr>
            </w:pPr>
          </w:p>
        </w:tc>
        <w:tc>
          <w:tcPr>
            <w:tcW w:w="180" w:type="dxa"/>
            <w:vAlign w:val="bottom"/>
          </w:tcPr>
          <w:p>
            <w:pPr>
              <w:spacing w:after="0"/>
              <w:rPr>
                <w:sz w:val="2"/>
                <w:szCs w:val="2"/>
                <w:color w:val="auto"/>
              </w:rPr>
            </w:pPr>
          </w:p>
        </w:tc>
        <w:tc>
          <w:tcPr>
            <w:tcW w:w="3420" w:type="dxa"/>
            <w:vAlign w:val="bottom"/>
            <w:shd w:val="clear" w:color="auto" w:fill="DBDFEA"/>
          </w:tcPr>
          <w:p>
            <w:pPr>
              <w:spacing w:after="0"/>
              <w:rPr>
                <w:sz w:val="2"/>
                <w:szCs w:val="2"/>
                <w:color w:val="auto"/>
              </w:rPr>
            </w:pPr>
          </w:p>
        </w:tc>
        <w:tc>
          <w:tcPr>
            <w:tcW w:w="200" w:type="dxa"/>
            <w:vAlign w:val="bottom"/>
          </w:tcPr>
          <w:p>
            <w:pPr>
              <w:spacing w:after="0"/>
              <w:rPr>
                <w:sz w:val="2"/>
                <w:szCs w:val="2"/>
                <w:color w:val="auto"/>
              </w:rPr>
            </w:pPr>
          </w:p>
        </w:tc>
        <w:tc>
          <w:tcPr>
            <w:tcW w:w="3300" w:type="dxa"/>
            <w:vAlign w:val="bottom"/>
            <w:shd w:val="clear" w:color="auto" w:fill="DBDFEA"/>
          </w:tcPr>
          <w:p>
            <w:pPr>
              <w:spacing w:after="0"/>
              <w:rPr>
                <w:sz w:val="2"/>
                <w:szCs w:val="2"/>
                <w:color w:val="auto"/>
              </w:rPr>
            </w:pPr>
          </w:p>
        </w:tc>
      </w:tr>
    </w:tbl>
    <w:p>
      <w:pPr>
        <w:spacing w:after="0" w:line="177" w:lineRule="exact"/>
        <w:rPr>
          <w:sz w:val="20"/>
          <w:szCs w:val="20"/>
          <w:color w:val="auto"/>
        </w:rPr>
      </w:pPr>
    </w:p>
    <w:p>
      <w:pPr>
        <w:ind w:right="480"/>
        <w:spacing w:after="0" w:line="247" w:lineRule="auto"/>
        <w:rPr>
          <w:sz w:val="20"/>
          <w:szCs w:val="20"/>
          <w:color w:val="auto"/>
        </w:rPr>
      </w:pPr>
      <w:r>
        <w:rPr>
          <w:rFonts w:ascii="Arial" w:cs="Arial" w:eastAsia="Arial" w:hAnsi="Arial"/>
          <w:sz w:val="18"/>
          <w:szCs w:val="18"/>
          <w:color w:val="auto"/>
        </w:rPr>
        <w:t xml:space="preserve">The 2025 Annual Meeting will be held on Tuesday, May 23, 2025 commencing at 9:00 a.m. Eastern Time. The 2025 Annual Meeting will be held in a virtual meeting format only and can be accessed online at </w:t>
      </w:r>
      <w:r>
        <w:rPr>
          <w:rFonts w:ascii="Arial" w:cs="Arial" w:eastAsia="Arial" w:hAnsi="Arial"/>
          <w:sz w:val="18"/>
          <w:szCs w:val="18"/>
          <w:color w:val="001544"/>
        </w:rPr>
        <w:t>https://web.lumiconnect.com/286413441</w:t>
      </w:r>
      <w:r>
        <w:rPr>
          <w:rFonts w:ascii="Arial" w:cs="Arial" w:eastAsia="Arial" w:hAnsi="Arial"/>
          <w:sz w:val="18"/>
          <w:szCs w:val="18"/>
          <w:color w:val="000000"/>
        </w:rPr>
        <w:t>. There is no physical location for the 2025 Annual Meeting.</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5420"/>
        <w:spacing w:after="0"/>
        <w:rPr>
          <w:sz w:val="20"/>
          <w:szCs w:val="20"/>
          <w:color w:val="auto"/>
        </w:rPr>
      </w:pPr>
      <w:r>
        <w:rPr>
          <w:rFonts w:ascii="Arial" w:cs="Arial" w:eastAsia="Arial" w:hAnsi="Arial"/>
          <w:sz w:val="16"/>
          <w:szCs w:val="16"/>
          <w:color w:val="B1B4B6"/>
        </w:rPr>
        <w:t>FREQUENTLY ASKED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600900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3" w:lineRule="exact"/>
        <w:rPr>
          <w:sz w:val="20"/>
          <w:szCs w:val="20"/>
          <w:color w:val="auto"/>
        </w:rPr>
      </w:pPr>
    </w:p>
    <w:p>
      <w:pPr>
        <w:ind w:right="220"/>
        <w:spacing w:after="0" w:line="272" w:lineRule="auto"/>
        <w:rPr>
          <w:sz w:val="20"/>
          <w:szCs w:val="20"/>
          <w:color w:val="auto"/>
        </w:rPr>
      </w:pPr>
      <w:r>
        <w:rPr>
          <w:rFonts w:ascii="Arial" w:cs="Arial" w:eastAsia="Arial" w:hAnsi="Arial"/>
          <w:sz w:val="16"/>
          <w:szCs w:val="16"/>
          <w:color w:val="auto"/>
        </w:rPr>
        <w:t xml:space="preserve">To attend and participate in the virtual Annual Meeting, please visit </w:t>
      </w:r>
      <w:r>
        <w:rPr>
          <w:rFonts w:ascii="Arial" w:cs="Arial" w:eastAsia="Arial" w:hAnsi="Arial"/>
          <w:sz w:val="16"/>
          <w:szCs w:val="16"/>
          <w:color w:val="001544"/>
        </w:rPr>
        <w:t>https://web.lumiconnect.com/286413441</w:t>
      </w:r>
      <w:r>
        <w:rPr>
          <w:rFonts w:ascii="Arial" w:cs="Arial" w:eastAsia="Arial" w:hAnsi="Arial"/>
          <w:sz w:val="16"/>
          <w:szCs w:val="16"/>
          <w:color w:val="auto"/>
        </w:rPr>
        <w:t>. Click on “I have a control number” enter the control number found on your notice of meeting or proxy card you previously received and enter the password digitalbridge2025 (the password is case sensitive). You will be able to submit questions during the meeting via live audio webcast. During the 2025 Annual Meeting, we will attempt to answer as many questions submitted by stockholders as time permits. We reserve the right to exclude questions regarding topics that are not pertinent to meeting matters or company business. Additionally, if we receive substantially similar questions, we may group such questions together and provide a single response for efficiency and to avoid repetition.</w:t>
      </w:r>
    </w:p>
    <w:p>
      <w:pPr>
        <w:spacing w:after="0" w:line="14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If your shares are held in “street name” through a broker, bank or other nominee, in order to participate in the live webcast of the 2025 Annual Meeting you must first obtain a legal proxy from your bank, broker or other nominee reflecting the number of shares you held as of the record date for the 2025 Annual Meeting, your name and email address. You must then submit a request for registration to Equiniti Trust Company, LLC:</w:t>
      </w:r>
    </w:p>
    <w:p>
      <w:pPr>
        <w:spacing w:after="0" w:line="170" w:lineRule="exact"/>
        <w:rPr>
          <w:sz w:val="20"/>
          <w:szCs w:val="20"/>
          <w:color w:val="auto"/>
        </w:rPr>
      </w:pPr>
    </w:p>
    <w:p>
      <w:pPr>
        <w:ind w:left="640" w:hanging="307"/>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by email to </w:t>
      </w:r>
      <w:r>
        <w:rPr>
          <w:rFonts w:ascii="Arial" w:cs="Arial" w:eastAsia="Arial" w:hAnsi="Arial"/>
          <w:sz w:val="18"/>
          <w:szCs w:val="18"/>
          <w:color w:val="001544"/>
        </w:rPr>
        <w:t>proxy@equiniti.com</w:t>
      </w:r>
      <w:r>
        <w:rPr>
          <w:rFonts w:ascii="Arial" w:cs="Arial" w:eastAsia="Arial" w:hAnsi="Arial"/>
          <w:sz w:val="18"/>
          <w:szCs w:val="18"/>
          <w:color w:val="auto"/>
        </w:rPr>
        <w:t>;</w:t>
      </w:r>
    </w:p>
    <w:p>
      <w:pPr>
        <w:spacing w:after="0" w:line="10" w:lineRule="exact"/>
        <w:rPr>
          <w:rFonts w:ascii="Arial" w:cs="Arial" w:eastAsia="Arial" w:hAnsi="Arial"/>
          <w:sz w:val="18"/>
          <w:szCs w:val="18"/>
          <w:color w:val="auto"/>
        </w:rPr>
      </w:pPr>
    </w:p>
    <w:p>
      <w:pPr>
        <w:ind w:left="640" w:hanging="307"/>
        <w:spacing w:after="0" w:line="233" w:lineRule="auto"/>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by facsimile to 718-765-8730; or</w:t>
      </w:r>
    </w:p>
    <w:p>
      <w:pPr>
        <w:ind w:left="640" w:right="300" w:hanging="307"/>
        <w:spacing w:after="0" w:line="238" w:lineRule="auto"/>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by mail to Equiniti Trust Company, LLC, Attn: Proxy Tabulation Department, 6201 15th Avenue, Brooklyn, NY 11219. Requests for registration must be labeled as “Legal Proxy” and be received by Equiniti Trust Company, LLC </w:t>
      </w:r>
      <w:r>
        <w:rPr>
          <w:rFonts w:ascii="Arial" w:cs="Arial" w:eastAsia="Arial" w:hAnsi="Arial"/>
          <w:sz w:val="18"/>
          <w:szCs w:val="18"/>
          <w:i w:val="1"/>
          <w:iCs w:val="1"/>
          <w:color w:val="auto"/>
        </w:rPr>
        <w:t>by no later than 5:00 p.m. Eastern Standard Time on May 16, 2025</w:t>
      </w:r>
      <w:r>
        <w:rPr>
          <w:rFonts w:ascii="Arial" w:cs="Arial" w:eastAsia="Arial" w:hAnsi="Arial"/>
          <w:sz w:val="18"/>
          <w:szCs w:val="18"/>
          <w:color w:val="auto"/>
        </w:rPr>
        <w:t>.</w:t>
      </w:r>
    </w:p>
    <w:p>
      <w:pPr>
        <w:spacing w:after="0" w:line="17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Online access to the webcast will open 30 minutes prior to the start of the 2025 Annual Meeting to allow time for you to log-in and test your device. We encourage you to access the website in advance of the designated start time.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40"/>
          <w:szCs w:val="40"/>
          <w:color w:val="auto"/>
        </w:rPr>
        <w:t>OTHER</w:t>
      </w:r>
    </w:p>
    <w:p>
      <w:pPr>
        <w:spacing w:after="0" w:line="50"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194945</wp:posOffset>
            </wp:positionV>
            <wp:extent cx="478790" cy="641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78790" cy="6413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35"/>
          <w:szCs w:val="35"/>
          <w:color w:val="001544"/>
        </w:rPr>
        <w:t>Stockholder Proposals and Director Nominations for 2026</w:t>
      </w:r>
    </w:p>
    <w:p>
      <w:pPr>
        <w:spacing w:after="0" w:line="20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Proposals received from stockholders in accordance with Rule 14a-8 under the Exchange Act are eligible for consideration for inclusion in the proxy statement for the 2025 Annual Meeting of Stockholders if they are received at our principal executive office, on or before December 18, 2025.</w:t>
      </w:r>
    </w:p>
    <w:p>
      <w:pPr>
        <w:spacing w:after="0" w:line="16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addition to satisfying the foregoing requirements under our bylaws, to comply with the universal proxy rules under the Exchange Act, shareholders who intend to solicit proxies in support of trustee nominees other than the Company’s nominees must provide notice that sets forth the information required by Rule 14a-19 under the Exchange Act.</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Proposals received from stockholders submitted outside of Rule 14a-8 under the Exchange Act or for a director nomination must comply with the advance notice and other requirements set forth in our bylaws in order to be presented at an annual meeting. These requirements currently include, in part, the requirement that any such proposal or nomination must, with certain exceptions if the date of the 2026 annual meeting of stockholders is advanced or delayed more than 30 days from the first anniversary of the date of this year’s annual meeting, be submitted to the Secretary of the Company at our principal executive office at least 120 and not more than 150 days prior to the first anniversary of the date of this year’s Proxy Statement (or between November 18, 2025 and 5:00 p.m., Eastern Time, on December 18, 2025, based on the date of this year’s Proxy Statement, as defined in our bylaws, of April 17, 2025).</w:t>
      </w:r>
    </w:p>
    <w:p>
      <w:pPr>
        <w:spacing w:after="0" w:line="316" w:lineRule="exact"/>
        <w:rPr>
          <w:sz w:val="20"/>
          <w:szCs w:val="20"/>
          <w:color w:val="auto"/>
        </w:rPr>
      </w:pPr>
    </w:p>
    <w:p>
      <w:pPr>
        <w:spacing w:after="0"/>
        <w:rPr>
          <w:sz w:val="20"/>
          <w:szCs w:val="20"/>
          <w:color w:val="auto"/>
        </w:rPr>
      </w:pPr>
      <w:r>
        <w:rPr>
          <w:rFonts w:ascii="Arial" w:cs="Arial" w:eastAsia="Arial" w:hAnsi="Arial"/>
          <w:sz w:val="35"/>
          <w:szCs w:val="35"/>
          <w:color w:val="001544"/>
        </w:rPr>
        <w:t>Annual Report</w:t>
      </w:r>
    </w:p>
    <w:p>
      <w:pPr>
        <w:spacing w:after="0" w:line="202"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A copy of our Annual Report to Stockholders for the fiscal year ended December 31, 2024 is being mailed with these proxy materials to stockholders entitled to vote at the annual meeting. In addition, a copy of our Annual Report on Form 10-K for the year ended December 31, 2024, will be sent to any stockholder without charge (except for exhibits, if requested, for which a reasonable fee will be charged), upon written request to:</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DigitalBridge Group, Inc.,</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Attn: Chief Legal Officer and Secretary.</w:t>
      </w:r>
    </w:p>
    <w:p>
      <w:pPr>
        <w:ind w:left="300"/>
        <w:spacing w:after="0" w:line="233" w:lineRule="auto"/>
        <w:rPr>
          <w:sz w:val="20"/>
          <w:szCs w:val="20"/>
          <w:color w:val="auto"/>
        </w:rPr>
      </w:pPr>
      <w:r>
        <w:rPr>
          <w:rFonts w:ascii="Arial" w:cs="Arial" w:eastAsia="Arial" w:hAnsi="Arial"/>
          <w:sz w:val="18"/>
          <w:szCs w:val="18"/>
          <w:color w:val="auto"/>
        </w:rPr>
        <w:t>750 Park of Commerce Drive,</w:t>
      </w:r>
    </w:p>
    <w:p>
      <w:pPr>
        <w:ind w:left="300"/>
        <w:spacing w:after="0" w:line="233" w:lineRule="auto"/>
        <w:rPr>
          <w:sz w:val="20"/>
          <w:szCs w:val="20"/>
          <w:color w:val="auto"/>
        </w:rPr>
      </w:pPr>
      <w:r>
        <w:rPr>
          <w:rFonts w:ascii="Arial" w:cs="Arial" w:eastAsia="Arial" w:hAnsi="Arial"/>
          <w:sz w:val="18"/>
          <w:szCs w:val="18"/>
          <w:color w:val="auto"/>
        </w:rPr>
        <w:t>Suite 210,</w:t>
      </w:r>
    </w:p>
    <w:p>
      <w:pPr>
        <w:ind w:left="300"/>
        <w:spacing w:after="0"/>
        <w:rPr>
          <w:sz w:val="20"/>
          <w:szCs w:val="20"/>
          <w:color w:val="auto"/>
        </w:rPr>
      </w:pPr>
      <w:r>
        <w:rPr>
          <w:rFonts w:ascii="Arial" w:cs="Arial" w:eastAsia="Arial" w:hAnsi="Arial"/>
          <w:sz w:val="18"/>
          <w:szCs w:val="18"/>
          <w:color w:val="auto"/>
        </w:rPr>
        <w:t>Boca Raton, FL 33487</w:t>
      </w:r>
    </w:p>
    <w:p>
      <w:pPr>
        <w:spacing w:after="0" w:line="179"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If you would like to receive future stockholder communications via the Internet exclusively, and no longer receive any material by mail, please visit http://www. equiniti.com and click on “Login” to enroll. Please enter your account number and tax identification number to log in, then select “Receive Company Mailings via E-Mail” and provide your e-mail address.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380"/>
          </w:cols>
          <w:pgMar w:left="1200" w:top="487" w:right="131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35"/>
          <w:szCs w:val="35"/>
          <w:color w:val="001544"/>
        </w:rPr>
        <w:t>Where You Can Find More Information</w:t>
      </w:r>
    </w:p>
    <w:p>
      <w:pPr>
        <w:spacing w:after="0" w:line="20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 xml:space="preserve">We make available free of charge through our website at www.digitalbridge.com under the heading “Shareholders—SEC Filings” the periodic reports and other information we file with the SEC, as required by the Exchange Act. Copies may also be accessed electronically by means of the SEC home page on the Internet,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35"/>
          <w:szCs w:val="35"/>
          <w:color w:val="001544"/>
        </w:rPr>
        <w:t>Eliminating Duplicate Mailings</w:t>
      </w:r>
    </w:p>
    <w:p>
      <w:pPr>
        <w:spacing w:after="0" w:line="21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If you share an address with one or more other stockholders, you may have received notification that you will receive only a single copy of the Annual Report or this Proxy Statement for your entire household unless you or another stockholder at that address notifies our transfer agent that they wish to continue receiving individual copies. This practice, known as “householding,” is designed to reduce printing and mailing costs.</w:t>
      </w:r>
    </w:p>
    <w:p>
      <w:pPr>
        <w:spacing w:after="0" w:line="17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If you wish to receive free of charge a separate Annual Report or Proxy Statement this year or in the future, or if you are receiving multiple copies at your address and would like to enroll in “householding,” please contact our transfer agent, Equiniti Trust Company, LLC, our transfer agent, at 1-800-937-5449 or by mail to Equiniti Trust Company, LLC, Attn: Shareholder Services, 6201 15th Avenue, Brooklyn, NY 11219. If you own your shares in “street name,” please contact your broker, bank, trustee or other intermediary to make your request.</w:t>
      </w:r>
    </w:p>
    <w:p>
      <w:pPr>
        <w:spacing w:after="0" w:line="132" w:lineRule="exact"/>
        <w:rPr>
          <w:sz w:val="20"/>
          <w:szCs w:val="20"/>
          <w:color w:val="auto"/>
        </w:rPr>
      </w:pPr>
    </w:p>
    <w:p>
      <w:pPr>
        <w:spacing w:after="0"/>
        <w:rPr>
          <w:sz w:val="20"/>
          <w:szCs w:val="20"/>
          <w:color w:val="auto"/>
        </w:rPr>
      </w:pPr>
      <w:r>
        <w:rPr>
          <w:rFonts w:ascii="Arial" w:cs="Arial" w:eastAsia="Arial" w:hAnsi="Arial"/>
          <w:sz w:val="35"/>
          <w:szCs w:val="35"/>
          <w:color w:val="001544"/>
        </w:rPr>
        <w:t>Incorporation by Reference</w:t>
      </w:r>
    </w:p>
    <w:p>
      <w:pPr>
        <w:spacing w:after="0" w:line="20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our filings with the SEC, information is sometimes “incorporated by reference.” This means that we are referring you to information that has previously been filed with the SEC and the information should be considered as part of the particular filing. As provided under SEC regulations, the “Audit Committee Report” and the “Compensation Committee Report” contained in this Proxy Statement specifically are not incorporated by reference into any other filings with the SEC. In addition, this Proxy Statement includes several website addresses. These website addresses are intended to provide inactive, textual references only. The information on or accessible through these websites is not part of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Non-GAAP Financial Measures</w:t>
      </w:r>
    </w:p>
    <w:p>
      <w:pPr>
        <w:spacing w:after="0" w:line="218" w:lineRule="exact"/>
        <w:rPr>
          <w:sz w:val="20"/>
          <w:szCs w:val="20"/>
          <w:color w:val="auto"/>
        </w:rPr>
      </w:pPr>
    </w:p>
    <w:p>
      <w:pPr>
        <w:jc w:val="both"/>
        <w:ind w:right="400"/>
        <w:spacing w:after="0" w:line="261" w:lineRule="auto"/>
        <w:rPr>
          <w:sz w:val="20"/>
          <w:szCs w:val="20"/>
          <w:color w:val="auto"/>
        </w:rPr>
      </w:pPr>
      <w:r>
        <w:rPr>
          <w:rFonts w:ascii="Arial" w:cs="Arial" w:eastAsia="Arial" w:hAnsi="Arial"/>
          <w:sz w:val="18"/>
          <w:szCs w:val="18"/>
          <w:color w:val="auto"/>
        </w:rPr>
        <w:t>We refer to non-GAAP financial measures and certain other metrics within this Proxy Statement. The below provides definitions for these measures and metrics and reconciliations to GAAP measures.</w:t>
      </w:r>
    </w:p>
    <w:p>
      <w:pPr>
        <w:spacing w:after="0" w:line="153" w:lineRule="exact"/>
        <w:rPr>
          <w:sz w:val="20"/>
          <w:szCs w:val="20"/>
          <w:color w:val="auto"/>
        </w:rPr>
      </w:pPr>
    </w:p>
    <w:p>
      <w:pPr>
        <w:jc w:val="both"/>
        <w:ind w:right="420"/>
        <w:spacing w:after="0" w:line="247" w:lineRule="auto"/>
        <w:rPr>
          <w:sz w:val="20"/>
          <w:szCs w:val="20"/>
          <w:color w:val="auto"/>
        </w:rPr>
      </w:pPr>
      <w:r>
        <w:rPr>
          <w:rFonts w:ascii="Arial" w:cs="Arial" w:eastAsia="Arial" w:hAnsi="Arial"/>
          <w:sz w:val="18"/>
          <w:szCs w:val="18"/>
          <w:color w:val="auto"/>
        </w:rPr>
        <w:t>We report the following non-GAAP financial measures attributable to the Operating Company: Fee Related Earnings (“FRE”) and Distributable Earnings (“DE”). FRE and DE are common metrics utilized in the investment management sector.</w:t>
      </w:r>
    </w:p>
    <w:p>
      <w:pPr>
        <w:spacing w:after="0" w:line="16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present FRE and DE at the DigitalBridge Operating Company, LLC level, that is, net of amounts attributed to noncontrolling interests, which include (i) carried interest allocations to certain senior executives of the Company and a third-party investor; (ii) equity interests held by current and former employees and a third-party investor in general partner entities of the Company's sponsored funds; and (iii) limited partners of consolidated funds.</w:t>
      </w:r>
    </w:p>
    <w:p>
      <w:pPr>
        <w:spacing w:after="0" w:line="17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believe the non-GAAP financial measures of FRE and DE supplement and enhance the overall understanding of our underlying financial performance and trends, and facilitate comparison among current, past and future periods and to other companies in similar lines of business. We use FRE and DE in evaluating the Company’s ongoing business performance and in making operating decisions. For the same reasons, we believe FRE and DE are useful financial measures to the Company’s investors and analysts.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60"/>
          </w:cols>
          <w:pgMar w:left="1200" w:top="487" w:right="123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EXHIBIT A: DIGITALBRIDGE GROUP, INC. 2024 OMNIBUS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92" w:lineRule="exact"/>
        <w:rPr>
          <w:sz w:val="20"/>
          <w:szCs w:val="20"/>
          <w:color w:val="auto"/>
        </w:rPr>
      </w:pPr>
    </w:p>
    <w:p>
      <w:pPr>
        <w:ind w:right="620"/>
        <w:spacing w:after="0" w:line="247" w:lineRule="auto"/>
        <w:rPr>
          <w:sz w:val="20"/>
          <w:szCs w:val="20"/>
          <w:color w:val="auto"/>
        </w:rPr>
      </w:pPr>
      <w:r>
        <w:rPr>
          <w:rFonts w:ascii="Arial" w:cs="Arial" w:eastAsia="Arial" w:hAnsi="Arial"/>
          <w:sz w:val="18"/>
          <w:szCs w:val="18"/>
          <w:color w:val="auto"/>
        </w:rPr>
        <w:t>As we evaluate profitability based upon continuing operations, these non-GAAP measures exclude results from discontinued operations. DE presented for the 2023 comparative period has been recast to exclude the Operating segment which qualified as discontinued operations on December 31, 2023.</w:t>
      </w:r>
    </w:p>
    <w:p>
      <w:pPr>
        <w:spacing w:after="0" w:line="165"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These non-GAAP financial measures should be considered as a supplement to and not an alternative or in lieu of GAAP net income (loss) as measures of operating performance, or to cash flows from operating activities as indicators of liquidity. Our calculation of these non-GAAP measures may differ from methodologies utilized by other companies for similarly titled performance measures and, as a result, may not be fully comparable to those calculated by our peers.</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Distributable Earnings (DE)</w:t>
      </w:r>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DE generally represents net realized earnings of the Company and is an indicative measure used by the Company to assess ongoing operating performance and in making decisions related to distributions and reinvestments. Accordingly, we believe DE provides investors and analysts transparency into the measure of performance used by the Company in its decision making.</w:t>
      </w:r>
    </w:p>
    <w:p>
      <w:pPr>
        <w:spacing w:after="0" w:line="170"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DE is an after-tax measure that reflects the ongoing operating performance of the Company’s core business by including earnings that are realized and generally excluding non-cash expenses, other income (loss) items that are unrealized and items that may not be indicative of core operating results. This allows the Company and its investors and analysts to assess its operating results on a more comparable basis period-over-period.</w:t>
      </w:r>
    </w:p>
    <w:p>
      <w:pPr>
        <w:spacing w:after="0" w:line="170"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Realized earnings included in DE are generally comprised of fee revenue, including all incentive fees, realized principal investment income (loss), distributed carried interest, interest and dividend income. Income (loss) on principal investments is realized when the Company redeems all or a portion of its investment or when the Company receives or is due income such as dividends, interest or distributions of earnings.</w:t>
      </w:r>
    </w:p>
    <w:p>
      <w:pPr>
        <w:spacing w:after="0" w:line="17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following items are excluded from DE: transaction-related costs; non-core items; other gain (loss); unrealized principal investment income (loss); non-cash depreciation and amortization expense, non-cash impairment charges (if any); amortization of deferred financing costs, debt premiums and discounts; our share of unrealized carried interest allocation, net of associated expense; non-cash equity-based compensation costs; and preferred stock redemption gain (loss).</w:t>
      </w:r>
    </w:p>
    <w:p>
      <w:pPr>
        <w:spacing w:after="0" w:line="17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Transaction-related costs are incurred in connection with acquisitions and costs of unconsummated transactions. Non-core items primarily include acquisition-related compensation and certain severance costs, as well as litigation and settlement-related matters, which are presented within compensation expense—cash and equity-based, administrative and other expenses, and other gain (loss), net on the GAAP income statement. These costs, along with certain other gain (loss) amounts, are excluded from DE as they are related to discrete items, are not considered part of our ongoing operating cost structure, and are not reflective of our core operating performance.</w:t>
      </w:r>
    </w:p>
    <w:p>
      <w:pPr>
        <w:spacing w:after="0" w:line="176"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Other items excluded from DE are generally non-cash in nature, including income (loss) items that are unrealized, or otherwise do not represent current or future cash obligations such as amortization of deferred financing costs. These items are excluded from DE as they do not contribute to the measurement of DE as a net realized earnings measure that is used in decision making related to distributions and reinvestments.</w:t>
      </w:r>
    </w:p>
    <w:p>
      <w:pPr>
        <w:spacing w:after="0" w:line="17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Income taxes applied in the determination of DE generally represents GAAP income tax related to continued operations, and includes the benefit of deductions available to the Company on certain expense items excluded from DE (for example, equity-based compensation). As the income tax benefit arising from these excluded expense items do affect actual income tax paid or payable by the Company in any one period, the Company believes their inclusion in DE is appropriate to more accurately reflect amounts available for distribution.</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60"/>
          </w:cols>
          <w:pgMar w:left="1200" w:top="487" w:right="123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EXHIBIT A: DIGITALBRIDGE GROUP, INC. 2024 OMNIBUS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Fee Related Earnings (FRE)</w:t>
      </w:r>
    </w:p>
    <w:p>
      <w:pPr>
        <w:spacing w:after="0" w:line="21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FRE is used to assess the extent to which direct base compensation and core operating expenses are covered by recurring fee revenues in our investment management business. FRE represents recurring fee revenue, including incentive fees that are not subject to realization events related to underlying fund investments, net of compensation and administrative expenses. Such expenses generally exclude non-cash equity-based compensation, carried interest compensation, and placement fee expense. Also, consistent with DE, FRE excludes non-core items, and presents costs reimbursable by our managed funds on a net basis (as opposed to a gross-up of other income and administrative expenses). Where applicable, FRE is adjusted for Start-Up FRE as defined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Fee revenues earned from consolidated funds are eliminated in consolidation. However, because the fees are funded by and earned from third party investors in these consolidated funds who represent noncontrolling interests, our allocated share of net income from the consolidated funds is increased by the amount of fees that are eliminated. The elimination of these fees, therefore, does not affect net income (loss) attributable to DBRG. Accordingly, FRE is presented without giving effect to the elimination of fee revenue to the extent such fees meet the definition of FRE.</w:t>
      </w:r>
    </w:p>
    <w:p>
      <w:pPr>
        <w:spacing w:after="0" w:line="17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FRE does not include distributed carried interest as these are not recurring revenues and are subject to variability given that they are dependent upon realization events related to underlying fund investments. Placement fees are also excluded from FRE as they are inconsistent in amount and frequency depending upon timing of fundraising for our funds. Other items excluded from FRE include realized principal investment income (loss); and interest, dividend and other income, all of which are not core to the investment management fee service business. Unlike DE, which is a post-tax measure, FRE is a pre-tax measure and does not incorporate the effect of income taxes.</w:t>
      </w:r>
    </w:p>
    <w:p>
      <w:pPr>
        <w:spacing w:after="0" w:line="17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To reflect a stabilized investment management business, FRE is further adjusted to exclude Start-Up FRE, where applicable. Start-Up FRE is FRE associated with new investment strategies that have 1) not yet held a first close raising FEEUM; or 2) not yet achieved break-even FRE only for investment products that may be terminated solely at the Company’s discretion. The Company regularly evaluates new investment strategies and exclude Start-Up FRE until such time a new strategy is determined to form part of the Company’s core investment management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FRE is a useful measure to investors as it reflects the Company’s profitability based upon recurring fee streams that are not subject to realization events related to underlying fund investments, and without the effects of income taxes, leverage, non-cash expenses, income (loss) items that are unrealized and other items that may not be indicative of core operating results in an investment management fee service business. This allows for better comparability of the Company's profitability on a recurring and sustainable basis and relative to its peers.</w:t>
      </w:r>
    </w:p>
    <w:p>
      <w:pPr>
        <w:spacing w:after="0" w:line="200" w:lineRule="exact"/>
        <w:rPr>
          <w:sz w:val="20"/>
          <w:szCs w:val="20"/>
          <w:color w:val="auto"/>
        </w:rPr>
      </w:pPr>
    </w:p>
    <w:p>
      <w:pPr>
        <w:spacing w:after="0" w:line="36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DIGITALBRIDGE  2025 PROXY STATEMENT  </w:t>
      </w:r>
      <w:r>
        <w:rPr>
          <w:rFonts w:ascii="Arial" w:cs="Arial" w:eastAsia="Arial" w:hAnsi="Arial"/>
          <w:sz w:val="16"/>
          <w:szCs w:val="16"/>
          <w:color w:val="008861"/>
        </w:rPr>
        <w:t>|</w:t>
      </w:r>
      <w:r>
        <w:rPr>
          <w:rFonts w:ascii="Arial" w:cs="Arial" w:eastAsia="Arial" w:hAnsi="Arial"/>
          <w:sz w:val="16"/>
          <w:szCs w:val="16"/>
          <w:color w:val="auto"/>
        </w:rPr>
        <w:t xml:space="preserv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332740</wp:posOffset>
            </wp:positionV>
            <wp:extent cx="6009005" cy="241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480"/>
          </w:cols>
          <w:pgMar w:left="1200" w:top="487" w:right="121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EXHIBIT A: DIGITALBRIDGE GROUP, INC. 2024 OMNIBUS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Run-rate DE</w:t>
      </w:r>
    </w:p>
    <w:p>
      <w:pPr>
        <w:spacing w:after="0" w:line="211"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Run-rate DE is defined as Run-rate FRE, plus realized principal investment income, net distributed carried interest, incentive fees subject to realization event, interest and other income, and less interest expense, preferred dividends, placement fees, other expenses associated with income items included in DE and income taxes.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Run-rate Fee Revenue</w:t>
      </w:r>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Run-rate Fee Revenue is defined as FEEUM, inclusive of uncalled contractual commitments expected to be called within their commitment periods by investment vehicles that charge fees on invested capital once called, multiplied by the blended average fee rate as of the most recent reporting period. The Company’s calculations of Run-rate Fee Revenues may not be achieved if uncalled commitments are not called.</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Run-rate FRE</w:t>
      </w:r>
    </w:p>
    <w:p>
      <w:pPr>
        <w:spacing w:after="0" w:line="21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Run-rate FRE is defined as Run-rate Fee Revenues less compensation expense as defined in FRE but computed based upon headcount as of the most recent reporting period and administrative expenses as defined in FRE.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80 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380"/>
          </w:cols>
          <w:pgMar w:left="1200" w:top="487" w:right="131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ind w:left="2940"/>
        <w:spacing w:after="0"/>
        <w:rPr>
          <w:sz w:val="20"/>
          <w:szCs w:val="20"/>
          <w:color w:val="auto"/>
        </w:rPr>
      </w:pPr>
      <w:r>
        <w:rPr>
          <w:rFonts w:ascii="Arial" w:cs="Arial" w:eastAsia="Arial" w:hAnsi="Arial"/>
          <w:sz w:val="17"/>
          <w:szCs w:val="17"/>
          <w:color w:val="B1B4B6"/>
        </w:rPr>
        <w:t>EXHIBIT A: DIGITALBRIDGE GROUP, INC. 2024 OMNIBUS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008861"/>
        </w:rPr>
        <w:t>DE and FRE reconciliations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1960" w:type="dxa"/>
            <w:vAlign w:val="bottom"/>
            <w:gridSpan w:val="5"/>
          </w:tcPr>
          <w:p>
            <w:pPr>
              <w:ind w:left="100"/>
              <w:spacing w:after="0"/>
              <w:rPr>
                <w:sz w:val="20"/>
                <w:szCs w:val="20"/>
                <w:color w:val="auto"/>
              </w:rPr>
            </w:pPr>
            <w:r>
              <w:rPr>
                <w:rFonts w:ascii="Arial" w:cs="Arial" w:eastAsia="Arial" w:hAnsi="Arial"/>
                <w:sz w:val="15"/>
                <w:szCs w:val="15"/>
                <w:b w:val="1"/>
                <w:bCs w:val="1"/>
                <w:color w:val="auto"/>
                <w:w w:val="99"/>
              </w:rPr>
              <w:t>Year Ended December 31,</w:t>
            </w:r>
          </w:p>
        </w:tc>
        <w:tc>
          <w:tcPr>
            <w:tcW w:w="0" w:type="dxa"/>
            <w:vAlign w:val="bottom"/>
          </w:tcPr>
          <w:p>
            <w:pPr>
              <w:spacing w:after="0"/>
              <w:rPr>
                <w:sz w:val="1"/>
                <w:szCs w:val="1"/>
                <w:color w:val="auto"/>
              </w:rPr>
            </w:pPr>
          </w:p>
        </w:tc>
      </w:tr>
      <w:tr>
        <w:trPr>
          <w:trHeight w:val="203"/>
        </w:trPr>
        <w:tc>
          <w:tcPr>
            <w:tcW w:w="7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1544"/>
            </w:tcBorders>
          </w:tcPr>
          <w:p>
            <w:pPr>
              <w:spacing w:after="0"/>
              <w:rPr>
                <w:sz w:val="17"/>
                <w:szCs w:val="17"/>
                <w:color w:val="auto"/>
              </w:rPr>
            </w:pPr>
          </w:p>
        </w:tc>
        <w:tc>
          <w:tcPr>
            <w:tcW w:w="760" w:type="dxa"/>
            <w:vAlign w:val="bottom"/>
            <w:tcBorders>
              <w:top w:val="single" w:sz="8" w:color="001544"/>
            </w:tcBorders>
          </w:tcPr>
          <w:p>
            <w:pPr>
              <w:jc w:val="right"/>
              <w:ind w:right="185"/>
              <w:spacing w:after="0"/>
              <w:rPr>
                <w:sz w:val="20"/>
                <w:szCs w:val="20"/>
                <w:color w:val="auto"/>
              </w:rPr>
            </w:pPr>
            <w:r>
              <w:rPr>
                <w:rFonts w:ascii="Arial" w:cs="Arial" w:eastAsia="Arial" w:hAnsi="Arial"/>
                <w:sz w:val="15"/>
                <w:szCs w:val="15"/>
                <w:b w:val="1"/>
                <w:bCs w:val="1"/>
                <w:color w:val="auto"/>
              </w:rPr>
              <w:t>2024</w:t>
            </w:r>
          </w:p>
        </w:tc>
        <w:tc>
          <w:tcPr>
            <w:tcW w:w="240" w:type="dxa"/>
            <w:vAlign w:val="bottom"/>
            <w:tcBorders>
              <w:top w:val="single" w:sz="8" w:color="001544"/>
            </w:tcBorders>
          </w:tcPr>
          <w:p>
            <w:pPr>
              <w:spacing w:after="0"/>
              <w:rPr>
                <w:sz w:val="17"/>
                <w:szCs w:val="17"/>
                <w:color w:val="auto"/>
              </w:rPr>
            </w:pPr>
          </w:p>
        </w:tc>
        <w:tc>
          <w:tcPr>
            <w:tcW w:w="760" w:type="dxa"/>
            <w:vAlign w:val="bottom"/>
            <w:tcBorders>
              <w:top w:val="single" w:sz="8" w:color="001544"/>
            </w:tcBorders>
          </w:tcPr>
          <w:p>
            <w:pPr>
              <w:jc w:val="right"/>
              <w:ind w:right="185"/>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40" w:type="dxa"/>
            <w:vAlign w:val="bottom"/>
            <w:tcBorders>
              <w:top w:val="single" w:sz="8" w:color="001544"/>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Net income (loss) attributable to common stockholders</w:t>
            </w:r>
          </w:p>
        </w:tc>
        <w:tc>
          <w:tcPr>
            <w:tcW w:w="200" w:type="dxa"/>
            <w:vAlign w:val="bottom"/>
            <w:tcBorders>
              <w:top w:val="single" w:sz="8" w:color="001544"/>
              <w:bottom w:val="single" w:sz="8" w:color="001544"/>
            </w:tcBorders>
            <w:gridSpan w:val="2"/>
            <w:shd w:val="clear" w:color="auto" w:fill="DBDFEA"/>
          </w:tcPr>
          <w:p>
            <w:pPr>
              <w:ind w:left="100"/>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001544"/>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11,881</w:t>
            </w:r>
          </w:p>
        </w:tc>
        <w:tc>
          <w:tcPr>
            <w:tcW w:w="240" w:type="dxa"/>
            <w:vAlign w:val="bottom"/>
            <w:tcBorders>
              <w:top w:val="single" w:sz="8" w:color="001544"/>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001544"/>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127,551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Net income (loss) attributable to noncontrolling interests in Operating Company</w:t>
            </w:r>
          </w:p>
        </w:tc>
        <w:tc>
          <w:tcPr>
            <w:tcW w:w="100" w:type="dxa"/>
            <w:vAlign w:val="bottom"/>
            <w:tcBorders>
              <w:bottom w:val="single" w:sz="8" w:color="001544"/>
            </w:tcBorders>
            <w:shd w:val="clear" w:color="auto" w:fill="DBDFEA"/>
          </w:tcPr>
          <w:p>
            <w:pPr>
              <w:spacing w:after="0"/>
              <w:rPr>
                <w:sz w:val="19"/>
                <w:szCs w:val="19"/>
                <w:color w:val="auto"/>
              </w:rPr>
            </w:pPr>
          </w:p>
        </w:tc>
        <w:tc>
          <w:tcPr>
            <w:tcW w:w="100" w:type="dxa"/>
            <w:vAlign w:val="bottom"/>
            <w:tcBorders>
              <w:bottom w:val="single" w:sz="8" w:color="001544"/>
            </w:tcBorders>
            <w:shd w:val="clear" w:color="auto" w:fill="DBDFEA"/>
          </w:tcPr>
          <w:p>
            <w:pPr>
              <w:spacing w:after="0"/>
              <w:rPr>
                <w:sz w:val="19"/>
                <w:szCs w:val="19"/>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683</w:t>
            </w:r>
          </w:p>
        </w:tc>
        <w:tc>
          <w:tcPr>
            <w:tcW w:w="240" w:type="dxa"/>
            <w:vAlign w:val="bottom"/>
            <w:tcBorders>
              <w:bottom w:val="single" w:sz="8" w:color="001544"/>
            </w:tcBorders>
            <w:shd w:val="clear" w:color="auto" w:fill="DBDFEA"/>
          </w:tcPr>
          <w:p>
            <w:pPr>
              <w:spacing w:after="0"/>
              <w:rPr>
                <w:sz w:val="19"/>
                <w:szCs w:val="19"/>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9,138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40" w:type="dxa"/>
            <w:vAlign w:val="bottom"/>
            <w:tcBorders>
              <w:bottom w:val="single" w:sz="8" w:color="001544"/>
            </w:tcBorders>
            <w:shd w:val="clear" w:color="auto" w:fill="BFCDDC"/>
          </w:tcPr>
          <w:p>
            <w:pPr>
              <w:ind w:left="80"/>
              <w:spacing w:after="0"/>
              <w:rPr>
                <w:sz w:val="20"/>
                <w:szCs w:val="20"/>
                <w:color w:val="auto"/>
              </w:rPr>
            </w:pPr>
            <w:r>
              <w:rPr>
                <w:rFonts w:ascii="Arial" w:cs="Arial" w:eastAsia="Arial" w:hAnsi="Arial"/>
                <w:sz w:val="15"/>
                <w:szCs w:val="15"/>
                <w:color w:val="auto"/>
              </w:rPr>
              <w:t>Net income (loss) attributable to Operating Company</w:t>
            </w:r>
          </w:p>
        </w:tc>
        <w:tc>
          <w:tcPr>
            <w:tcW w:w="100" w:type="dxa"/>
            <w:vAlign w:val="bottom"/>
            <w:tcBorders>
              <w:bottom w:val="single" w:sz="8" w:color="001544"/>
            </w:tcBorders>
            <w:shd w:val="clear" w:color="auto" w:fill="BFCDDC"/>
          </w:tcPr>
          <w:p>
            <w:pPr>
              <w:spacing w:after="0"/>
              <w:rPr>
                <w:sz w:val="19"/>
                <w:szCs w:val="19"/>
                <w:color w:val="auto"/>
              </w:rPr>
            </w:pPr>
          </w:p>
        </w:tc>
        <w:tc>
          <w:tcPr>
            <w:tcW w:w="100" w:type="dxa"/>
            <w:vAlign w:val="bottom"/>
            <w:tcBorders>
              <w:bottom w:val="single" w:sz="8" w:color="001544"/>
            </w:tcBorders>
            <w:shd w:val="clear" w:color="auto" w:fill="BFCDDC"/>
          </w:tcPr>
          <w:p>
            <w:pPr>
              <w:spacing w:after="0"/>
              <w:rPr>
                <w:sz w:val="19"/>
                <w:szCs w:val="19"/>
                <w:color w:val="auto"/>
              </w:rPr>
            </w:pPr>
          </w:p>
        </w:tc>
        <w:tc>
          <w:tcPr>
            <w:tcW w:w="76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12,564</w:t>
            </w:r>
          </w:p>
        </w:tc>
        <w:tc>
          <w:tcPr>
            <w:tcW w:w="240" w:type="dxa"/>
            <w:vAlign w:val="bottom"/>
            <w:tcBorders>
              <w:bottom w:val="single" w:sz="8" w:color="001544"/>
            </w:tcBorders>
            <w:shd w:val="clear" w:color="auto" w:fill="BFCDDC"/>
          </w:tcPr>
          <w:p>
            <w:pPr>
              <w:spacing w:after="0"/>
              <w:rPr>
                <w:sz w:val="19"/>
                <w:szCs w:val="19"/>
                <w:color w:val="auto"/>
              </w:rPr>
            </w:pPr>
          </w:p>
        </w:tc>
        <w:tc>
          <w:tcPr>
            <w:tcW w:w="76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136,689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740" w:type="dxa"/>
            <w:vAlign w:val="bottom"/>
            <w:tcBorders>
              <w:bottom w:val="single" w:sz="8" w:color="001544"/>
            </w:tcBorders>
            <w:shd w:val="clear" w:color="auto" w:fill="DBDFEA"/>
          </w:tcPr>
          <w:p>
            <w:pPr>
              <w:ind w:left="280"/>
              <w:spacing w:after="0"/>
              <w:rPr>
                <w:sz w:val="20"/>
                <w:szCs w:val="20"/>
                <w:color w:val="auto"/>
              </w:rPr>
            </w:pPr>
            <w:r>
              <w:rPr>
                <w:rFonts w:ascii="Arial" w:cs="Arial" w:eastAsia="Arial" w:hAnsi="Arial"/>
                <w:sz w:val="15"/>
                <w:szCs w:val="15"/>
                <w:color w:val="auto"/>
              </w:rPr>
              <w:t>Transaction-related costs and non-core items</w:t>
            </w:r>
          </w:p>
        </w:tc>
        <w:tc>
          <w:tcPr>
            <w:tcW w:w="100" w:type="dxa"/>
            <w:vAlign w:val="bottom"/>
            <w:tcBorders>
              <w:bottom w:val="single" w:sz="8" w:color="001544"/>
            </w:tcBorders>
            <w:shd w:val="clear" w:color="auto" w:fill="DBDFEA"/>
          </w:tcPr>
          <w:p>
            <w:pPr>
              <w:spacing w:after="0"/>
              <w:rPr>
                <w:sz w:val="16"/>
                <w:szCs w:val="16"/>
                <w:color w:val="auto"/>
              </w:rPr>
            </w:pPr>
          </w:p>
        </w:tc>
        <w:tc>
          <w:tcPr>
            <w:tcW w:w="100" w:type="dxa"/>
            <w:vAlign w:val="bottom"/>
            <w:tcBorders>
              <w:bottom w:val="single" w:sz="8" w:color="001544"/>
            </w:tcBorders>
            <w:shd w:val="clear" w:color="auto" w:fill="DBDFEA"/>
          </w:tcPr>
          <w:p>
            <w:pPr>
              <w:spacing w:after="0"/>
              <w:rPr>
                <w:sz w:val="16"/>
                <w:szCs w:val="16"/>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31,906</w:t>
            </w:r>
          </w:p>
        </w:tc>
        <w:tc>
          <w:tcPr>
            <w:tcW w:w="240" w:type="dxa"/>
            <w:vAlign w:val="bottom"/>
            <w:tcBorders>
              <w:bottom w:val="single" w:sz="8" w:color="001544"/>
            </w:tcBorders>
            <w:shd w:val="clear" w:color="auto" w:fill="DBDFEA"/>
          </w:tcPr>
          <w:p>
            <w:pPr>
              <w:spacing w:after="0"/>
              <w:rPr>
                <w:sz w:val="16"/>
                <w:szCs w:val="16"/>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44,851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Borders>
              <w:bottom w:val="single" w:sz="8" w:color="001544"/>
            </w:tcBorders>
            <w:shd w:val="clear" w:color="auto" w:fill="DBDFEA"/>
          </w:tcPr>
          <w:p>
            <w:pPr>
              <w:ind w:left="280"/>
              <w:spacing w:after="0"/>
              <w:rPr>
                <w:sz w:val="20"/>
                <w:szCs w:val="20"/>
                <w:color w:val="auto"/>
              </w:rPr>
            </w:pPr>
            <w:r>
              <w:rPr>
                <w:rFonts w:ascii="Arial" w:cs="Arial" w:eastAsia="Arial" w:hAnsi="Arial"/>
                <w:sz w:val="15"/>
                <w:szCs w:val="15"/>
                <w:color w:val="auto"/>
              </w:rPr>
              <w:t>Other (gain) loss, net</w:t>
            </w:r>
          </w:p>
        </w:tc>
        <w:tc>
          <w:tcPr>
            <w:tcW w:w="10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(61,988)</w:t>
            </w:r>
          </w:p>
        </w:tc>
        <w:tc>
          <w:tcPr>
            <w:tcW w:w="24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(91,187)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Borders>
              <w:bottom w:val="single" w:sz="8" w:color="001544"/>
            </w:tcBorders>
            <w:shd w:val="clear" w:color="auto" w:fill="DBDFEA"/>
          </w:tcPr>
          <w:p>
            <w:pPr>
              <w:ind w:left="280"/>
              <w:spacing w:after="0"/>
              <w:rPr>
                <w:sz w:val="20"/>
                <w:szCs w:val="20"/>
                <w:color w:val="auto"/>
              </w:rPr>
            </w:pPr>
            <w:r>
              <w:rPr>
                <w:rFonts w:ascii="Arial" w:cs="Arial" w:eastAsia="Arial" w:hAnsi="Arial"/>
                <w:sz w:val="15"/>
                <w:szCs w:val="15"/>
                <w:color w:val="auto"/>
              </w:rPr>
              <w:t>Unrealized principal investment income</w:t>
            </w:r>
          </w:p>
        </w:tc>
        <w:tc>
          <w:tcPr>
            <w:tcW w:w="10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(11,659)</w:t>
            </w:r>
          </w:p>
        </w:tc>
        <w:tc>
          <w:tcPr>
            <w:tcW w:w="24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(145,448)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Borders>
              <w:bottom w:val="single" w:sz="8" w:color="001544"/>
            </w:tcBorders>
            <w:shd w:val="clear" w:color="auto" w:fill="DBDFEA"/>
          </w:tcPr>
          <w:p>
            <w:pPr>
              <w:ind w:left="280"/>
              <w:spacing w:after="0"/>
              <w:rPr>
                <w:sz w:val="20"/>
                <w:szCs w:val="20"/>
                <w:color w:val="auto"/>
              </w:rPr>
            </w:pPr>
            <w:r>
              <w:rPr>
                <w:rFonts w:ascii="Arial" w:cs="Arial" w:eastAsia="Arial" w:hAnsi="Arial"/>
                <w:sz w:val="15"/>
                <w:szCs w:val="15"/>
                <w:color w:val="auto"/>
              </w:rPr>
              <w:t>Unrealized carried interest, net of expense (allocation) reversal</w:t>
            </w:r>
          </w:p>
        </w:tc>
        <w:tc>
          <w:tcPr>
            <w:tcW w:w="10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(46,556)</w:t>
            </w:r>
          </w:p>
        </w:tc>
        <w:tc>
          <w:tcPr>
            <w:tcW w:w="24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(66,580)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Borders>
              <w:bottom w:val="single" w:sz="8" w:color="001544"/>
            </w:tcBorders>
            <w:shd w:val="clear" w:color="auto" w:fill="DBDFEA"/>
          </w:tcPr>
          <w:p>
            <w:pPr>
              <w:ind w:left="280"/>
              <w:spacing w:after="0"/>
              <w:rPr>
                <w:sz w:val="20"/>
                <w:szCs w:val="20"/>
                <w:color w:val="auto"/>
              </w:rPr>
            </w:pPr>
            <w:r>
              <w:rPr>
                <w:rFonts w:ascii="Arial" w:cs="Arial" w:eastAsia="Arial" w:hAnsi="Arial"/>
                <w:sz w:val="15"/>
                <w:szCs w:val="15"/>
                <w:color w:val="auto"/>
              </w:rPr>
              <w:t>Equity-based compensation</w:t>
            </w:r>
          </w:p>
        </w:tc>
        <w:tc>
          <w:tcPr>
            <w:tcW w:w="10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35,676</w:t>
            </w:r>
          </w:p>
        </w:tc>
        <w:tc>
          <w:tcPr>
            <w:tcW w:w="24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55,597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Borders>
              <w:bottom w:val="single" w:sz="8" w:color="001544"/>
            </w:tcBorders>
            <w:shd w:val="clear" w:color="auto" w:fill="DBDFEA"/>
          </w:tcPr>
          <w:p>
            <w:pPr>
              <w:ind w:left="280"/>
              <w:spacing w:after="0"/>
              <w:rPr>
                <w:sz w:val="20"/>
                <w:szCs w:val="20"/>
                <w:color w:val="auto"/>
              </w:rPr>
            </w:pPr>
            <w:r>
              <w:rPr>
                <w:rFonts w:ascii="Arial" w:cs="Arial" w:eastAsia="Arial" w:hAnsi="Arial"/>
                <w:sz w:val="15"/>
                <w:szCs w:val="15"/>
                <w:color w:val="auto"/>
              </w:rPr>
              <w:t>Depreciation and amortization expense</w:t>
            </w:r>
          </w:p>
        </w:tc>
        <w:tc>
          <w:tcPr>
            <w:tcW w:w="10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33,706</w:t>
            </w:r>
          </w:p>
        </w:tc>
        <w:tc>
          <w:tcPr>
            <w:tcW w:w="24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36,651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Borders>
              <w:bottom w:val="single" w:sz="8" w:color="001544"/>
            </w:tcBorders>
            <w:shd w:val="clear" w:color="auto" w:fill="DBDFEA"/>
          </w:tcPr>
          <w:p>
            <w:pPr>
              <w:ind w:left="280"/>
              <w:spacing w:after="0"/>
              <w:rPr>
                <w:sz w:val="20"/>
                <w:szCs w:val="20"/>
                <w:color w:val="auto"/>
              </w:rPr>
            </w:pPr>
            <w:r>
              <w:rPr>
                <w:rFonts w:ascii="Arial" w:cs="Arial" w:eastAsia="Arial" w:hAnsi="Arial"/>
                <w:sz w:val="15"/>
                <w:szCs w:val="15"/>
                <w:color w:val="auto"/>
              </w:rPr>
              <w:t>Amortization of deferred financing costs, debt premiums and discounts</w:t>
            </w:r>
          </w:p>
        </w:tc>
        <w:tc>
          <w:tcPr>
            <w:tcW w:w="10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2,296</w:t>
            </w:r>
          </w:p>
        </w:tc>
        <w:tc>
          <w:tcPr>
            <w:tcW w:w="24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2,784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Borders>
              <w:bottom w:val="single" w:sz="8" w:color="001544"/>
            </w:tcBorders>
            <w:shd w:val="clear" w:color="auto" w:fill="DBDFEA"/>
          </w:tcPr>
          <w:p>
            <w:pPr>
              <w:ind w:left="280"/>
              <w:spacing w:after="0"/>
              <w:rPr>
                <w:sz w:val="20"/>
                <w:szCs w:val="20"/>
                <w:color w:val="auto"/>
              </w:rPr>
            </w:pPr>
            <w:r>
              <w:rPr>
                <w:rFonts w:ascii="Arial" w:cs="Arial" w:eastAsia="Arial" w:hAnsi="Arial"/>
                <w:sz w:val="15"/>
                <w:szCs w:val="15"/>
                <w:color w:val="auto"/>
              </w:rPr>
              <w:t>Preferred stock redemption (gain) loss</w:t>
            </w:r>
          </w:p>
        </w:tc>
        <w:tc>
          <w:tcPr>
            <w:tcW w:w="10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(927)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Borders>
              <w:bottom w:val="single" w:sz="8" w:color="001544"/>
            </w:tcBorders>
            <w:shd w:val="clear" w:color="auto" w:fill="DBDFEA"/>
          </w:tcPr>
          <w:p>
            <w:pPr>
              <w:ind w:left="280"/>
              <w:spacing w:after="0"/>
              <w:rPr>
                <w:sz w:val="20"/>
                <w:szCs w:val="20"/>
                <w:color w:val="auto"/>
              </w:rPr>
            </w:pPr>
            <w:r>
              <w:rPr>
                <w:rFonts w:ascii="Arial" w:cs="Arial" w:eastAsia="Arial" w:hAnsi="Arial"/>
                <w:sz w:val="15"/>
                <w:szCs w:val="15"/>
                <w:color w:val="auto"/>
              </w:rPr>
              <w:t>Adjustments attributable to noncontrolling interests in investment entities</w:t>
            </w:r>
          </w:p>
        </w:tc>
        <w:tc>
          <w:tcPr>
            <w:tcW w:w="10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36,487</w:t>
            </w:r>
          </w:p>
        </w:tc>
        <w:tc>
          <w:tcPr>
            <w:tcW w:w="24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7,629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Borders>
              <w:bottom w:val="single" w:sz="8" w:color="001544"/>
            </w:tcBorders>
            <w:shd w:val="clear" w:color="auto" w:fill="DBDFEA"/>
          </w:tcPr>
          <w:p>
            <w:pPr>
              <w:ind w:left="280"/>
              <w:spacing w:after="0"/>
              <w:rPr>
                <w:sz w:val="20"/>
                <w:szCs w:val="20"/>
                <w:color w:val="auto"/>
              </w:rPr>
            </w:pPr>
            <w:r>
              <w:rPr>
                <w:rFonts w:ascii="Arial" w:cs="Arial" w:eastAsia="Arial" w:hAnsi="Arial"/>
                <w:sz w:val="15"/>
                <w:szCs w:val="15"/>
                <w:color w:val="auto"/>
              </w:rPr>
              <w:t>OP share of (income) loss from discontinued operations</w:t>
            </w:r>
          </w:p>
        </w:tc>
        <w:tc>
          <w:tcPr>
            <w:tcW w:w="10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20,064</w:t>
            </w:r>
          </w:p>
        </w:tc>
        <w:tc>
          <w:tcPr>
            <w:tcW w:w="24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68,563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40" w:type="dxa"/>
            <w:vAlign w:val="bottom"/>
            <w:tcBorders>
              <w:bottom w:val="single" w:sz="8" w:color="001544"/>
            </w:tcBorders>
            <w:shd w:val="clear" w:color="auto" w:fill="BFCDDC"/>
          </w:tcPr>
          <w:p>
            <w:pPr>
              <w:ind w:left="80"/>
              <w:spacing w:after="0"/>
              <w:rPr>
                <w:sz w:val="20"/>
                <w:szCs w:val="20"/>
                <w:color w:val="auto"/>
              </w:rPr>
            </w:pPr>
            <w:r>
              <w:rPr>
                <w:rFonts w:ascii="Arial" w:cs="Arial" w:eastAsia="Arial" w:hAnsi="Arial"/>
                <w:sz w:val="15"/>
                <w:szCs w:val="15"/>
                <w:color w:val="auto"/>
              </w:rPr>
              <w:t>Distributable Earnings, after tax—attributable to Operating Company</w:t>
            </w:r>
          </w:p>
        </w:tc>
        <w:tc>
          <w:tcPr>
            <w:tcW w:w="100" w:type="dxa"/>
            <w:vAlign w:val="bottom"/>
            <w:tcBorders>
              <w:bottom w:val="single" w:sz="8" w:color="001544"/>
            </w:tcBorders>
            <w:shd w:val="clear" w:color="auto" w:fill="BFCDDC"/>
          </w:tcPr>
          <w:p>
            <w:pPr>
              <w:spacing w:after="0"/>
              <w:rPr>
                <w:sz w:val="18"/>
                <w:szCs w:val="18"/>
                <w:color w:val="auto"/>
              </w:rPr>
            </w:pPr>
          </w:p>
        </w:tc>
        <w:tc>
          <w:tcPr>
            <w:tcW w:w="100" w:type="dxa"/>
            <w:vAlign w:val="bottom"/>
            <w:tcBorders>
              <w:bottom w:val="single" w:sz="8" w:color="001544"/>
            </w:tcBorders>
            <w:shd w:val="clear" w:color="auto" w:fill="BFCDDC"/>
          </w:tcPr>
          <w:p>
            <w:pPr>
              <w:spacing w:after="0"/>
              <w:rPr>
                <w:sz w:val="18"/>
                <w:szCs w:val="18"/>
                <w:color w:val="auto"/>
              </w:rPr>
            </w:pPr>
          </w:p>
        </w:tc>
        <w:tc>
          <w:tcPr>
            <w:tcW w:w="76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52,496</w:t>
            </w:r>
          </w:p>
        </w:tc>
        <w:tc>
          <w:tcPr>
            <w:tcW w:w="240" w:type="dxa"/>
            <w:vAlign w:val="bottom"/>
            <w:tcBorders>
              <w:bottom w:val="single" w:sz="8" w:color="001544"/>
            </w:tcBorders>
            <w:shd w:val="clear" w:color="auto" w:fill="BFCDDC"/>
          </w:tcPr>
          <w:p>
            <w:pPr>
              <w:spacing w:after="0"/>
              <w:rPr>
                <w:sz w:val="18"/>
                <w:szCs w:val="18"/>
                <w:color w:val="auto"/>
              </w:rPr>
            </w:pPr>
          </w:p>
        </w:tc>
        <w:tc>
          <w:tcPr>
            <w:tcW w:w="76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48,622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40" w:type="dxa"/>
            <w:vAlign w:val="bottom"/>
            <w:tcBorders>
              <w:bottom w:val="single" w:sz="8" w:color="001544"/>
            </w:tcBorders>
            <w:shd w:val="clear" w:color="auto" w:fill="DBDFEA"/>
          </w:tcPr>
          <w:p>
            <w:pPr>
              <w:ind w:left="280"/>
              <w:spacing w:after="0"/>
              <w:rPr>
                <w:sz w:val="20"/>
                <w:szCs w:val="20"/>
                <w:color w:val="auto"/>
              </w:rPr>
            </w:pPr>
            <w:r>
              <w:rPr>
                <w:rFonts w:ascii="Arial" w:cs="Arial" w:eastAsia="Arial" w:hAnsi="Arial"/>
                <w:sz w:val="15"/>
                <w:szCs w:val="15"/>
                <w:i w:val="1"/>
                <w:iCs w:val="1"/>
                <w:color w:val="auto"/>
              </w:rPr>
              <w:t>Adjustments attributable to Operating Company:</w:t>
            </w:r>
          </w:p>
        </w:tc>
        <w:tc>
          <w:tcPr>
            <w:tcW w:w="100" w:type="dxa"/>
            <w:vAlign w:val="bottom"/>
            <w:tcBorders>
              <w:bottom w:val="single" w:sz="8" w:color="001544"/>
            </w:tcBorders>
            <w:shd w:val="clear" w:color="auto" w:fill="DBDFEA"/>
          </w:tcPr>
          <w:p>
            <w:pPr>
              <w:spacing w:after="0"/>
              <w:rPr>
                <w:sz w:val="19"/>
                <w:szCs w:val="19"/>
                <w:color w:val="auto"/>
              </w:rPr>
            </w:pPr>
          </w:p>
        </w:tc>
        <w:tc>
          <w:tcPr>
            <w:tcW w:w="100" w:type="dxa"/>
            <w:vAlign w:val="bottom"/>
            <w:tcBorders>
              <w:bottom w:val="single" w:sz="8" w:color="001544"/>
            </w:tcBorders>
            <w:shd w:val="clear" w:color="auto" w:fill="DBDFEA"/>
          </w:tcPr>
          <w:p>
            <w:pPr>
              <w:spacing w:after="0"/>
              <w:rPr>
                <w:sz w:val="19"/>
                <w:szCs w:val="19"/>
                <w:color w:val="auto"/>
              </w:rPr>
            </w:pPr>
          </w:p>
        </w:tc>
        <w:tc>
          <w:tcPr>
            <w:tcW w:w="760" w:type="dxa"/>
            <w:vAlign w:val="bottom"/>
            <w:tcBorders>
              <w:bottom w:val="single" w:sz="8" w:color="001544"/>
            </w:tcBorders>
            <w:shd w:val="clear" w:color="auto" w:fill="DBDFEA"/>
          </w:tcPr>
          <w:p>
            <w:pPr>
              <w:spacing w:after="0"/>
              <w:rPr>
                <w:sz w:val="19"/>
                <w:szCs w:val="19"/>
                <w:color w:val="auto"/>
              </w:rPr>
            </w:pPr>
          </w:p>
        </w:tc>
        <w:tc>
          <w:tcPr>
            <w:tcW w:w="240" w:type="dxa"/>
            <w:vAlign w:val="bottom"/>
            <w:tcBorders>
              <w:bottom w:val="single" w:sz="8" w:color="001544"/>
            </w:tcBorders>
            <w:shd w:val="clear" w:color="auto" w:fill="DBDFEA"/>
          </w:tcPr>
          <w:p>
            <w:pPr>
              <w:spacing w:after="0"/>
              <w:rPr>
                <w:sz w:val="19"/>
                <w:szCs w:val="19"/>
                <w:color w:val="auto"/>
              </w:rPr>
            </w:pPr>
          </w:p>
        </w:tc>
        <w:tc>
          <w:tcPr>
            <w:tcW w:w="760" w:type="dxa"/>
            <w:vAlign w:val="bottom"/>
            <w:tcBorders>
              <w:bottom w:val="single" w:sz="8" w:color="001544"/>
            </w:tcBorders>
            <w:shd w:val="clear" w:color="auto" w:fill="DBDFEA"/>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740" w:type="dxa"/>
            <w:vAlign w:val="bottom"/>
            <w:tcBorders>
              <w:bottom w:val="single" w:sz="8" w:color="001544"/>
            </w:tcBorders>
            <w:shd w:val="clear" w:color="auto" w:fill="DBDFEA"/>
          </w:tcPr>
          <w:p>
            <w:pPr>
              <w:ind w:left="280"/>
              <w:spacing w:after="0"/>
              <w:rPr>
                <w:sz w:val="20"/>
                <w:szCs w:val="20"/>
                <w:color w:val="auto"/>
              </w:rPr>
            </w:pPr>
            <w:r>
              <w:rPr>
                <w:rFonts w:ascii="Arial" w:cs="Arial" w:eastAsia="Arial" w:hAnsi="Arial"/>
                <w:sz w:val="15"/>
                <w:szCs w:val="15"/>
                <w:color w:val="auto"/>
              </w:rPr>
              <w:t>Realized principal investment income</w:t>
            </w:r>
          </w:p>
        </w:tc>
        <w:tc>
          <w:tcPr>
            <w:tcW w:w="100" w:type="dxa"/>
            <w:vAlign w:val="bottom"/>
            <w:tcBorders>
              <w:bottom w:val="single" w:sz="8" w:color="001544"/>
            </w:tcBorders>
            <w:shd w:val="clear" w:color="auto" w:fill="DBDFEA"/>
          </w:tcPr>
          <w:p>
            <w:pPr>
              <w:spacing w:after="0"/>
              <w:rPr>
                <w:sz w:val="16"/>
                <w:szCs w:val="16"/>
                <w:color w:val="auto"/>
              </w:rPr>
            </w:pPr>
          </w:p>
        </w:tc>
        <w:tc>
          <w:tcPr>
            <w:tcW w:w="100" w:type="dxa"/>
            <w:vAlign w:val="bottom"/>
            <w:tcBorders>
              <w:bottom w:val="single" w:sz="8" w:color="001544"/>
            </w:tcBorders>
            <w:shd w:val="clear" w:color="auto" w:fill="DBDFEA"/>
          </w:tcPr>
          <w:p>
            <w:pPr>
              <w:spacing w:after="0"/>
              <w:rPr>
                <w:sz w:val="16"/>
                <w:szCs w:val="16"/>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(15,884)</w:t>
            </w:r>
          </w:p>
        </w:tc>
        <w:tc>
          <w:tcPr>
            <w:tcW w:w="240" w:type="dxa"/>
            <w:vAlign w:val="bottom"/>
            <w:tcBorders>
              <w:bottom w:val="single" w:sz="8" w:color="001544"/>
            </w:tcBorders>
            <w:shd w:val="clear" w:color="auto" w:fill="DBDFEA"/>
          </w:tcPr>
          <w:p>
            <w:pPr>
              <w:spacing w:after="0"/>
              <w:rPr>
                <w:sz w:val="16"/>
                <w:szCs w:val="16"/>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(8,497)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Borders>
              <w:bottom w:val="single" w:sz="8" w:color="001544"/>
            </w:tcBorders>
            <w:shd w:val="clear" w:color="auto" w:fill="DBDFEA"/>
          </w:tcPr>
          <w:p>
            <w:pPr>
              <w:ind w:left="280"/>
              <w:spacing w:after="0"/>
              <w:rPr>
                <w:sz w:val="20"/>
                <w:szCs w:val="20"/>
                <w:color w:val="auto"/>
              </w:rPr>
            </w:pPr>
            <w:r>
              <w:rPr>
                <w:rFonts w:ascii="Arial" w:cs="Arial" w:eastAsia="Arial" w:hAnsi="Arial"/>
                <w:sz w:val="15"/>
                <w:szCs w:val="15"/>
                <w:color w:val="auto"/>
              </w:rPr>
              <w:t>Distributed carried interest and incentive fees subject to realization events, net of associated expense allocation</w:t>
            </w:r>
          </w:p>
        </w:tc>
        <w:tc>
          <w:tcPr>
            <w:tcW w:w="10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(285)</w:t>
            </w:r>
          </w:p>
        </w:tc>
        <w:tc>
          <w:tcPr>
            <w:tcW w:w="24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(27,927)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Borders>
              <w:bottom w:val="single" w:sz="8" w:color="001544"/>
            </w:tcBorders>
            <w:shd w:val="clear" w:color="auto" w:fill="DBDFEA"/>
          </w:tcPr>
          <w:p>
            <w:pPr>
              <w:ind w:left="280"/>
              <w:spacing w:after="0"/>
              <w:rPr>
                <w:sz w:val="20"/>
                <w:szCs w:val="20"/>
                <w:color w:val="auto"/>
              </w:rPr>
            </w:pPr>
            <w:r>
              <w:rPr>
                <w:rFonts w:ascii="Arial" w:cs="Arial" w:eastAsia="Arial" w:hAnsi="Arial"/>
                <w:sz w:val="15"/>
                <w:szCs w:val="15"/>
                <w:color w:val="auto"/>
              </w:rPr>
              <w:t>Interest, dividend and other income</w:t>
            </w:r>
          </w:p>
        </w:tc>
        <w:tc>
          <w:tcPr>
            <w:tcW w:w="10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(14,424)</w:t>
            </w:r>
          </w:p>
        </w:tc>
        <w:tc>
          <w:tcPr>
            <w:tcW w:w="24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(22,868)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Borders>
              <w:bottom w:val="single" w:sz="8" w:color="001544"/>
            </w:tcBorders>
            <w:shd w:val="clear" w:color="auto" w:fill="DBDFEA"/>
          </w:tcPr>
          <w:p>
            <w:pPr>
              <w:ind w:left="280"/>
              <w:spacing w:after="0"/>
              <w:rPr>
                <w:sz w:val="20"/>
                <w:szCs w:val="20"/>
                <w:color w:val="auto"/>
              </w:rPr>
            </w:pPr>
            <w:r>
              <w:rPr>
                <w:rFonts w:ascii="Arial" w:cs="Arial" w:eastAsia="Arial" w:hAnsi="Arial"/>
                <w:sz w:val="15"/>
                <w:szCs w:val="15"/>
                <w:color w:val="auto"/>
              </w:rPr>
              <w:t>Interest expense and preferred dividends</w:t>
            </w:r>
          </w:p>
        </w:tc>
        <w:tc>
          <w:tcPr>
            <w:tcW w:w="10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72,672</w:t>
            </w:r>
          </w:p>
        </w:tc>
        <w:tc>
          <w:tcPr>
            <w:tcW w:w="24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79,985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Borders>
              <w:bottom w:val="single" w:sz="8" w:color="001544"/>
            </w:tcBorders>
            <w:shd w:val="clear" w:color="auto" w:fill="DBDFEA"/>
          </w:tcPr>
          <w:p>
            <w:pPr>
              <w:ind w:left="280"/>
              <w:spacing w:after="0"/>
              <w:rPr>
                <w:sz w:val="20"/>
                <w:szCs w:val="20"/>
                <w:color w:val="auto"/>
              </w:rPr>
            </w:pPr>
            <w:r>
              <w:rPr>
                <w:rFonts w:ascii="Arial" w:cs="Arial" w:eastAsia="Arial" w:hAnsi="Arial"/>
                <w:sz w:val="15"/>
                <w:szCs w:val="15"/>
                <w:color w:val="auto"/>
              </w:rPr>
              <w:t>Placement fee and other expenses</w:t>
            </w:r>
          </w:p>
        </w:tc>
        <w:tc>
          <w:tcPr>
            <w:tcW w:w="10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9,590</w:t>
            </w:r>
          </w:p>
        </w:tc>
        <w:tc>
          <w:tcPr>
            <w:tcW w:w="24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8,714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Borders>
              <w:bottom w:val="single" w:sz="8" w:color="001544"/>
            </w:tcBorders>
            <w:shd w:val="clear" w:color="auto" w:fill="DBDFEA"/>
          </w:tcPr>
          <w:p>
            <w:pPr>
              <w:ind w:left="280"/>
              <w:spacing w:after="0"/>
              <w:rPr>
                <w:sz w:val="20"/>
                <w:szCs w:val="20"/>
                <w:color w:val="auto"/>
              </w:rPr>
            </w:pPr>
            <w:r>
              <w:rPr>
                <w:rFonts w:ascii="Arial" w:cs="Arial" w:eastAsia="Arial" w:hAnsi="Arial"/>
                <w:sz w:val="15"/>
                <w:szCs w:val="15"/>
                <w:color w:val="auto"/>
              </w:rPr>
              <w:t>Income tax (benefit) expense</w:t>
            </w:r>
          </w:p>
        </w:tc>
        <w:tc>
          <w:tcPr>
            <w:tcW w:w="10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2,944</w:t>
            </w:r>
          </w:p>
        </w:tc>
        <w:tc>
          <w:tcPr>
            <w:tcW w:w="24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Borders>
              <w:bottom w:val="single" w:sz="8" w:color="001544"/>
            </w:tcBorders>
            <w:shd w:val="clear" w:color="auto" w:fill="DBDFEA"/>
          </w:tcPr>
          <w:p>
            <w:pPr>
              <w:ind w:left="280"/>
              <w:spacing w:after="0"/>
              <w:rPr>
                <w:sz w:val="20"/>
                <w:szCs w:val="20"/>
                <w:color w:val="auto"/>
              </w:rPr>
            </w:pPr>
            <w:r>
              <w:rPr>
                <w:rFonts w:ascii="Arial" w:cs="Arial" w:eastAsia="Arial" w:hAnsi="Arial"/>
                <w:sz w:val="15"/>
                <w:szCs w:val="15"/>
                <w:color w:val="auto"/>
              </w:rPr>
              <w:t>Start-up FRE</w:t>
            </w:r>
          </w:p>
        </w:tc>
        <w:tc>
          <w:tcPr>
            <w:tcW w:w="10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001544"/>
            </w:tcBorders>
            <w:shd w:val="clear" w:color="auto" w:fill="DBDFEA"/>
          </w:tcPr>
          <w:p>
            <w:pPr>
              <w:spacing w:after="0"/>
              <w:rPr>
                <w:sz w:val="15"/>
                <w:szCs w:val="15"/>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3,751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40" w:type="dxa"/>
            <w:vAlign w:val="bottom"/>
            <w:tcBorders>
              <w:bottom w:val="single" w:sz="8" w:color="001544"/>
            </w:tcBorders>
            <w:shd w:val="clear" w:color="auto" w:fill="BFCDDC"/>
          </w:tcPr>
          <w:p>
            <w:pPr>
              <w:ind w:left="80"/>
              <w:spacing w:after="0"/>
              <w:rPr>
                <w:sz w:val="20"/>
                <w:szCs w:val="20"/>
                <w:color w:val="auto"/>
              </w:rPr>
            </w:pPr>
            <w:r>
              <w:rPr>
                <w:rFonts w:ascii="Arial" w:cs="Arial" w:eastAsia="Arial" w:hAnsi="Arial"/>
                <w:sz w:val="15"/>
                <w:szCs w:val="15"/>
                <w:color w:val="auto"/>
              </w:rPr>
              <w:t>Fee-Related Earnings - attributable to Operating Company</w:t>
            </w:r>
          </w:p>
        </w:tc>
        <w:tc>
          <w:tcPr>
            <w:tcW w:w="200" w:type="dxa"/>
            <w:vAlign w:val="bottom"/>
            <w:tcBorders>
              <w:bottom w:val="single" w:sz="8" w:color="001544"/>
            </w:tcBorders>
            <w:gridSpan w:val="2"/>
            <w:shd w:val="clear" w:color="auto" w:fill="BFCDDC"/>
          </w:tcPr>
          <w:p>
            <w:pPr>
              <w:ind w:left="100"/>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107,109</w:t>
            </w:r>
          </w:p>
        </w:tc>
        <w:tc>
          <w:tcPr>
            <w:tcW w:w="24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81,786</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00" w:right="900" w:hanging="293"/>
        <w:spacing w:after="0" w:line="280" w:lineRule="auto"/>
        <w:tabs>
          <w:tab w:leader="none" w:pos="3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Noncontrolling interests’ share of adjustments pertain largely to discontinued operations, other gain (loss) of consolidated funds, unrealized carried interest allocation and unrealized principal investment income.</w:t>
      </w:r>
    </w:p>
    <w:p>
      <w:pPr>
        <w:spacing w:after="0" w:line="12" w:lineRule="exact"/>
        <w:rPr>
          <w:rFonts w:ascii="Arial" w:cs="Arial" w:eastAsia="Arial" w:hAnsi="Arial"/>
          <w:sz w:val="15"/>
          <w:szCs w:val="15"/>
          <w:color w:val="auto"/>
        </w:rPr>
      </w:pPr>
    </w:p>
    <w:p>
      <w:pPr>
        <w:ind w:left="300" w:right="400" w:hanging="293"/>
        <w:spacing w:after="0" w:line="262" w:lineRule="auto"/>
        <w:tabs>
          <w:tab w:leader="none" w:pos="3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Equity method earnings (loss) from Brightspire Capital, Inc. and the operating results of the portfolio companies previously consolidated in the Operating segment, which qualified as discontinued operations in March 2023 and December 2023, respectively, are included in DE of discontinued operations for all periods presented.</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Other Definitions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Assets Under Management (AUM)</w:t>
      </w:r>
    </w:p>
    <w:p>
      <w:pPr>
        <w:spacing w:after="0" w:line="211" w:lineRule="exact"/>
        <w:rPr>
          <w:sz w:val="20"/>
          <w:szCs w:val="20"/>
          <w:color w:val="auto"/>
        </w:rPr>
      </w:pPr>
    </w:p>
    <w:p>
      <w:pPr>
        <w:ind w:right="320"/>
        <w:spacing w:after="0" w:line="272" w:lineRule="auto"/>
        <w:rPr>
          <w:sz w:val="20"/>
          <w:szCs w:val="20"/>
          <w:color w:val="auto"/>
        </w:rPr>
      </w:pPr>
      <w:r>
        <w:rPr>
          <w:rFonts w:ascii="Arial" w:cs="Arial" w:eastAsia="Arial" w:hAnsi="Arial"/>
          <w:sz w:val="16"/>
          <w:szCs w:val="16"/>
          <w:color w:val="auto"/>
        </w:rPr>
        <w:t>AUM represents the total capital for which we provide investment management services and our general partner capital. AUM is generally composed of third party capital managed by the Company and its affiliates, including capital that is not yet fee earning, or not subject to fees and/or carried interest; and our general partner and general partner affiliate capital committed to our funds. AUM is largely determined based upon invested capital as of the reporting date, including capital funded through third party financing at the underlying portfolio companies; and committed capital for funds in their commitment stage. Our AUM is not based upon any definitions that may be set forth in the governing documents of our managed funds or other investment vehicles, and not calculated pursuant to any regulatory definitions.</w:t>
      </w:r>
    </w:p>
    <w:p>
      <w:pPr>
        <w:spacing w:after="0" w:line="200" w:lineRule="exact"/>
        <w:rPr>
          <w:sz w:val="20"/>
          <w:szCs w:val="20"/>
          <w:color w:val="auto"/>
        </w:rPr>
      </w:pPr>
    </w:p>
    <w:p>
      <w:pPr>
        <w:spacing w:after="0" w:line="34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 xml:space="preserve">DIGITALBRIDGE  2025 PROXY STATEMENT  </w:t>
      </w:r>
      <w:r>
        <w:rPr>
          <w:rFonts w:ascii="Arial" w:cs="Arial" w:eastAsia="Arial" w:hAnsi="Arial"/>
          <w:sz w:val="17"/>
          <w:szCs w:val="17"/>
          <w:color w:val="008861"/>
        </w:rPr>
        <w:t>|</w:t>
      </w:r>
      <w:r>
        <w:rPr>
          <w:rFonts w:ascii="Arial" w:cs="Arial" w:eastAsia="Arial" w:hAnsi="Arial"/>
          <w:sz w:val="17"/>
          <w:szCs w:val="17"/>
          <w:color w:val="auto"/>
        </w:rPr>
        <w:t xml:space="preserv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720"/>
          </w:cols>
          <w:pgMar w:left="1200" w:top="487" w:right="979"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B1B4B6"/>
        </w:rPr>
        <w:t>EXHIBIT A: DIGITALBRIDGE GROUP, INC. 2024 OMNIBUS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600900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Fee Earning Equity Under Management (FEEUM)</w:t>
      </w:r>
    </w:p>
    <w:p>
      <w:pPr>
        <w:spacing w:after="0" w:line="211"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FEEUM represents the total capital managed by the Company and its affiliates which earns management fees and/or incentive fees or carried interest. FEEUM is generally based upon committed capital, invested capital, NAV or GAV, pursuant to the terms of each underlying investment management agreement.</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FEEUM Capital Raise</w:t>
      </w:r>
    </w:p>
    <w:p>
      <w:pPr>
        <w:spacing w:after="0" w:line="21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FEEUM Capital Raise is defined as the amount of new fee earning capital raised by the Company during the applicable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color w:val="008861"/>
        </w:rPr>
        <w:t>|</w:t>
      </w:r>
      <w:r>
        <w:rPr>
          <w:rFonts w:ascii="Arial" w:cs="Arial" w:eastAsia="Arial" w:hAnsi="Arial"/>
          <w:sz w:val="17"/>
          <w:szCs w:val="17"/>
          <w:color w:val="auto"/>
        </w:rPr>
        <w:t xml:space="preserve">  DIGITALBRIDGE 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325120</wp:posOffset>
            </wp:positionV>
            <wp:extent cx="6009005" cy="241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09005" cy="24130"/>
                    </a:xfrm>
                    <a:prstGeom prst="rect">
                      <a:avLst/>
                    </a:prstGeom>
                    <a:noFill/>
                  </pic:spPr>
                </pic:pic>
              </a:graphicData>
            </a:graphic>
          </wp:anchor>
        </w:drawing>
      </w:r>
    </w:p>
    <w:p>
      <w:pPr>
        <w:sectPr>
          <w:pgSz w:w="11900" w:h="16838" w:orient="portrait"/>
          <w:cols w:equalWidth="0" w:num="1">
            <w:col w:w="9260"/>
          </w:cols>
          <w:pgMar w:left="1200" w:top="487" w:right="1439" w:bottom="1440" w:gutter="0" w:footer="0" w:header="0"/>
        </w:sectPr>
      </w:pPr>
    </w:p>
    <w:bookmarkStart w:id="88" w:name="page89"/>
    <w:bookmarkEnd w:id="88"/>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1921510</wp:posOffset>
            </wp:positionV>
            <wp:extent cx="2298065" cy="6146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298065" cy="61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 xml:space="preserve">750 Park of Commerce Drive  </w:t>
      </w:r>
      <w:r>
        <w:rPr>
          <w:rFonts w:ascii="Arial" w:cs="Arial" w:eastAsia="Arial" w:hAnsi="Arial"/>
          <w:sz w:val="16"/>
          <w:szCs w:val="16"/>
          <w:color w:val="008861"/>
        </w:rPr>
        <w:t>|</w:t>
      </w:r>
      <w:r>
        <w:rPr>
          <w:rFonts w:ascii="Arial" w:cs="Arial" w:eastAsia="Arial" w:hAnsi="Arial"/>
          <w:sz w:val="16"/>
          <w:szCs w:val="16"/>
          <w:color w:val="auto"/>
        </w:rPr>
        <w:t xml:space="preserve">  Boca Raton, Florida 33487  </w:t>
      </w:r>
      <w:r>
        <w:rPr>
          <w:rFonts w:ascii="Arial" w:cs="Arial" w:eastAsia="Arial" w:hAnsi="Arial"/>
          <w:sz w:val="16"/>
          <w:szCs w:val="16"/>
          <w:color w:val="008861"/>
        </w:rPr>
        <w:t>|</w:t>
      </w:r>
      <w:r>
        <w:rPr>
          <w:rFonts w:ascii="Arial" w:cs="Arial" w:eastAsia="Arial" w:hAnsi="Arial"/>
          <w:sz w:val="16"/>
          <w:szCs w:val="16"/>
          <w:color w:val="auto"/>
        </w:rPr>
        <w:t xml:space="preserve">  www.digitalbridge.com</w:t>
      </w:r>
    </w:p>
    <w:p>
      <w:pPr>
        <w:spacing w:after="0" w:line="21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NYSE: DBRG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833755</wp:posOffset>
            </wp:positionV>
            <wp:extent cx="6009005" cy="158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09005" cy="15875"/>
                    </a:xfrm>
                    <a:prstGeom prst="rect">
                      <a:avLst/>
                    </a:prstGeom>
                    <a:noFill/>
                  </pic:spPr>
                </pic:pic>
              </a:graphicData>
            </a:graphic>
          </wp:anchor>
        </w:drawing>
      </w:r>
    </w:p>
    <w:p>
      <w:pPr>
        <w:sectPr>
          <w:pgSz w:w="11900" w:h="16838" w:orient="portrait"/>
          <w:cols w:equalWidth="0" w:num="1">
            <w:col w:w="9259"/>
          </w:cols>
          <w:pgMar w:left="1200" w:top="487" w:right="1440" w:bottom="1440"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6575" cy="91205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86575" cy="9120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97155</wp:posOffset>
            </wp:positionV>
            <wp:extent cx="6886575" cy="91205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86575" cy="9120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97155</wp:posOffset>
            </wp:positionV>
            <wp:extent cx="6886575" cy="91128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86575" cy="91128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1"/>
      <w:numFmt w:val="bullet"/>
      <w:start w:val="1"/>
    </w:lvl>
  </w:abstractNum>
  <w:abstractNum w:abstractNumId="4">
    <w:nsid w:val="5FF87E05"/>
    <w:multiLevelType w:val="hybridMultilevel"/>
    <w:lvl w:ilvl="0">
      <w:lvlJc w:val="left"/>
      <w:lvlText w:val="3"/>
      <w:numFmt w:val="bullet"/>
      <w:start w:val="1"/>
    </w:lvl>
  </w:abstractNum>
  <w:abstractNum w:abstractNumId="5">
    <w:nsid w:val="2F305DEF"/>
    <w:multiLevelType w:val="hybridMultilevel"/>
    <w:lvl w:ilvl="0">
      <w:lvlJc w:val="left"/>
      <w:lvlText w:val="4"/>
      <w:numFmt w:val="bullet"/>
      <w:start w:val="1"/>
    </w:lvl>
  </w:abstractNum>
  <w:abstractNum w:abstractNumId="6">
    <w:nsid w:val="25A70BF7"/>
    <w:multiLevelType w:val="hybridMultilevel"/>
    <w:lvl w:ilvl="0">
      <w:lvlJc w:val="left"/>
      <w:lvlText w:val="5"/>
      <w:numFmt w:val="bullet"/>
      <w:start w:val="1"/>
    </w:lvl>
  </w:abstractNum>
  <w:abstractNum w:abstractNumId="7">
    <w:nsid w:val="1DBABF00"/>
    <w:multiLevelType w:val="hybridMultilevel"/>
    <w:lvl w:ilvl="0">
      <w:lvlJc w:val="left"/>
      <w:lvlText w:val="6"/>
      <w:numFmt w:val="bullet"/>
      <w:start w:val="1"/>
    </w:lvl>
  </w:abstractNum>
  <w:abstractNum w:abstractNumId="8">
    <w:nsid w:val="4AD084E9"/>
    <w:multiLevelType w:val="hybridMultilevel"/>
    <w:lvl w:ilvl="0">
      <w:lvlJc w:val="left"/>
      <w:lvlText w:val="%1"/>
      <w:numFmt w:val="decimal"/>
      <w:start w:val="16"/>
    </w:lvl>
  </w:abstractNum>
  <w:abstractNum w:abstractNumId="9">
    <w:nsid w:val="1F48EAA1"/>
    <w:multiLevelType w:val="hybridMultilevel"/>
    <w:lvl w:ilvl="0">
      <w:lvlJc w:val="left"/>
      <w:lvlText w:val="%1"/>
      <w:numFmt w:val="decimal"/>
      <w:start w:val="21"/>
    </w:lvl>
  </w:abstractNum>
  <w:abstractNum w:abstractNumId="10">
    <w:nsid w:val="1381823A"/>
    <w:multiLevelType w:val="hybridMultilevel"/>
    <w:lvl w:ilvl="0">
      <w:lvlJc w:val="left"/>
      <w:lvlText w:val="%1"/>
      <w:numFmt w:val="decimal"/>
      <w:start w:val="24"/>
    </w:lvl>
  </w:abstractNum>
  <w:abstractNum w:abstractNumId="11">
    <w:nsid w:val="5DB70AE5"/>
    <w:multiLevelType w:val="hybridMultilevel"/>
    <w:lvl w:ilvl="0">
      <w:lvlJc w:val="left"/>
      <w:lvlText w:val="%1"/>
      <w:numFmt w:val="decimal"/>
      <w:start w:val="27"/>
    </w:lvl>
  </w:abstractNum>
  <w:abstractNum w:abstractNumId="12">
    <w:nsid w:val="100F8FCA"/>
    <w:multiLevelType w:val="hybridMultilevel"/>
    <w:lvl w:ilvl="0">
      <w:lvlJc w:val="left"/>
      <w:lvlText w:val="%1"/>
      <w:numFmt w:val="decimal"/>
      <w:start w:val="29"/>
    </w:lvl>
  </w:abstractNum>
  <w:abstractNum w:abstractNumId="13">
    <w:nsid w:val="6590700B"/>
    <w:multiLevelType w:val="hybridMultilevel"/>
    <w:lvl w:ilvl="0">
      <w:lvlJc w:val="left"/>
      <w:lvlText w:val="%1"/>
      <w:numFmt w:val="decimal"/>
      <w:start w:val="44"/>
    </w:lvl>
  </w:abstractNum>
  <w:abstractNum w:abstractNumId="14">
    <w:nsid w:val="15014ACB"/>
    <w:multiLevelType w:val="hybridMultilevel"/>
    <w:lvl w:ilvl="0">
      <w:lvlJc w:val="left"/>
      <w:lvlText w:val="%1"/>
      <w:numFmt w:val="decimal"/>
      <w:start w:val="47"/>
    </w:lvl>
  </w:abstractNum>
  <w:abstractNum w:abstractNumId="15">
    <w:nsid w:val="5F5E7FD0"/>
    <w:multiLevelType w:val="hybridMultilevel"/>
    <w:lvl w:ilvl="0">
      <w:lvlJc w:val="left"/>
      <w:lvlText w:val="%1"/>
      <w:numFmt w:val="decimal"/>
      <w:start w:val="55"/>
    </w:lvl>
  </w:abstractNum>
  <w:abstractNum w:abstractNumId="16">
    <w:nsid w:val="98A3148"/>
    <w:multiLevelType w:val="hybridMultilevel"/>
    <w:lvl w:ilvl="0">
      <w:lvlJc w:val="left"/>
      <w:lvlText w:val="%1"/>
      <w:numFmt w:val="decimal"/>
      <w:start w:val="63"/>
    </w:lvl>
  </w:abstractNum>
  <w:abstractNum w:abstractNumId="17">
    <w:nsid w:val="799D0247"/>
    <w:multiLevelType w:val="hybridMultilevel"/>
    <w:lvl w:ilvl="0">
      <w:lvlJc w:val="left"/>
      <w:lvlText w:val="%1"/>
      <w:numFmt w:val="decimal"/>
      <w:start w:val="63"/>
    </w:lvl>
  </w:abstractNum>
  <w:abstractNum w:abstractNumId="18">
    <w:nsid w:val="6B94764"/>
    <w:multiLevelType w:val="hybridMultilevel"/>
    <w:lvl w:ilvl="0">
      <w:lvlJc w:val="left"/>
      <w:lvlText w:val="%1"/>
      <w:numFmt w:val="decimal"/>
      <w:start w:val="65"/>
    </w:lvl>
  </w:abstractNum>
  <w:abstractNum w:abstractNumId="19">
    <w:nsid w:val="42C296BD"/>
    <w:multiLevelType w:val="hybridMultilevel"/>
    <w:lvl w:ilvl="0">
      <w:lvlJc w:val="left"/>
      <w:lvlText w:val="%1"/>
      <w:numFmt w:val="decimal"/>
      <w:start w:val="67"/>
    </w:lvl>
  </w:abstractNum>
  <w:abstractNum w:abstractNumId="20">
    <w:nsid w:val="168E121F"/>
    <w:multiLevelType w:val="hybridMultilevel"/>
    <w:lvl w:ilvl="0">
      <w:lvlJc w:val="left"/>
      <w:lvlText w:val="%1"/>
      <w:numFmt w:val="decimal"/>
      <w:start w:val="69"/>
    </w:lvl>
  </w:abstractNum>
  <w:abstractNum w:abstractNumId="21">
    <w:nsid w:val="1EBA5D23"/>
    <w:multiLevelType w:val="hybridMultilevel"/>
    <w:lvl w:ilvl="0">
      <w:lvlJc w:val="left"/>
      <w:lvlText w:val="%1"/>
      <w:numFmt w:val="decimal"/>
      <w:start w:val="71"/>
    </w:lvl>
  </w:abstractNum>
  <w:abstractNum w:abstractNumId="22">
    <w:nsid w:val="661E3F1E"/>
    <w:multiLevelType w:val="hybridMultilevel"/>
    <w:lvl w:ilvl="0">
      <w:lvlJc w:val="left"/>
      <w:lvlText w:val="%1"/>
      <w:numFmt w:val="decimal"/>
      <w:start w:val="71"/>
    </w:lvl>
  </w:abstractNum>
  <w:abstractNum w:abstractNumId="23">
    <w:nsid w:val="5DC79EA8"/>
    <w:multiLevelType w:val="hybridMultilevel"/>
    <w:lvl w:ilvl="0">
      <w:lvlJc w:val="left"/>
      <w:lvlText w:val="%1"/>
      <w:numFmt w:val="decimal"/>
      <w:start w:val="74"/>
    </w:lvl>
  </w:abstractNum>
  <w:abstractNum w:abstractNumId="24">
    <w:nsid w:val="540A471C"/>
    <w:multiLevelType w:val="hybridMultilevel"/>
    <w:lvl w:ilvl="0">
      <w:lvlJc w:val="left"/>
      <w:lvlText w:val="%1"/>
      <w:numFmt w:val="decimal"/>
      <w:start w:val="76"/>
    </w:lvl>
  </w:abstractNum>
  <w:abstractNum w:abstractNumId="25">
    <w:nsid w:val="7BD3EE7B"/>
    <w:multiLevelType w:val="hybridMultilevel"/>
    <w:lvl w:ilvl="0">
      <w:lvlJc w:val="left"/>
      <w:lvlText w:val="%1"/>
      <w:numFmt w:val="decimal"/>
      <w:start w:val="76"/>
    </w:lvl>
  </w:abstractNum>
  <w:abstractNum w:abstractNumId="26">
    <w:nsid w:val="51D9C564"/>
    <w:multiLevelType w:val="hybridMultilevel"/>
    <w:lvl w:ilvl="0">
      <w:lvlJc w:val="left"/>
      <w:lvlText w:val="%1"/>
      <w:numFmt w:val="decimal"/>
      <w:start w:val="76"/>
    </w:lvl>
  </w:abstractNum>
  <w:abstractNum w:abstractNumId="27">
    <w:nsid w:val="613EFDC5"/>
    <w:multiLevelType w:val="hybridMultilevel"/>
    <w:lvl w:ilvl="0">
      <w:lvlJc w:val="left"/>
      <w:lvlText w:val="%1"/>
      <w:numFmt w:val="decimal"/>
      <w:start w:val="77"/>
    </w:lvl>
  </w:abstractNum>
  <w:abstractNum w:abstractNumId="28">
    <w:nsid w:val="BF72B14"/>
    <w:multiLevelType w:val="hybridMultilevel"/>
    <w:lvl w:ilvl="0">
      <w:lvlJc w:val="left"/>
      <w:lvlText w:val="%1"/>
      <w:numFmt w:val="decimal"/>
      <w:start w:val="77"/>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1)"/>
      <w:numFmt w:val="decimal"/>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
      <w:numFmt w:val="bullet"/>
      <w:start w:val="1"/>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
      <w:numFmt w:val="bullet"/>
      <w:start w:val="1"/>
    </w:lvl>
    <w:lvl w:ilvl="1">
      <w:lvlJc w:val="left"/>
      <w:lvlText w:val="■"/>
      <w:numFmt w:val="bullet"/>
      <w:start w:val="1"/>
    </w:lvl>
  </w:abstractNum>
  <w:abstractNum w:abstractNumId="44">
    <w:nsid w:val="7FB7E0AA"/>
    <w:multiLevelType w:val="hybridMultilevel"/>
    <w:lvl w:ilvl="0">
      <w:lvlJc w:val="left"/>
      <w:lvlText w:val="■"/>
      <w:numFmt w:val="bullet"/>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
      <w:numFmt w:val="bullet"/>
      <w:start w:val="1"/>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
      <w:numFmt w:val="bullet"/>
      <w:start w:val="1"/>
    </w:lvl>
  </w:abstractNum>
  <w:abstractNum w:abstractNumId="51">
    <w:nsid w:val="1716703B"/>
    <w:multiLevelType w:val="hybridMultilevel"/>
    <w:lvl w:ilvl="0">
      <w:lvlJc w:val="left"/>
      <w:lvlText w:val="■"/>
      <w:numFmt w:val="bullet"/>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
      <w:numFmt w:val="bullet"/>
      <w:start w:val="1"/>
    </w:lvl>
  </w:abstractNum>
  <w:abstractNum w:abstractNumId="58">
    <w:nsid w:val="4A2AC315"/>
    <w:multiLevelType w:val="hybridMultilevel"/>
    <w:lvl w:ilvl="0">
      <w:lvlJc w:val="left"/>
      <w:lvlText w:val="■"/>
      <w:numFmt w:val="bullet"/>
      <w:start w:val="1"/>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
      <w:numFmt w:val="bullet"/>
      <w:start w:val="1"/>
    </w:lvl>
  </w:abstractNum>
  <w:abstractNum w:abstractNumId="61">
    <w:nsid w:val="CC1016F"/>
    <w:multiLevelType w:val="hybridMultilevel"/>
    <w:lvl w:ilvl="0">
      <w:lvlJc w:val="left"/>
      <w:lvlText w:val="■"/>
      <w:numFmt w:val="bullet"/>
      <w:start w:val="1"/>
    </w:lvl>
  </w:abstractNum>
  <w:abstractNum w:abstractNumId="62">
    <w:nsid w:val="43F18422"/>
    <w:multiLevelType w:val="hybridMultilevel"/>
    <w:lvl w:ilvl="0">
      <w:lvlJc w:val="left"/>
      <w:lvlText w:val="■"/>
      <w:numFmt w:val="bullet"/>
      <w:start w:val="1"/>
    </w:lvl>
  </w:abstractNum>
  <w:abstractNum w:abstractNumId="63">
    <w:nsid w:val="60EF0119"/>
    <w:multiLevelType w:val="hybridMultilevel"/>
    <w:lvl w:ilvl="0">
      <w:lvlJc w:val="left"/>
      <w:lvlText w:val="■"/>
      <w:numFmt w:val="bullet"/>
      <w:start w:val="1"/>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
      <w:numFmt w:val="bullet"/>
      <w:start w:val="1"/>
    </w:lvl>
  </w:abstractNum>
  <w:abstractNum w:abstractNumId="66">
    <w:nsid w:val="49DA307D"/>
    <w:multiLevelType w:val="hybridMultilevel"/>
    <w:lvl w:ilvl="0">
      <w:lvlJc w:val="left"/>
      <w:lvlText w:val="■"/>
      <w:numFmt w:val="bullet"/>
      <w:start w:val="1"/>
    </w:lvl>
  </w:abstractNum>
  <w:abstractNum w:abstractNumId="67">
    <w:nsid w:val="7055A5F5"/>
    <w:multiLevelType w:val="hybridMultilevel"/>
    <w:lvl w:ilvl="0">
      <w:lvlJc w:val="left"/>
      <w:lvlText w:val="■"/>
      <w:numFmt w:val="bullet"/>
      <w:start w:val="1"/>
    </w:lvl>
  </w:abstractNum>
  <w:abstractNum w:abstractNumId="68">
    <w:nsid w:val="5FB8370B"/>
    <w:multiLevelType w:val="hybridMultilevel"/>
    <w:lvl w:ilvl="0">
      <w:lvlJc w:val="left"/>
      <w:lvlText w:val="■"/>
      <w:numFmt w:val="bullet"/>
      <w:start w:val="1"/>
    </w:lvl>
  </w:abstractNum>
  <w:abstractNum w:abstractNumId="69">
    <w:nsid w:val="50801EE1"/>
    <w:multiLevelType w:val="hybridMultilevel"/>
    <w:lvl w:ilvl="0">
      <w:lvlJc w:val="left"/>
      <w:lvlText w:val="■"/>
      <w:numFmt w:val="bullet"/>
      <w:start w:val="1"/>
    </w:lvl>
    <w:lvl w:ilvl="1">
      <w:lvlJc w:val="left"/>
      <w:lvlText w:val="■"/>
      <w:numFmt w:val="bullet"/>
      <w:start w:val="1"/>
    </w:lvl>
  </w:abstractNum>
  <w:abstractNum w:abstractNumId="70">
    <w:nsid w:val="488AC1A"/>
    <w:multiLevelType w:val="hybridMultilevel"/>
    <w:lvl w:ilvl="0">
      <w:lvlJc w:val="left"/>
      <w:lvlText w:val="■"/>
      <w:numFmt w:val="bullet"/>
      <w:start w:val="1"/>
    </w:lvl>
  </w:abstractNum>
  <w:abstractNum w:abstractNumId="71">
    <w:nsid w:val="5FB8011C"/>
    <w:multiLevelType w:val="hybridMultilevel"/>
    <w:lvl w:ilvl="0">
      <w:lvlJc w:val="left"/>
      <w:lvlText w:val="■"/>
      <w:numFmt w:val="bullet"/>
      <w:start w:val="1"/>
    </w:lvl>
  </w:abstractNum>
  <w:abstractNum w:abstractNumId="72">
    <w:nsid w:val="6AA78F7F"/>
    <w:multiLevelType w:val="hybridMultilevel"/>
    <w:lvl w:ilvl="0">
      <w:lvlJc w:val="left"/>
      <w:lvlText w:val="■"/>
      <w:numFmt w:val="bullet"/>
      <w:start w:val="1"/>
    </w:lvl>
  </w:abstractNum>
  <w:abstractNum w:abstractNumId="73">
    <w:nsid w:val="7672BD23"/>
    <w:multiLevelType w:val="hybridMultilevel"/>
    <w:lvl w:ilvl="0">
      <w:lvlJc w:val="left"/>
      <w:lvlText w:val="■"/>
      <w:numFmt w:val="bullet"/>
      <w:start w:val="1"/>
    </w:lvl>
  </w:abstractNum>
  <w:abstractNum w:abstractNumId="74">
    <w:nsid w:val="6FC75AF8"/>
    <w:multiLevelType w:val="hybridMultilevel"/>
    <w:lvl w:ilvl="0">
      <w:lvlJc w:val="left"/>
      <w:lvlText w:val="■"/>
      <w:numFmt w:val="bullet"/>
      <w:start w:val="1"/>
    </w:lvl>
  </w:abstractNum>
  <w:abstractNum w:abstractNumId="75">
    <w:nsid w:val="6A5F7029"/>
    <w:multiLevelType w:val="hybridMultilevel"/>
    <w:lvl w:ilvl="0">
      <w:lvlJc w:val="left"/>
      <w:lvlText w:val="■"/>
      <w:numFmt w:val="bullet"/>
      <w:start w:val="1"/>
    </w:lvl>
  </w:abstractNum>
  <w:abstractNum w:abstractNumId="76">
    <w:nsid w:val="7D5E18F8"/>
    <w:multiLevelType w:val="hybridMultilevel"/>
    <w:lvl w:ilvl="0">
      <w:lvlJc w:val="left"/>
      <w:lvlText w:val="■"/>
      <w:numFmt w:val="bullet"/>
      <w:start w:val="1"/>
    </w:lvl>
  </w:abstractNum>
  <w:abstractNum w:abstractNumId="77">
    <w:nsid w:val="5F3534A4"/>
    <w:multiLevelType w:val="hybridMultilevel"/>
    <w:lvl w:ilvl="0">
      <w:lvlJc w:val="left"/>
      <w:lvlText w:val="■"/>
      <w:numFmt w:val="bullet"/>
      <w:start w:val="1"/>
    </w:lvl>
  </w:abstractNum>
  <w:abstractNum w:abstractNumId="78">
    <w:nsid w:val="73A1821B"/>
    <w:multiLevelType w:val="hybridMultilevel"/>
    <w:lvl w:ilvl="0">
      <w:lvlJc w:val="left"/>
      <w:lvlText w:val="■"/>
      <w:numFmt w:val="bullet"/>
      <w:start w:val="1"/>
    </w:lvl>
  </w:abstractNum>
  <w:abstractNum w:abstractNumId="79">
    <w:nsid w:val="7DE67713"/>
    <w:multiLevelType w:val="hybridMultilevel"/>
    <w:lvl w:ilvl="0">
      <w:lvlJc w:val="left"/>
      <w:lvlText w:val="■"/>
      <w:numFmt w:val="bullet"/>
      <w:start w:val="1"/>
    </w:lvl>
  </w:abstractNum>
  <w:abstractNum w:abstractNumId="80">
    <w:nsid w:val="555C55B5"/>
    <w:multiLevelType w:val="hybridMultilevel"/>
    <w:lvl w:ilvl="0">
      <w:lvlJc w:val="left"/>
      <w:lvlText w:val="■"/>
      <w:numFmt w:val="bullet"/>
      <w:start w:val="1"/>
    </w:lvl>
  </w:abstractNum>
  <w:abstractNum w:abstractNumId="81">
    <w:nsid w:val="3FA62ACA"/>
    <w:multiLevelType w:val="hybridMultilevel"/>
    <w:lvl w:ilvl="0">
      <w:lvlJc w:val="left"/>
      <w:lvlText w:val="■"/>
      <w:numFmt w:val="bullet"/>
      <w:start w:val="1"/>
    </w:lvl>
  </w:abstractNum>
  <w:abstractNum w:abstractNumId="82">
    <w:nsid w:val="14FCE74E"/>
    <w:multiLevelType w:val="hybridMultilevel"/>
    <w:lvl w:ilvl="0">
      <w:lvlJc w:val="left"/>
      <w:lvlText w:val="■"/>
      <w:numFmt w:val="bullet"/>
      <w:start w:val="1"/>
    </w:lvl>
  </w:abstractNum>
  <w:abstractNum w:abstractNumId="83">
    <w:nsid w:val="6A3DD3E8"/>
    <w:multiLevelType w:val="hybridMultilevel"/>
    <w:lvl w:ilvl="0">
      <w:lvlJc w:val="left"/>
      <w:lvlText w:val="■"/>
      <w:numFmt w:val="bullet"/>
      <w:start w:val="1"/>
    </w:lvl>
  </w:abstractNum>
  <w:abstractNum w:abstractNumId="84">
    <w:nsid w:val="71C91298"/>
    <w:multiLevelType w:val="hybridMultilevel"/>
    <w:lvl w:ilvl="0">
      <w:lvlJc w:val="left"/>
      <w:lvlText w:val="■"/>
      <w:numFmt w:val="bullet"/>
      <w:start w:val="1"/>
    </w:lvl>
  </w:abstractNum>
  <w:abstractNum w:abstractNumId="85">
    <w:nsid w:val="9DAF632"/>
    <w:multiLevelType w:val="hybridMultilevel"/>
    <w:lvl w:ilvl="0">
      <w:lvlJc w:val="left"/>
      <w:lvlText w:val="■"/>
      <w:numFmt w:val="bullet"/>
      <w:start w:val="1"/>
    </w:lvl>
  </w:abstractNum>
  <w:abstractNum w:abstractNumId="86">
    <w:nsid w:val="53299938"/>
    <w:multiLevelType w:val="hybridMultilevel"/>
    <w:lvl w:ilvl="0">
      <w:lvlJc w:val="left"/>
      <w:lvlText w:val="■"/>
      <w:numFmt w:val="bullet"/>
      <w:start w:val="1"/>
    </w:lvl>
  </w:abstractNum>
  <w:abstractNum w:abstractNumId="87">
    <w:nsid w:val="1FBFE8E0"/>
    <w:multiLevelType w:val="hybridMultilevel"/>
    <w:lvl w:ilvl="0">
      <w:lvlJc w:val="left"/>
      <w:lvlText w:val="■"/>
      <w:numFmt w:val="bullet"/>
      <w:start w:val="1"/>
    </w:lvl>
  </w:abstractNum>
  <w:abstractNum w:abstractNumId="88">
    <w:nsid w:val="5092CA79"/>
    <w:multiLevelType w:val="hybridMultilevel"/>
    <w:lvl w:ilvl="0">
      <w:lvlJc w:val="left"/>
      <w:lvlText w:val="■"/>
      <w:numFmt w:val="bullet"/>
      <w:start w:val="1"/>
    </w:lvl>
    <w:lvl w:ilvl="1">
      <w:lvlJc w:val="left"/>
      <w:lvlText w:val="(%2)"/>
      <w:numFmt w:val="decimal"/>
      <w:start w:val="1"/>
    </w:lvl>
  </w:abstractNum>
  <w:abstractNum w:abstractNumId="89">
    <w:nsid w:val="1D545C4D"/>
    <w:multiLevelType w:val="hybridMultilevel"/>
    <w:lvl w:ilvl="0">
      <w:lvlJc w:val="left"/>
      <w:lvlText w:val="(%1)"/>
      <w:numFmt w:val="decimal"/>
      <w:start w:val="1"/>
    </w:lvl>
  </w:abstractNum>
  <w:abstractNum w:abstractNumId="90">
    <w:nsid w:val="59ADEA3D"/>
    <w:multiLevelType w:val="hybridMultilevel"/>
    <w:lvl w:ilvl="0">
      <w:lvlJc w:val="left"/>
      <w:lvlText w:val="■"/>
      <w:numFmt w:val="bullet"/>
      <w:start w:val="1"/>
    </w:lvl>
  </w:abstractNum>
  <w:abstractNum w:abstractNumId="91">
    <w:nsid w:val="288F1A34"/>
    <w:multiLevelType w:val="hybridMultilevel"/>
    <w:lvl w:ilvl="0">
      <w:lvlJc w:val="left"/>
      <w:lvlText w:val="(%1)"/>
      <w:numFmt w:val="decimal"/>
      <w:start w:val="1"/>
    </w:lvl>
  </w:abstractNum>
  <w:abstractNum w:abstractNumId="92">
    <w:nsid w:val="2A155DBC"/>
    <w:multiLevelType w:val="hybridMultilevel"/>
    <w:lvl w:ilvl="0">
      <w:lvlJc w:val="left"/>
      <w:lvlText w:val="■"/>
      <w:numFmt w:val="bullet"/>
      <w:start w:val="1"/>
    </w:lvl>
  </w:abstractNum>
  <w:abstractNum w:abstractNumId="93">
    <w:nsid w:val="1D9F6E5F"/>
    <w:multiLevelType w:val="hybridMultilevel"/>
    <w:lvl w:ilvl="0">
      <w:lvlJc w:val="left"/>
      <w:lvlText w:val="(%1)"/>
      <w:numFmt w:val="decimal"/>
      <w:start w:val="1"/>
    </w:lvl>
  </w:abstractNum>
  <w:abstractNum w:abstractNumId="94">
    <w:nsid w:val="97E1B4E"/>
    <w:multiLevelType w:val="hybridMultilevel"/>
    <w:lvl w:ilvl="0">
      <w:lvlJc w:val="left"/>
      <w:lvlText w:val="(%1)"/>
      <w:numFmt w:val="decimal"/>
      <w:start w:val="1"/>
    </w:lvl>
  </w:abstractNum>
  <w:abstractNum w:abstractNumId="95">
    <w:nsid w:val="51088277"/>
    <w:multiLevelType w:val="hybridMultilevel"/>
    <w:lvl w:ilvl="0">
      <w:lvlJc w:val="left"/>
      <w:lvlText w:val="(%1)"/>
      <w:numFmt w:val="decimal"/>
      <w:start w:val="1"/>
    </w:lvl>
  </w:abstractNum>
  <w:abstractNum w:abstractNumId="96">
    <w:nsid w:val="1CA0C5FA"/>
    <w:multiLevelType w:val="hybridMultilevel"/>
    <w:lvl w:ilvl="0">
      <w:lvlJc w:val="left"/>
      <w:lvlText w:val="■"/>
      <w:numFmt w:val="bullet"/>
      <w:start w:val="1"/>
    </w:lvl>
  </w:abstractNum>
  <w:abstractNum w:abstractNumId="97">
    <w:nsid w:val="53584BCB"/>
    <w:multiLevelType w:val="hybridMultilevel"/>
    <w:lvl w:ilvl="0">
      <w:lvlJc w:val="left"/>
      <w:lvlText w:val="(%1)"/>
      <w:numFmt w:val="decimal"/>
      <w:start w:val="1"/>
    </w:lvl>
  </w:abstractNum>
  <w:abstractNum w:abstractNumId="98">
    <w:nsid w:val="415E286C"/>
    <w:multiLevelType w:val="hybridMultilevel"/>
    <w:lvl w:ilvl="0">
      <w:lvlJc w:val="left"/>
      <w:lvlText w:val="(%1)"/>
      <w:numFmt w:val="decimal"/>
      <w:start w:val="1"/>
    </w:lvl>
  </w:abstractNum>
  <w:abstractNum w:abstractNumId="99">
    <w:nsid w:val="7C58FD05"/>
    <w:multiLevelType w:val="hybridMultilevel"/>
    <w:lvl w:ilvl="0">
      <w:lvlJc w:val="left"/>
      <w:lvlText w:val="(%1)"/>
      <w:numFmt w:val="decimal"/>
      <w:start w:val="1"/>
    </w:lvl>
  </w:abstractNum>
  <w:abstractNum w:abstractNumId="100">
    <w:nsid w:val="23D86AAC"/>
    <w:multiLevelType w:val="hybridMultilevel"/>
    <w:lvl w:ilvl="0">
      <w:lvlJc w:val="left"/>
      <w:lvlText w:val="■"/>
      <w:numFmt w:val="bullet"/>
      <w:start w:val="1"/>
    </w:lvl>
  </w:abstractNum>
  <w:abstractNum w:abstractNumId="101">
    <w:nsid w:val="45E6D486"/>
    <w:multiLevelType w:val="hybridMultilevel"/>
    <w:lvl w:ilvl="0">
      <w:lvlJc w:val="left"/>
      <w:lvlText w:val="(%1)"/>
      <w:numFmt w:val="decimal"/>
      <w:start w:val="1"/>
    </w:lvl>
    <w:lvl w:ilvl="1">
      <w:lvlJc w:val="left"/>
      <w:lvlText w:val="(%2)"/>
      <w:numFmt w:val="upperLetter"/>
      <w:start w:val="1"/>
    </w:lvl>
  </w:abstractNum>
  <w:abstractNum w:abstractNumId="102">
    <w:nsid w:val="5C10FE21"/>
    <w:multiLevelType w:val="hybridMultilevel"/>
    <w:lvl w:ilvl="0">
      <w:lvlJc w:val="left"/>
      <w:lvlText w:val="(%1)"/>
      <w:numFmt w:val="decimal"/>
      <w:start w:val="2"/>
    </w:lvl>
  </w:abstractNum>
  <w:abstractNum w:abstractNumId="103">
    <w:nsid w:val="E7FFA2B"/>
    <w:multiLevelType w:val="hybridMultilevel"/>
    <w:lvl w:ilvl="0">
      <w:lvlJc w:val="left"/>
      <w:lvlText w:val="(%1)"/>
      <w:numFmt w:val="decimal"/>
      <w:start w:val="1"/>
    </w:lvl>
  </w:abstractNum>
  <w:abstractNum w:abstractNumId="104">
    <w:nsid w:val="3C5991AA"/>
    <w:multiLevelType w:val="hybridMultilevel"/>
    <w:lvl w:ilvl="0">
      <w:lvlJc w:val="left"/>
      <w:lvlText w:val="(%1)"/>
      <w:numFmt w:val="decimal"/>
      <w:start w:val="2"/>
    </w:lvl>
  </w:abstractNum>
  <w:abstractNum w:abstractNumId="105">
    <w:nsid w:val="4BD8591A"/>
    <w:multiLevelType w:val="hybridMultilevel"/>
    <w:lvl w:ilvl="0">
      <w:lvlJc w:val="left"/>
      <w:lvlText w:val="(%1)"/>
      <w:numFmt w:val="decimal"/>
      <w:start w:val="1"/>
    </w:lvl>
  </w:abstractNum>
  <w:abstractNum w:abstractNumId="106">
    <w:nsid w:val="78DF6A55"/>
    <w:multiLevelType w:val="hybridMultilevel"/>
    <w:lvl w:ilvl="0">
      <w:lvlJc w:val="left"/>
      <w:lvlText w:val="(%1)"/>
      <w:numFmt w:val="decimal"/>
      <w:start w:val="1"/>
    </w:lvl>
  </w:abstractNum>
  <w:abstractNum w:abstractNumId="107">
    <w:nsid w:val="39B7AAA2"/>
    <w:multiLevelType w:val="hybridMultilevel"/>
    <w:lvl w:ilvl="0">
      <w:lvlJc w:val="left"/>
      <w:lvlText w:val="(%1)"/>
      <w:numFmt w:val="decimal"/>
      <w:start w:val="1"/>
    </w:lvl>
  </w:abstractNum>
  <w:abstractNum w:abstractNumId="108">
    <w:nsid w:val="2B0D8DBE"/>
    <w:multiLevelType w:val="hybridMultilevel"/>
    <w:lvl w:ilvl="0">
      <w:lvlJc w:val="left"/>
      <w:lvlText w:val="(%1)"/>
      <w:numFmt w:val="lowerLetter"/>
      <w:start w:val="1"/>
    </w:lvl>
  </w:abstractNum>
  <w:abstractNum w:abstractNumId="109">
    <w:nsid w:val="6C80EC70"/>
    <w:multiLevelType w:val="hybridMultilevel"/>
    <w:lvl w:ilvl="0">
      <w:lvlJc w:val="left"/>
      <w:lvlText w:val="(%1)"/>
      <w:numFmt w:val="decimal"/>
      <w:start w:val="3"/>
    </w:lvl>
  </w:abstractNum>
  <w:abstractNum w:abstractNumId="110">
    <w:nsid w:val="379E21B5"/>
    <w:multiLevelType w:val="hybridMultilevel"/>
    <w:lvl w:ilvl="0">
      <w:lvlJc w:val="left"/>
      <w:lvlText w:val="(%1)"/>
      <w:numFmt w:val="decimal"/>
      <w:start w:val="5"/>
    </w:lvl>
  </w:abstractNum>
  <w:abstractNum w:abstractNumId="111">
    <w:nsid w:val="69E373"/>
    <w:multiLevelType w:val="hybridMultilevel"/>
    <w:lvl w:ilvl="0">
      <w:lvlJc w:val="left"/>
      <w:lvlText w:val="■"/>
      <w:numFmt w:val="bullet"/>
      <w:start w:val="1"/>
    </w:lvl>
  </w:abstractNum>
  <w:abstractNum w:abstractNumId="112">
    <w:nsid w:val="2C27173B"/>
    <w:multiLevelType w:val="hybridMultilevel"/>
    <w:lvl w:ilvl="0">
      <w:lvlJc w:val="left"/>
      <w:lvlText w:val="■"/>
      <w:numFmt w:val="bullet"/>
      <w:start w:val="1"/>
    </w:lvl>
  </w:abstractNum>
  <w:abstractNum w:abstractNumId="113">
    <w:nsid w:val="4C9B0904"/>
    <w:multiLevelType w:val="hybridMultilevel"/>
    <w:lvl w:ilvl="0">
      <w:lvlJc w:val="left"/>
      <w:lvlText w:val="*"/>
      <w:numFmt w:val="bullet"/>
      <w:start w:val="1"/>
    </w:lvl>
  </w:abstractNum>
  <w:abstractNum w:abstractNumId="114">
    <w:nsid w:val="6AA7B75C"/>
    <w:multiLevelType w:val="hybridMultilevel"/>
    <w:lvl w:ilvl="0">
      <w:lvlJc w:val="left"/>
      <w:lvlText w:val="(%1)"/>
      <w:numFmt w:val="decimal"/>
      <w:start w:val="1"/>
    </w:lvl>
  </w:abstractNum>
  <w:abstractNum w:abstractNumId="115">
    <w:nsid w:val="1DF029D3"/>
    <w:multiLevelType w:val="hybridMultilevel"/>
    <w:lvl w:ilvl="0">
      <w:lvlJc w:val="left"/>
      <w:lvlText w:val="(%1)"/>
      <w:numFmt w:val="decimal"/>
      <w:start w:val="2"/>
    </w:lvl>
  </w:abstractNum>
  <w:abstractNum w:abstractNumId="116">
    <w:nsid w:val="5675FF36"/>
    <w:multiLevelType w:val="hybridMultilevel"/>
    <w:lvl w:ilvl="0">
      <w:lvlJc w:val="left"/>
      <w:lvlText w:val="(%1)"/>
      <w:numFmt w:val="decimal"/>
      <w:start w:val="1"/>
    </w:lvl>
  </w:abstractNum>
  <w:abstractNum w:abstractNumId="117">
    <w:nsid w:val="3DD15094"/>
    <w:multiLevelType w:val="hybridMultilevel"/>
    <w:lvl w:ilvl="0">
      <w:lvlJc w:val="left"/>
      <w:lvlText w:val="(%1)"/>
      <w:numFmt w:val="decimal"/>
      <w:start w:val="1"/>
    </w:lvl>
  </w:abstractNum>
  <w:abstractNum w:abstractNumId="118">
    <w:nsid w:val="3DB012B3"/>
    <w:multiLevelType w:val="hybridMultilevel"/>
    <w:lvl w:ilvl="0">
      <w:lvlJc w:val="left"/>
      <w:lvlText w:val="(%1)"/>
      <w:numFmt w:val="decimal"/>
      <w:start w:val="1"/>
    </w:lvl>
  </w:abstractNum>
  <w:abstractNum w:abstractNumId="119">
    <w:nsid w:val="2708C9AF"/>
    <w:multiLevelType w:val="hybridMultilevel"/>
    <w:lvl w:ilvl="0">
      <w:lvlJc w:val="left"/>
      <w:lvlText w:val="■"/>
      <w:numFmt w:val="bullet"/>
      <w:start w:val="1"/>
    </w:lvl>
  </w:abstractNum>
  <w:abstractNum w:abstractNumId="120">
    <w:nsid w:val="5B25ACE2"/>
    <w:multiLevelType w:val="hybridMultilevel"/>
    <w:lvl w:ilvl="0">
      <w:lvlJc w:val="left"/>
      <w:lvlText w:val="■"/>
      <w:numFmt w:val="bullet"/>
      <w:start w:val="1"/>
    </w:lvl>
  </w:abstractNum>
  <w:abstractNum w:abstractNumId="121">
    <w:nsid w:val="175DFCF0"/>
    <w:multiLevelType w:val="hybridMultilevel"/>
    <w:lvl w:ilvl="0">
      <w:lvlJc w:val="left"/>
      <w:lvlText w:val="■"/>
      <w:numFmt w:val="bullet"/>
      <w:start w:val="1"/>
    </w:lvl>
  </w:abstractNum>
  <w:abstractNum w:abstractNumId="122">
    <w:nsid w:val="4F97E3E4"/>
    <w:multiLevelType w:val="hybridMultilevel"/>
    <w:lvl w:ilvl="0">
      <w:lvlJc w:val="left"/>
      <w:lvlText w:val="(%1)"/>
      <w:numFmt w:val="decimal"/>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2025-04-17T16:14:52Z</dcterms:created>
  <dcterms:modified xsi:type="dcterms:W3CDTF">2025-04-17T16:14:52Z</dcterms:modified>
</cp:coreProperties>
</file>