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7"/>
          <w:szCs w:val="17"/>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437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pacing w:after="0" w:line="163"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92710</wp:posOffset>
            </wp:positionV>
            <wp:extent cx="71323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24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02"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Date of Report (Date of earliest event reported): October 30, 2025</w:t>
      </w:r>
    </w:p>
    <w:p>
      <w:pPr>
        <w:spacing w:after="0" w:line="86" w:lineRule="exact"/>
        <w:rPr>
          <w:sz w:val="24"/>
          <w:szCs w:val="24"/>
          <w:color w:val="auto"/>
        </w:rPr>
      </w:pPr>
    </w:p>
    <w:p>
      <w:pPr>
        <w:jc w:val="center"/>
        <w:ind w:right="32"/>
        <w:spacing w:after="0"/>
        <w:rPr>
          <w:sz w:val="20"/>
          <w:szCs w:val="20"/>
          <w:color w:val="auto"/>
        </w:rPr>
      </w:pPr>
      <w:r>
        <w:rPr>
          <w:rFonts w:ascii="Arial" w:cs="Arial" w:eastAsia="Arial" w:hAnsi="Arial"/>
          <w:sz w:val="24"/>
          <w:szCs w:val="24"/>
          <w:b w:val="1"/>
          <w:bCs w:val="1"/>
          <w:color w:val="auto"/>
        </w:rPr>
        <w:t>DIGITALBRIDGE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71666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8" w:lineRule="exact"/>
        <w:rPr>
          <w:sz w:val="24"/>
          <w:szCs w:val="24"/>
          <w:color w:val="auto"/>
        </w:rPr>
      </w:pPr>
    </w:p>
    <w:p>
      <w:pPr>
        <w:jc w:val="center"/>
        <w:ind w:right="32"/>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308"/>
          </w:cols>
          <w:pgMar w:left="292" w:top="782" w:right="299" w:bottom="1440" w:gutter="0" w:footer="0" w:header="0"/>
        </w:sectPr>
      </w:pPr>
    </w:p>
    <w:p>
      <w:pPr>
        <w:spacing w:after="0" w:line="98" w:lineRule="exact"/>
        <w:rPr>
          <w:sz w:val="24"/>
          <w:szCs w:val="24"/>
          <w:color w:val="auto"/>
        </w:rPr>
      </w:pPr>
    </w:p>
    <w:p>
      <w:pPr>
        <w:jc w:val="center"/>
        <w:ind w:right="1572"/>
        <w:spacing w:after="0"/>
        <w:rPr>
          <w:sz w:val="20"/>
          <w:szCs w:val="20"/>
          <w:color w:val="auto"/>
        </w:rPr>
      </w:pPr>
      <w:r>
        <w:rPr>
          <w:rFonts w:ascii="Arial" w:cs="Arial" w:eastAsia="Arial" w:hAnsi="Arial"/>
          <w:sz w:val="11"/>
          <w:szCs w:val="11"/>
          <w:b w:val="1"/>
          <w:bCs w:val="1"/>
          <w:color w:val="auto"/>
        </w:rPr>
        <w:t>Maryland</w:t>
      </w:r>
    </w:p>
    <w:p>
      <w:pPr>
        <w:spacing w:after="0" w:line="38" w:lineRule="exact"/>
        <w:rPr>
          <w:sz w:val="24"/>
          <w:szCs w:val="24"/>
          <w:color w:val="auto"/>
        </w:rPr>
      </w:pPr>
    </w:p>
    <w:p>
      <w:pPr>
        <w:ind w:left="868"/>
        <w:spacing w:after="0"/>
        <w:rPr>
          <w:sz w:val="20"/>
          <w:szCs w:val="20"/>
          <w:color w:val="auto"/>
        </w:rPr>
      </w:pPr>
      <w:r>
        <w:rPr>
          <w:rFonts w:ascii="Arial" w:cs="Arial" w:eastAsia="Arial" w:hAnsi="Arial"/>
          <w:sz w:val="8"/>
          <w:szCs w:val="8"/>
          <w:b w:val="1"/>
          <w:bCs w:val="1"/>
          <w:color w:val="auto"/>
        </w:rPr>
        <w:t>(State or Other Jurisdiction of</w:t>
      </w:r>
    </w:p>
    <w:p>
      <w:pPr>
        <w:ind w:left="848"/>
        <w:spacing w:after="0"/>
        <w:rPr>
          <w:sz w:val="20"/>
          <w:szCs w:val="20"/>
          <w:color w:val="auto"/>
        </w:rPr>
      </w:pPr>
      <w:r>
        <w:rPr>
          <w:rFonts w:ascii="Arial" w:cs="Arial" w:eastAsia="Arial" w:hAnsi="Arial"/>
          <w:sz w:val="8"/>
          <w:szCs w:val="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2200" w:type="dxa"/>
            <w:vAlign w:val="bottom"/>
          </w:tcPr>
          <w:p>
            <w:pPr>
              <w:spacing w:after="0"/>
              <w:rPr>
                <w:sz w:val="20"/>
                <w:szCs w:val="20"/>
                <w:color w:val="auto"/>
              </w:rPr>
            </w:pPr>
            <w:r>
              <w:rPr>
                <w:rFonts w:ascii="Arial" w:cs="Arial" w:eastAsia="Arial" w:hAnsi="Arial"/>
                <w:sz w:val="11"/>
                <w:szCs w:val="11"/>
                <w:b w:val="1"/>
                <w:bCs w:val="1"/>
                <w:color w:val="auto"/>
              </w:rPr>
              <w:t>001-37980</w:t>
            </w:r>
          </w:p>
        </w:tc>
        <w:tc>
          <w:tcPr>
            <w:tcW w:w="2400" w:type="dxa"/>
            <w:vAlign w:val="bottom"/>
          </w:tcPr>
          <w:p>
            <w:pPr>
              <w:jc w:val="center"/>
              <w:ind w:left="1614"/>
              <w:spacing w:after="0"/>
              <w:rPr>
                <w:sz w:val="20"/>
                <w:szCs w:val="20"/>
                <w:color w:val="auto"/>
              </w:rPr>
            </w:pPr>
            <w:r>
              <w:rPr>
                <w:rFonts w:ascii="Arial" w:cs="Arial" w:eastAsia="Arial" w:hAnsi="Arial"/>
                <w:sz w:val="11"/>
                <w:szCs w:val="11"/>
                <w:b w:val="1"/>
                <w:bCs w:val="1"/>
                <w:color w:val="auto"/>
                <w:w w:val="98"/>
              </w:rPr>
              <w:t>46-4591526</w:t>
            </w:r>
          </w:p>
        </w:tc>
      </w:tr>
      <w:tr>
        <w:trPr>
          <w:trHeight w:val="104"/>
        </w:trPr>
        <w:tc>
          <w:tcPr>
            <w:tcW w:w="2200" w:type="dxa"/>
            <w:vAlign w:val="bottom"/>
          </w:tcPr>
          <w:p>
            <w:pPr>
              <w:spacing w:after="0"/>
              <w:rPr>
                <w:sz w:val="20"/>
                <w:szCs w:val="20"/>
                <w:color w:val="auto"/>
              </w:rPr>
            </w:pPr>
            <w:r>
              <w:rPr>
                <w:rFonts w:ascii="Arial" w:cs="Arial" w:eastAsia="Arial" w:hAnsi="Arial"/>
                <w:sz w:val="8"/>
                <w:szCs w:val="8"/>
                <w:b w:val="1"/>
                <w:bCs w:val="1"/>
                <w:color w:val="auto"/>
              </w:rPr>
              <w:t>(Commission</w:t>
            </w:r>
          </w:p>
        </w:tc>
        <w:tc>
          <w:tcPr>
            <w:tcW w:w="2400" w:type="dxa"/>
            <w:vAlign w:val="bottom"/>
          </w:tcPr>
          <w:p>
            <w:pPr>
              <w:jc w:val="center"/>
              <w:ind w:left="1634"/>
              <w:spacing w:after="0"/>
              <w:rPr>
                <w:sz w:val="20"/>
                <w:szCs w:val="20"/>
                <w:color w:val="auto"/>
              </w:rPr>
            </w:pPr>
            <w:r>
              <w:rPr>
                <w:rFonts w:ascii="Arial" w:cs="Arial" w:eastAsia="Arial" w:hAnsi="Arial"/>
                <w:sz w:val="8"/>
                <w:szCs w:val="8"/>
                <w:b w:val="1"/>
                <w:bCs w:val="1"/>
                <w:color w:val="auto"/>
              </w:rPr>
              <w:t>(I.R.S. Employer</w:t>
            </w:r>
          </w:p>
        </w:tc>
      </w:tr>
      <w:tr>
        <w:trPr>
          <w:trHeight w:val="114"/>
        </w:trPr>
        <w:tc>
          <w:tcPr>
            <w:tcW w:w="2200" w:type="dxa"/>
            <w:vAlign w:val="bottom"/>
          </w:tcPr>
          <w:p>
            <w:pPr>
              <w:spacing w:after="0"/>
              <w:rPr>
                <w:sz w:val="20"/>
                <w:szCs w:val="20"/>
                <w:color w:val="auto"/>
              </w:rPr>
            </w:pPr>
            <w:r>
              <w:rPr>
                <w:rFonts w:ascii="Arial" w:cs="Arial" w:eastAsia="Arial" w:hAnsi="Arial"/>
                <w:sz w:val="8"/>
                <w:szCs w:val="8"/>
                <w:b w:val="1"/>
                <w:bCs w:val="1"/>
                <w:color w:val="auto"/>
              </w:rPr>
              <w:t>File Number)</w:t>
            </w:r>
          </w:p>
        </w:tc>
        <w:tc>
          <w:tcPr>
            <w:tcW w:w="2400" w:type="dxa"/>
            <w:vAlign w:val="bottom"/>
          </w:tcPr>
          <w:p>
            <w:pPr>
              <w:jc w:val="center"/>
              <w:ind w:left="1634"/>
              <w:spacing w:after="0"/>
              <w:rPr>
                <w:sz w:val="20"/>
                <w:szCs w:val="20"/>
                <w:color w:val="auto"/>
              </w:rPr>
            </w:pPr>
            <w:r>
              <w:rPr>
                <w:rFonts w:ascii="Arial" w:cs="Arial" w:eastAsia="Arial" w:hAnsi="Arial"/>
                <w:sz w:val="8"/>
                <w:szCs w:val="8"/>
                <w:b w:val="1"/>
                <w:bCs w:val="1"/>
                <w:color w:val="auto"/>
              </w:rPr>
              <w:t>Identification No.)</w:t>
            </w:r>
          </w:p>
        </w:tc>
      </w:tr>
    </w:tbl>
    <w:p>
      <w:pPr>
        <w:spacing w:after="0" w:line="84" w:lineRule="exact"/>
        <w:rPr>
          <w:sz w:val="24"/>
          <w:szCs w:val="24"/>
          <w:color w:val="auto"/>
        </w:rPr>
      </w:pPr>
    </w:p>
    <w:p>
      <w:pPr>
        <w:sectPr>
          <w:pgSz w:w="11900" w:h="16838" w:orient="portrait"/>
          <w:cols w:equalWidth="0" w:num="2">
            <w:col w:w="4488" w:space="720"/>
            <w:col w:w="6100"/>
          </w:cols>
          <w:pgMar w:left="292" w:top="782" w:right="299" w:bottom="1440" w:gutter="0" w:footer="0" w:header="0"/>
          <w:type w:val="continuous"/>
        </w:sectPr>
      </w:pPr>
    </w:p>
    <w:p>
      <w:pPr>
        <w:jc w:val="center"/>
        <w:ind w:right="-7"/>
        <w:spacing w:after="0"/>
        <w:rPr>
          <w:sz w:val="20"/>
          <w:szCs w:val="20"/>
          <w:color w:val="auto"/>
        </w:rPr>
      </w:pPr>
      <w:r>
        <w:rPr>
          <w:rFonts w:ascii="Arial" w:cs="Arial" w:eastAsia="Arial" w:hAnsi="Arial"/>
          <w:sz w:val="11"/>
          <w:szCs w:val="11"/>
          <w:b w:val="1"/>
          <w:bCs w:val="1"/>
          <w:color w:val="auto"/>
        </w:rPr>
        <w:t>750 Park of Commerce Drive, Suite 210</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Boca Raton, Florida 33487</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(Address of Principal Executive Offices, Including Zip Code)</w:t>
      </w:r>
    </w:p>
    <w:p>
      <w:pPr>
        <w:spacing w:after="0" w:line="98"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(561) 570-4644</w:t>
      </w:r>
    </w:p>
    <w:p>
      <w:pPr>
        <w:spacing w:after="0" w:line="11"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62"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N/A</w:t>
      </w:r>
    </w:p>
    <w:p>
      <w:pPr>
        <w:spacing w:after="0" w:line="20"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95"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129" w:lineRule="exact"/>
        <w:rPr>
          <w:sz w:val="24"/>
          <w:szCs w:val="24"/>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Written communications pursuant to Rule 425 under the Securities Act (17 CFR 230.425)</w:t>
      </w:r>
    </w:p>
    <w:p>
      <w:pPr>
        <w:spacing w:after="0" w:line="91"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Soliciting material pursuant to Rule 14a-12 under the Exchange Act (17 CFR 240.14a-12)</w:t>
      </w:r>
    </w:p>
    <w:p>
      <w:pPr>
        <w:spacing w:after="0" w:line="91"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Pre-commencement communications pursuant to Rule 14d-2(b) under the Exchange Act (17 CFR 240.14d-2(b))</w:t>
      </w:r>
    </w:p>
    <w:p>
      <w:pPr>
        <w:spacing w:after="0" w:line="91"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7166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99" w:lineRule="exact"/>
        <w:rPr>
          <w:sz w:val="24"/>
          <w:szCs w:val="24"/>
          <w:color w:val="auto"/>
        </w:rPr>
      </w:pPr>
    </w:p>
    <w:tbl>
      <w:tblPr>
        <w:tblLayout w:type="fixed"/>
        <w:tblInd w:w="88" w:type="dxa"/>
        <w:tblCellMar>
          <w:top w:w="0" w:type="dxa"/>
          <w:left w:w="0" w:type="dxa"/>
          <w:bottom w:w="0" w:type="dxa"/>
          <w:right w:w="0" w:type="dxa"/>
        </w:tblCellMar>
      </w:tblPr>
      <w:tr>
        <w:trPr>
          <w:trHeight w:val="114"/>
        </w:trPr>
        <w:tc>
          <w:tcPr>
            <w:tcW w:w="12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4400" w:type="dxa"/>
            <w:vAlign w:val="bottom"/>
            <w:gridSpan w:val="4"/>
          </w:tcPr>
          <w:p>
            <w:pPr>
              <w:ind w:left="400"/>
              <w:spacing w:after="0"/>
              <w:rPr>
                <w:sz w:val="20"/>
                <w:szCs w:val="20"/>
                <w:color w:val="auto"/>
              </w:rPr>
            </w:pPr>
            <w:r>
              <w:rPr>
                <w:rFonts w:ascii="Arial" w:cs="Arial" w:eastAsia="Arial" w:hAnsi="Arial"/>
                <w:sz w:val="8"/>
                <w:szCs w:val="8"/>
                <w:b w:val="1"/>
                <w:bCs w:val="1"/>
                <w:color w:val="auto"/>
              </w:rPr>
              <w:t>Securities registered pursuant to Section 12(b) of the Act:</w:t>
            </w:r>
          </w:p>
        </w:tc>
        <w:tc>
          <w:tcPr>
            <w:tcW w:w="2720" w:type="dxa"/>
            <w:vAlign w:val="bottom"/>
          </w:tcPr>
          <w:p>
            <w:pPr>
              <w:spacing w:after="0"/>
              <w:rPr>
                <w:sz w:val="9"/>
                <w:szCs w:val="9"/>
                <w:color w:val="auto"/>
              </w:rPr>
            </w:pPr>
          </w:p>
        </w:tc>
      </w:tr>
      <w:tr>
        <w:trPr>
          <w:trHeight w:val="120"/>
        </w:trPr>
        <w:tc>
          <w:tcPr>
            <w:tcW w:w="120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Title of Class</w:t>
            </w:r>
          </w:p>
        </w:tc>
        <w:tc>
          <w:tcPr>
            <w:tcW w:w="282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Trading Symbol(s)</w:t>
            </w:r>
          </w:p>
        </w:tc>
        <w:tc>
          <w:tcPr>
            <w:tcW w:w="100" w:type="dxa"/>
            <w:vAlign w:val="bottom"/>
          </w:tcPr>
          <w:p>
            <w:pPr>
              <w:spacing w:after="0"/>
              <w:rPr>
                <w:sz w:val="10"/>
                <w:szCs w:val="1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134"/>
        </w:trPr>
        <w:tc>
          <w:tcPr>
            <w:tcW w:w="4020" w:type="dxa"/>
            <w:vAlign w:val="bottom"/>
            <w:gridSpan w:val="2"/>
          </w:tcPr>
          <w:p>
            <w:pPr>
              <w:spacing w:after="0"/>
              <w:rPr>
                <w:sz w:val="20"/>
                <w:szCs w:val="20"/>
                <w:color w:val="auto"/>
              </w:rPr>
            </w:pPr>
            <w:r>
              <w:rPr>
                <w:rFonts w:ascii="Arial" w:cs="Arial" w:eastAsia="Arial" w:hAnsi="Arial"/>
                <w:sz w:val="11"/>
                <w:szCs w:val="11"/>
                <w:color w:val="auto"/>
              </w:rPr>
              <w:t>Class A Common Stock, $0.01 par value</w:t>
            </w:r>
          </w:p>
        </w:tc>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color w:val="auto"/>
                <w:w w:val="94"/>
              </w:rPr>
              <w:t>DBRG</w:t>
            </w:r>
          </w:p>
        </w:tc>
        <w:tc>
          <w:tcPr>
            <w:tcW w:w="2720" w:type="dxa"/>
            <w:vAlign w:val="bottom"/>
          </w:tcPr>
          <w:p>
            <w:pPr>
              <w:jc w:val="center"/>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1200" w:type="dxa"/>
            <w:vAlign w:val="bottom"/>
          </w:tcPr>
          <w:p>
            <w:pPr>
              <w:spacing w:after="0"/>
              <w:rPr>
                <w:sz w:val="20"/>
                <w:szCs w:val="20"/>
                <w:color w:val="auto"/>
              </w:rPr>
            </w:pPr>
            <w:r>
              <w:rPr>
                <w:rFonts w:ascii="Arial" w:cs="Arial" w:eastAsia="Arial" w:hAnsi="Arial"/>
                <w:sz w:val="11"/>
                <w:szCs w:val="11"/>
                <w:color w:val="auto"/>
                <w:w w:val="98"/>
              </w:rPr>
              <w:t>Preferred Stock, 7.125%</w:t>
            </w:r>
          </w:p>
        </w:tc>
        <w:tc>
          <w:tcPr>
            <w:tcW w:w="2820" w:type="dxa"/>
            <w:vAlign w:val="bottom"/>
          </w:tcPr>
          <w:p>
            <w:pPr>
              <w:spacing w:after="0"/>
              <w:rPr>
                <w:sz w:val="20"/>
                <w:szCs w:val="20"/>
                <w:color w:val="auto"/>
              </w:rPr>
            </w:pPr>
            <w:r>
              <w:rPr>
                <w:rFonts w:ascii="Arial" w:cs="Arial" w:eastAsia="Arial" w:hAnsi="Arial"/>
                <w:sz w:val="11"/>
                <w:szCs w:val="11"/>
                <w:color w:val="auto"/>
              </w:rPr>
              <w:t>Series H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color w:val="auto"/>
                <w:w w:val="99"/>
              </w:rPr>
              <w:t>DBRG.PRH</w:t>
            </w:r>
          </w:p>
        </w:tc>
        <w:tc>
          <w:tcPr>
            <w:tcW w:w="2720" w:type="dxa"/>
            <w:vAlign w:val="bottom"/>
          </w:tcPr>
          <w:p>
            <w:pPr>
              <w:jc w:val="center"/>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4020" w:type="dxa"/>
            <w:vAlign w:val="bottom"/>
            <w:gridSpan w:val="2"/>
          </w:tcPr>
          <w:p>
            <w:pPr>
              <w:spacing w:after="0"/>
              <w:rPr>
                <w:sz w:val="20"/>
                <w:szCs w:val="20"/>
                <w:color w:val="auto"/>
              </w:rPr>
            </w:pPr>
            <w:r>
              <w:rPr>
                <w:rFonts w:ascii="Arial" w:cs="Arial" w:eastAsia="Arial" w:hAnsi="Arial"/>
                <w:sz w:val="11"/>
                <w:szCs w:val="11"/>
                <w:color w:val="auto"/>
              </w:rPr>
              <w:t>Preferred Stock, 7.15% Series I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1"/>
                <w:szCs w:val="11"/>
                <w:color w:val="auto"/>
                <w:w w:val="97"/>
              </w:rPr>
              <w:t>DBRG.PRI</w:t>
            </w:r>
          </w:p>
        </w:tc>
        <w:tc>
          <w:tcPr>
            <w:tcW w:w="2720" w:type="dxa"/>
            <w:vAlign w:val="bottom"/>
          </w:tcPr>
          <w:p>
            <w:pPr>
              <w:jc w:val="center"/>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1200" w:type="dxa"/>
            <w:vAlign w:val="bottom"/>
          </w:tcPr>
          <w:p>
            <w:pPr>
              <w:spacing w:after="0"/>
              <w:rPr>
                <w:sz w:val="20"/>
                <w:szCs w:val="20"/>
                <w:color w:val="auto"/>
              </w:rPr>
            </w:pPr>
            <w:r>
              <w:rPr>
                <w:rFonts w:ascii="Arial" w:cs="Arial" w:eastAsia="Arial" w:hAnsi="Arial"/>
                <w:sz w:val="11"/>
                <w:szCs w:val="11"/>
                <w:color w:val="auto"/>
                <w:w w:val="98"/>
              </w:rPr>
              <w:t>Preferred Stock, 7.125%</w:t>
            </w:r>
          </w:p>
        </w:tc>
        <w:tc>
          <w:tcPr>
            <w:tcW w:w="2820" w:type="dxa"/>
            <w:vAlign w:val="bottom"/>
          </w:tcPr>
          <w:p>
            <w:pPr>
              <w:spacing w:after="0"/>
              <w:rPr>
                <w:sz w:val="20"/>
                <w:szCs w:val="20"/>
                <w:color w:val="auto"/>
              </w:rPr>
            </w:pPr>
            <w:r>
              <w:rPr>
                <w:rFonts w:ascii="Arial" w:cs="Arial" w:eastAsia="Arial" w:hAnsi="Arial"/>
                <w:sz w:val="11"/>
                <w:szCs w:val="11"/>
                <w:color w:val="auto"/>
              </w:rPr>
              <w:t>Series J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DBRG.PRJ</w:t>
            </w:r>
          </w:p>
        </w:tc>
        <w:tc>
          <w:tcPr>
            <w:tcW w:w="2720" w:type="dxa"/>
            <w:vAlign w:val="bottom"/>
          </w:tcPr>
          <w:p>
            <w:pPr>
              <w:jc w:val="center"/>
              <w:spacing w:after="0"/>
              <w:rPr>
                <w:sz w:val="20"/>
                <w:szCs w:val="20"/>
                <w:color w:val="auto"/>
              </w:rPr>
            </w:pPr>
            <w:r>
              <w:rPr>
                <w:rFonts w:ascii="Arial" w:cs="Arial" w:eastAsia="Arial" w:hAnsi="Arial"/>
                <w:sz w:val="11"/>
                <w:szCs w:val="11"/>
                <w:color w:val="auto"/>
                <w:w w:val="98"/>
              </w:rPr>
              <w:t>New York Stock Exchange</w:t>
            </w:r>
          </w:p>
        </w:tc>
      </w:tr>
    </w:tbl>
    <w:p>
      <w:pPr>
        <w:spacing w:after="0" w:line="150" w:lineRule="exact"/>
        <w:rPr>
          <w:sz w:val="24"/>
          <w:szCs w:val="24"/>
          <w:color w:val="auto"/>
        </w:rPr>
      </w:pPr>
    </w:p>
    <w:p>
      <w:pPr>
        <w:ind w:left="8"/>
        <w:spacing w:after="0"/>
        <w:rPr>
          <w:sz w:val="20"/>
          <w:szCs w:val="20"/>
          <w:color w:val="auto"/>
        </w:rPr>
      </w:pPr>
      <w:r>
        <w:rPr>
          <w:rFonts w:ascii="Arial" w:cs="Arial" w:eastAsia="Arial" w:hAnsi="Arial"/>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tbl>
      <w:tblPr>
        <w:tblLayout w:type="fixed"/>
        <w:tblInd w:w="8" w:type="dxa"/>
        <w:tblCellMar>
          <w:top w:w="0" w:type="dxa"/>
          <w:left w:w="0" w:type="dxa"/>
          <w:bottom w:w="0" w:type="dxa"/>
          <w:right w:w="0" w:type="dxa"/>
        </w:tblCellMar>
      </w:tblPr>
      <w:tr>
        <w:trPr>
          <w:trHeight w:val="189"/>
        </w:trPr>
        <w:tc>
          <w:tcPr>
            <w:tcW w:w="8700" w:type="dxa"/>
            <w:vAlign w:val="bottom"/>
          </w:tcPr>
          <w:p>
            <w:pPr>
              <w:ind w:left="280"/>
              <w:spacing w:after="0"/>
              <w:rPr>
                <w:sz w:val="20"/>
                <w:szCs w:val="20"/>
                <w:color w:val="auto"/>
              </w:rPr>
            </w:pPr>
            <w:r>
              <w:rPr>
                <w:rFonts w:ascii="Arial" w:cs="Arial" w:eastAsia="Arial" w:hAnsi="Arial"/>
                <w:sz w:val="10"/>
                <w:szCs w:val="10"/>
                <w:color w:val="auto"/>
              </w:rPr>
              <w:t>Emerging growth company</w:t>
            </w:r>
          </w:p>
        </w:tc>
        <w:tc>
          <w:tcPr>
            <w:tcW w:w="260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r>
      <w:tr>
        <w:trPr>
          <w:trHeight w:val="142"/>
        </w:trPr>
        <w:tc>
          <w:tcPr>
            <w:tcW w:w="8700" w:type="dxa"/>
            <w:vAlign w:val="bottom"/>
          </w:tcPr>
          <w:p>
            <w:pPr>
              <w:ind w:left="280"/>
              <w:spacing w:after="0"/>
              <w:rPr>
                <w:sz w:val="20"/>
                <w:szCs w:val="20"/>
                <w:color w:val="auto"/>
              </w:rPr>
            </w:pPr>
            <w:r>
              <w:rPr>
                <w:rFonts w:ascii="Arial" w:cs="Arial" w:eastAsia="Arial" w:hAnsi="Arial"/>
                <w:sz w:val="10"/>
                <w:szCs w:val="10"/>
                <w:color w:val="auto"/>
                <w:w w:val="97"/>
              </w:rPr>
              <w:t>If an emerging growth company, indicate by check mark if the registrant has elected not to use the extended transition period for complying with any new or revised financial accounting standards</w:t>
            </w:r>
          </w:p>
        </w:tc>
        <w:tc>
          <w:tcPr>
            <w:tcW w:w="260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r>
      <w:tr>
        <w:trPr>
          <w:trHeight w:val="125"/>
        </w:trPr>
        <w:tc>
          <w:tcPr>
            <w:tcW w:w="8700" w:type="dxa"/>
            <w:vAlign w:val="bottom"/>
          </w:tcPr>
          <w:p>
            <w:pPr>
              <w:ind w:left="280"/>
              <w:spacing w:after="0"/>
              <w:rPr>
                <w:sz w:val="20"/>
                <w:szCs w:val="20"/>
                <w:color w:val="auto"/>
              </w:rPr>
            </w:pPr>
            <w:r>
              <w:rPr>
                <w:rFonts w:ascii="Arial" w:cs="Arial" w:eastAsia="Arial" w:hAnsi="Arial"/>
                <w:sz w:val="10"/>
                <w:szCs w:val="10"/>
                <w:color w:val="auto"/>
              </w:rPr>
              <w:t>provided pursuant to Section 13(a) of the Exchange Act.</w:t>
            </w:r>
          </w:p>
        </w:tc>
        <w:tc>
          <w:tcPr>
            <w:tcW w:w="2600" w:type="dxa"/>
            <w:vAlign w:val="bottom"/>
          </w:tcPr>
          <w:p>
            <w:pPr>
              <w:spacing w:after="0"/>
              <w:rPr>
                <w:sz w:val="10"/>
                <w:szCs w:val="10"/>
                <w:color w:val="auto"/>
              </w:rPr>
            </w:pPr>
          </w:p>
        </w:tc>
      </w:tr>
      <w:tr>
        <w:trPr>
          <w:trHeight w:val="799"/>
        </w:trPr>
        <w:tc>
          <w:tcPr>
            <w:tcW w:w="87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82" w:right="299" w:bottom="1440" w:gutter="0" w:footer="0" w:header="0"/>
          <w:type w:val="continuous"/>
        </w:sectPr>
      </w:pPr>
    </w:p>
    <w:bookmarkStart w:id="1" w:name="page2"/>
    <w:bookmarkEnd w:id="1"/>
    <w:p>
      <w:pPr>
        <w:spacing w:after="0"/>
        <w:tabs>
          <w:tab w:leader="none" w:pos="620" w:val="left"/>
        </w:tabs>
        <w:rPr>
          <w:sz w:val="20"/>
          <w:szCs w:val="20"/>
          <w:color w:val="auto"/>
        </w:rPr>
      </w:pPr>
      <w:r>
        <w:rPr>
          <w:rFonts w:ascii="Arial" w:cs="Arial" w:eastAsia="Arial" w:hAnsi="Arial"/>
          <w:sz w:val="12"/>
          <w:szCs w:val="12"/>
          <w:b w:val="1"/>
          <w:bCs w:val="1"/>
          <w:color w:val="auto"/>
        </w:rPr>
        <w:t>Item 2.02</w:t>
        <w:tab/>
        <w:t>Results of Operations and Financial Condition.</w:t>
      </w:r>
    </w:p>
    <w:p>
      <w:pPr>
        <w:spacing w:after="0" w:line="168" w:lineRule="exact"/>
        <w:rPr>
          <w:sz w:val="20"/>
          <w:szCs w:val="20"/>
          <w:color w:val="auto"/>
        </w:rPr>
      </w:pPr>
    </w:p>
    <w:p>
      <w:pPr>
        <w:jc w:val="both"/>
        <w:ind w:right="20" w:firstLine="270"/>
        <w:spacing w:after="0" w:line="286" w:lineRule="auto"/>
        <w:rPr>
          <w:sz w:val="20"/>
          <w:szCs w:val="20"/>
          <w:color w:val="auto"/>
        </w:rPr>
      </w:pPr>
      <w:r>
        <w:rPr>
          <w:rFonts w:ascii="Arial" w:cs="Arial" w:eastAsia="Arial" w:hAnsi="Arial"/>
          <w:sz w:val="12"/>
          <w:szCs w:val="12"/>
          <w:color w:val="auto"/>
        </w:rPr>
        <w:t>On October 30, 2025, DigitalBridge Group, Inc. (the “Company”) issued an earnings release and detailed presentation announcing its financial position as of September 30, 2025 and its financial results for the quarter ended September 30, 2025. A copy of the earnings release is attached as Exhibit 99.1 to this Current Report on Form 8-K.</w:t>
      </w:r>
    </w:p>
    <w:p>
      <w:pPr>
        <w:spacing w:after="0" w:line="31"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2"/>
          <w:szCs w:val="12"/>
          <w:color w:val="auto"/>
        </w:rPr>
        <w:t>The information included in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Use of Website to Distribute Material Company Information</w:t>
      </w:r>
    </w:p>
    <w:p>
      <w:pPr>
        <w:spacing w:after="0" w:line="11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The Company’s website address is www.digitalbridge.com. The Company uses its website as a channel of distribution for important company information. Important information, including press releases, analyst presentations and financial information regarding the Company, is routinely posted on and accessible on the Shareholders subpage of its website, which is accessible by clicking on the tab labeled “Shareholders” on the website home page. The Company also uses its website to expedite public access to time-critical information regarding the Company in advance of or in lieu of distributing a press release or a filing with the U.S. Securities and Exchange Commission disclosing the same information. Therefore, investors should look to the Shareholders subpage of the Company’s website for important and time-critical information. Visitors to the Company’s website can also register to receive automatic e-mail and other notifications alerting them when new information is made available on the Shareholders subpage of the website.</w:t>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50" w:lineRule="exact"/>
        <w:rPr>
          <w:sz w:val="20"/>
          <w:szCs w:val="20"/>
          <w:color w:val="auto"/>
        </w:rPr>
      </w:pPr>
    </w:p>
    <w:p>
      <w:pPr>
        <w:ind w:left="440" w:hanging="178"/>
        <w:spacing w:after="0"/>
        <w:tabs>
          <w:tab w:leader="none" w:pos="440" w:val="left"/>
        </w:tabs>
        <w:numPr>
          <w:ilvl w:val="0"/>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Exhibits. </w:t>
      </w:r>
      <w:r>
        <w:rPr>
          <w:rFonts w:ascii="Arial" w:cs="Arial" w:eastAsia="Arial" w:hAnsi="Arial"/>
          <w:sz w:val="12"/>
          <w:szCs w:val="12"/>
          <w:color w:val="auto"/>
        </w:rPr>
        <w:t>The following exhibits are being furnished herewith to this Current Report on Form 8-K.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460" w:type="dxa"/>
            <w:vAlign w:val="bottom"/>
            <w:gridSpan w:val="4"/>
          </w:tcPr>
          <w:p>
            <w:pPr>
              <w:ind w:left="340"/>
              <w:spacing w:after="0"/>
              <w:rPr>
                <w:sz w:val="20"/>
                <w:szCs w:val="20"/>
                <w:color w:val="auto"/>
              </w:rPr>
            </w:pPr>
            <w:r>
              <w:rPr>
                <w:rFonts w:ascii="Arial" w:cs="Arial" w:eastAsia="Arial" w:hAnsi="Arial"/>
                <w:sz w:val="12"/>
                <w:szCs w:val="12"/>
                <w:b w:val="1"/>
                <w:bCs w:val="1"/>
                <w:color w:val="auto"/>
              </w:rPr>
              <w:t>Exhibit No.</w:t>
            </w:r>
          </w:p>
        </w:tc>
        <w:tc>
          <w:tcPr>
            <w:tcW w:w="9820" w:type="dxa"/>
            <w:vAlign w:val="bottom"/>
            <w:gridSpan w:val="2"/>
          </w:tcPr>
          <w:p>
            <w:pPr>
              <w:ind w:left="20"/>
              <w:spacing w:after="0"/>
              <w:rPr>
                <w:sz w:val="20"/>
                <w:szCs w:val="20"/>
                <w:color w:val="auto"/>
              </w:rPr>
            </w:pPr>
            <w:r>
              <w:rPr>
                <w:rFonts w:ascii="Arial" w:cs="Arial" w:eastAsia="Arial" w:hAnsi="Arial"/>
                <w:sz w:val="12"/>
                <w:szCs w:val="12"/>
                <w:b w:val="1"/>
                <w:bCs w:val="1"/>
                <w:color w:val="auto"/>
              </w:rPr>
              <w:t>Description</w:t>
            </w:r>
          </w:p>
        </w:tc>
      </w:tr>
      <w:tr>
        <w:trPr>
          <w:trHeight w:val="115"/>
        </w:trPr>
        <w:tc>
          <w:tcPr>
            <w:tcW w:w="20" w:type="dxa"/>
            <w:vAlign w:val="bottom"/>
          </w:tcPr>
          <w:p>
            <w:pPr>
              <w:spacing w:after="0"/>
              <w:rPr>
                <w:sz w:val="10"/>
                <w:szCs w:val="10"/>
                <w:color w:val="auto"/>
              </w:rPr>
            </w:pPr>
          </w:p>
        </w:tc>
        <w:tc>
          <w:tcPr>
            <w:tcW w:w="1300" w:type="dxa"/>
            <w:vAlign w:val="bottom"/>
            <w:tcBorders>
              <w:top w:val="single" w:sz="8" w:color="auto"/>
            </w:tcBorders>
            <w:gridSpan w:val="3"/>
          </w:tcPr>
          <w:p>
            <w:pPr>
              <w:jc w:val="center"/>
              <w:ind w:right="520"/>
              <w:spacing w:after="0" w:line="115" w:lineRule="exact"/>
              <w:rPr>
                <w:sz w:val="20"/>
                <w:szCs w:val="20"/>
                <w:color w:val="auto"/>
              </w:rPr>
            </w:pPr>
            <w:r>
              <w:rPr>
                <w:rFonts w:ascii="Arial" w:cs="Arial" w:eastAsia="Arial" w:hAnsi="Arial"/>
                <w:sz w:val="12"/>
                <w:szCs w:val="12"/>
                <w:color w:val="0000FF"/>
              </w:rPr>
              <w:t>99.</w:t>
            </w:r>
            <w:r>
              <w:rPr>
                <w:rFonts w:ascii="Arial" w:cs="Arial" w:eastAsia="Arial" w:hAnsi="Arial"/>
                <w:sz w:val="12"/>
                <w:szCs w:val="12"/>
                <w:u w:val="single" w:color="auto"/>
                <w:color w:val="0000FF"/>
              </w:rPr>
              <w:t>1</w:t>
            </w:r>
          </w:p>
        </w:tc>
        <w:tc>
          <w:tcPr>
            <w:tcW w:w="160" w:type="dxa"/>
            <w:vAlign w:val="bottom"/>
          </w:tcPr>
          <w:p>
            <w:pPr>
              <w:spacing w:after="0"/>
              <w:rPr>
                <w:sz w:val="10"/>
                <w:szCs w:val="10"/>
                <w:color w:val="auto"/>
              </w:rPr>
            </w:pPr>
          </w:p>
        </w:tc>
        <w:tc>
          <w:tcPr>
            <w:tcW w:w="980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2"/>
                <w:szCs w:val="12"/>
                <w:color w:val="auto"/>
              </w:rPr>
              <w:t>Earnings Release dated October 30, 2025</w:t>
            </w:r>
          </w:p>
        </w:tc>
        <w:tc>
          <w:tcPr>
            <w:tcW w:w="20" w:type="dxa"/>
            <w:vAlign w:val="bottom"/>
          </w:tcPr>
          <w:p>
            <w:pPr>
              <w:spacing w:after="0"/>
              <w:rPr>
                <w:sz w:val="10"/>
                <w:szCs w:val="10"/>
                <w:color w:val="auto"/>
              </w:rPr>
            </w:pPr>
          </w:p>
        </w:tc>
      </w:tr>
      <w:tr>
        <w:trPr>
          <w:trHeight w:val="162"/>
        </w:trPr>
        <w:tc>
          <w:tcPr>
            <w:tcW w:w="560" w:type="dxa"/>
            <w:vAlign w:val="bottom"/>
            <w:gridSpan w:val="2"/>
          </w:tcPr>
          <w:p>
            <w:pPr>
              <w:spacing w:after="0"/>
              <w:rPr>
                <w:sz w:val="14"/>
                <w:szCs w:val="14"/>
                <w:color w:val="auto"/>
              </w:rPr>
            </w:pPr>
          </w:p>
        </w:tc>
        <w:tc>
          <w:tcPr>
            <w:tcW w:w="220" w:type="dxa"/>
            <w:vAlign w:val="bottom"/>
            <w:tcBorders>
              <w:top w:val="single" w:sz="8" w:color="0000FF"/>
            </w:tcBorders>
          </w:tcPr>
          <w:p>
            <w:pPr>
              <w:jc w:val="right"/>
              <w:spacing w:after="0"/>
              <w:rPr>
                <w:sz w:val="20"/>
                <w:szCs w:val="20"/>
                <w:color w:val="auto"/>
              </w:rPr>
            </w:pPr>
            <w:r>
              <w:rPr>
                <w:rFonts w:ascii="Arial" w:cs="Arial" w:eastAsia="Arial" w:hAnsi="Arial"/>
                <w:sz w:val="12"/>
                <w:szCs w:val="12"/>
                <w:color w:val="auto"/>
                <w:w w:val="89"/>
              </w:rPr>
              <w:t>104</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20" w:type="dxa"/>
            <w:vAlign w:val="bottom"/>
            <w:gridSpan w:val="2"/>
          </w:tcPr>
          <w:p>
            <w:pPr>
              <w:ind w:left="20"/>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799"/>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2"/>
          <w:szCs w:val="12"/>
          <w:b w:val="1"/>
          <w:bCs w:val="1"/>
          <w:color w:val="auto"/>
        </w:rPr>
        <w:t>SIGNATURES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348" w:lineRule="exact"/>
        <w:rPr>
          <w:sz w:val="20"/>
          <w:szCs w:val="20"/>
          <w:color w:val="auto"/>
        </w:rPr>
      </w:pPr>
    </w:p>
    <w:p>
      <w:pPr>
        <w:ind w:left="20"/>
        <w:spacing w:after="0"/>
        <w:tabs>
          <w:tab w:leader="none" w:pos="660" w:val="left"/>
          <w:tab w:leader="none" w:pos="586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October 30, 2025</w:t>
      </w:r>
      <w:r>
        <w:rPr>
          <w:sz w:val="20"/>
          <w:szCs w:val="20"/>
          <w:color w:val="auto"/>
        </w:rPr>
        <w:tab/>
      </w:r>
      <w:r>
        <w:rPr>
          <w:rFonts w:ascii="Arial" w:cs="Arial" w:eastAsia="Arial" w:hAnsi="Arial"/>
          <w:sz w:val="11"/>
          <w:szCs w:val="11"/>
          <w:b w:val="1"/>
          <w:bCs w:val="1"/>
          <w:color w:val="auto"/>
        </w:rPr>
        <w:t>DIGITALBRIDGE GROUP, INC.</w:t>
      </w:r>
    </w:p>
    <w:p>
      <w:pPr>
        <w:spacing w:after="0" w:line="204" w:lineRule="exact"/>
        <w:rPr>
          <w:sz w:val="20"/>
          <w:szCs w:val="20"/>
          <w:color w:val="auto"/>
        </w:rPr>
      </w:pPr>
    </w:p>
    <w:p>
      <w:pPr>
        <w:ind w:left="6200"/>
        <w:spacing w:after="0"/>
        <w:tabs>
          <w:tab w:leader="none" w:pos="82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Thomas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23495</wp:posOffset>
            </wp:positionV>
            <wp:extent cx="299529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95295" cy="5715"/>
                    </a:xfrm>
                    <a:prstGeom prst="rect">
                      <a:avLst/>
                    </a:prstGeom>
                    <a:noFill/>
                  </pic:spPr>
                </pic:pic>
              </a:graphicData>
            </a:graphic>
          </wp:anchor>
        </w:drawing>
      </w:r>
    </w:p>
    <w:p>
      <w:pPr>
        <w:spacing w:after="0" w:line="26" w:lineRule="exact"/>
        <w:rPr>
          <w:sz w:val="20"/>
          <w:szCs w:val="20"/>
          <w:color w:val="auto"/>
        </w:rPr>
      </w:pPr>
    </w:p>
    <w:p>
      <w:pPr>
        <w:jc w:val="center"/>
        <w:ind w:left="6920"/>
        <w:spacing w:after="0"/>
        <w:rPr>
          <w:sz w:val="20"/>
          <w:szCs w:val="20"/>
          <w:color w:val="auto"/>
        </w:rPr>
      </w:pPr>
      <w:r>
        <w:rPr>
          <w:rFonts w:ascii="Arial" w:cs="Arial" w:eastAsia="Arial" w:hAnsi="Arial"/>
          <w:sz w:val="11"/>
          <w:szCs w:val="11"/>
          <w:b w:val="1"/>
          <w:bCs w:val="1"/>
          <w:color w:val="auto"/>
        </w:rPr>
        <w:t>Thomas Mayrhofer</w:t>
      </w:r>
    </w:p>
    <w:p>
      <w:pPr>
        <w:spacing w:after="0" w:line="21" w:lineRule="exact"/>
        <w:rPr>
          <w:sz w:val="20"/>
          <w:szCs w:val="20"/>
          <w:color w:val="auto"/>
        </w:rPr>
      </w:pPr>
    </w:p>
    <w:p>
      <w:pPr>
        <w:jc w:val="center"/>
        <w:ind w:left="6920"/>
        <w:spacing w:after="0"/>
        <w:rPr>
          <w:sz w:val="20"/>
          <w:szCs w:val="20"/>
          <w:color w:val="auto"/>
        </w:rPr>
      </w:pPr>
      <w:r>
        <w:rPr>
          <w:rFonts w:ascii="Arial" w:cs="Arial" w:eastAsia="Arial" w:hAnsi="Arial"/>
          <w:sz w:val="10"/>
          <w:szCs w:val="10"/>
          <w:b w:val="1"/>
          <w:bCs w:val="1"/>
          <w:color w:val="auto"/>
        </w:rPr>
        <w:t>Executive Vice President, Chief Financial Officer and Treasurer</w:t>
      </w:r>
    </w:p>
    <w:p>
      <w:pPr>
        <w:sectPr>
          <w:pgSz w:w="11900" w:h="16838" w:orient="portrait"/>
          <w:cols w:equalWidth="0" w:num="1">
            <w:col w:w="10460"/>
          </w:cols>
          <w:pgMar w:left="560" w:top="640" w:right="87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2025-10-30T05:23:08Z</dcterms:created>
  <dcterms:modified xsi:type="dcterms:W3CDTF">2025-10-30T05:23:08Z</dcterms:modified>
</cp:coreProperties>
</file>