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ind w:right="12"/>
        <w:spacing w:after="0"/>
        <w:rPr>
          <w:sz w:val="20"/>
          <w:szCs w:val="20"/>
          <w:color w:val="auto"/>
        </w:rPr>
      </w:pPr>
      <w:r>
        <w:rPr>
          <w:rFonts w:ascii="Arial" w:cs="Arial" w:eastAsia="Arial" w:hAnsi="Arial"/>
          <w:sz w:val="16"/>
          <w:szCs w:val="16"/>
          <w:b w:val="1"/>
          <w:bCs w:val="1"/>
          <w:color w:val="auto"/>
        </w:rPr>
        <w:t>SECURITIES AND EXCHANGE COMMISSION</w:t>
      </w:r>
    </w:p>
    <w:p>
      <w:pPr>
        <w:spacing w:after="0" w:line="16" w:lineRule="exact"/>
        <w:rPr>
          <w:sz w:val="24"/>
          <w:szCs w:val="24"/>
          <w:color w:val="auto"/>
        </w:rPr>
      </w:pPr>
    </w:p>
    <w:p>
      <w:pPr>
        <w:jc w:val="center"/>
        <w:ind w:right="12"/>
        <w:spacing w:after="0"/>
        <w:rPr>
          <w:sz w:val="20"/>
          <w:szCs w:val="20"/>
          <w:color w:val="auto"/>
        </w:rPr>
      </w:pPr>
      <w:r>
        <w:rPr>
          <w:rFonts w:ascii="Arial" w:cs="Arial" w:eastAsia="Arial" w:hAnsi="Arial"/>
          <w:sz w:val="10"/>
          <w:szCs w:val="1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437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pacing w:after="0" w:line="150" w:lineRule="exact"/>
        <w:rPr>
          <w:sz w:val="24"/>
          <w:szCs w:val="24"/>
          <w:color w:val="auto"/>
        </w:rPr>
      </w:pPr>
    </w:p>
    <w:p>
      <w:pPr>
        <w:jc w:val="center"/>
        <w:ind w:right="12"/>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95250</wp:posOffset>
            </wp:positionV>
            <wp:extent cx="71323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242"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CURRENT REPORT</w:t>
      </w:r>
    </w:p>
    <w:p>
      <w:pPr>
        <w:spacing w:after="0" w:line="20"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00"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Date of Report (Date of earliest event reported): May 6, 2021</w:t>
      </w:r>
    </w:p>
    <w:p>
      <w:pPr>
        <w:spacing w:after="0" w:line="70" w:lineRule="exact"/>
        <w:rPr>
          <w:sz w:val="24"/>
          <w:szCs w:val="24"/>
          <w:color w:val="auto"/>
        </w:rPr>
      </w:pPr>
    </w:p>
    <w:p>
      <w:pPr>
        <w:jc w:val="center"/>
        <w:ind w:right="32"/>
        <w:spacing w:after="0"/>
        <w:rPr>
          <w:sz w:val="20"/>
          <w:szCs w:val="20"/>
          <w:color w:val="auto"/>
        </w:rPr>
      </w:pPr>
      <w:r>
        <w:rPr>
          <w:rFonts w:ascii="Arial" w:cs="Arial" w:eastAsia="Arial" w:hAnsi="Arial"/>
          <w:sz w:val="24"/>
          <w:szCs w:val="24"/>
          <w:b w:val="1"/>
          <w:bCs w:val="1"/>
          <w:color w:val="auto"/>
        </w:rPr>
        <w:t>COLONY CAPITAL,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1666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5" w:lineRule="exact"/>
        <w:rPr>
          <w:sz w:val="24"/>
          <w:szCs w:val="24"/>
          <w:color w:val="auto"/>
        </w:rPr>
      </w:pPr>
    </w:p>
    <w:p>
      <w:pPr>
        <w:jc w:val="center"/>
        <w:ind w:right="32"/>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308"/>
          </w:cols>
          <w:pgMar w:left="292" w:top="778" w:right="299" w:bottom="1440" w:gutter="0" w:footer="0" w:header="0"/>
        </w:sectPr>
      </w:pPr>
    </w:p>
    <w:p>
      <w:pPr>
        <w:spacing w:after="0" w:line="96" w:lineRule="exact"/>
        <w:rPr>
          <w:sz w:val="24"/>
          <w:szCs w:val="24"/>
          <w:color w:val="auto"/>
        </w:rPr>
      </w:pPr>
    </w:p>
    <w:p>
      <w:pPr>
        <w:jc w:val="center"/>
        <w:ind w:right="1572"/>
        <w:spacing w:after="0"/>
        <w:rPr>
          <w:sz w:val="20"/>
          <w:szCs w:val="20"/>
          <w:color w:val="auto"/>
        </w:rPr>
      </w:pPr>
      <w:r>
        <w:rPr>
          <w:rFonts w:ascii="Arial" w:cs="Arial" w:eastAsia="Arial" w:hAnsi="Arial"/>
          <w:sz w:val="11"/>
          <w:szCs w:val="11"/>
          <w:b w:val="1"/>
          <w:bCs w:val="1"/>
          <w:color w:val="auto"/>
        </w:rPr>
        <w:t>Maryland</w:t>
      </w:r>
    </w:p>
    <w:p>
      <w:pPr>
        <w:spacing w:after="0" w:line="49" w:lineRule="exact"/>
        <w:rPr>
          <w:sz w:val="24"/>
          <w:szCs w:val="24"/>
          <w:color w:val="auto"/>
        </w:rPr>
      </w:pPr>
    </w:p>
    <w:p>
      <w:pPr>
        <w:ind w:left="868"/>
        <w:spacing w:after="0"/>
        <w:rPr>
          <w:sz w:val="20"/>
          <w:szCs w:val="20"/>
          <w:color w:val="auto"/>
        </w:rPr>
      </w:pPr>
      <w:r>
        <w:rPr>
          <w:rFonts w:ascii="Arial" w:cs="Arial" w:eastAsia="Arial" w:hAnsi="Arial"/>
          <w:sz w:val="8"/>
          <w:szCs w:val="8"/>
          <w:b w:val="1"/>
          <w:bCs w:val="1"/>
          <w:color w:val="auto"/>
        </w:rPr>
        <w:t>(State or Other Jurisdiction of</w:t>
      </w:r>
    </w:p>
    <w:p>
      <w:pPr>
        <w:ind w:left="848"/>
        <w:spacing w:after="0"/>
        <w:rPr>
          <w:sz w:val="20"/>
          <w:szCs w:val="20"/>
          <w:color w:val="auto"/>
        </w:rPr>
      </w:pPr>
      <w:r>
        <w:rPr>
          <w:rFonts w:ascii="Arial" w:cs="Arial" w:eastAsia="Arial" w:hAnsi="Arial"/>
          <w:sz w:val="8"/>
          <w:szCs w:val="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2200" w:type="dxa"/>
            <w:vAlign w:val="bottom"/>
          </w:tcPr>
          <w:p>
            <w:pPr>
              <w:spacing w:after="0"/>
              <w:rPr>
                <w:sz w:val="20"/>
                <w:szCs w:val="20"/>
                <w:color w:val="auto"/>
              </w:rPr>
            </w:pPr>
            <w:r>
              <w:rPr>
                <w:rFonts w:ascii="Arial" w:cs="Arial" w:eastAsia="Arial" w:hAnsi="Arial"/>
                <w:sz w:val="11"/>
                <w:szCs w:val="11"/>
                <w:b w:val="1"/>
                <w:bCs w:val="1"/>
                <w:color w:val="auto"/>
              </w:rPr>
              <w:t>001-37980</w:t>
            </w:r>
          </w:p>
        </w:tc>
        <w:tc>
          <w:tcPr>
            <w:tcW w:w="2400" w:type="dxa"/>
            <w:vAlign w:val="bottom"/>
          </w:tcPr>
          <w:p>
            <w:pPr>
              <w:jc w:val="center"/>
              <w:ind w:left="1614"/>
              <w:spacing w:after="0"/>
              <w:rPr>
                <w:sz w:val="20"/>
                <w:szCs w:val="20"/>
                <w:color w:val="auto"/>
              </w:rPr>
            </w:pPr>
            <w:r>
              <w:rPr>
                <w:rFonts w:ascii="Arial" w:cs="Arial" w:eastAsia="Arial" w:hAnsi="Arial"/>
                <w:sz w:val="11"/>
                <w:szCs w:val="11"/>
                <w:b w:val="1"/>
                <w:bCs w:val="1"/>
                <w:color w:val="auto"/>
                <w:w w:val="98"/>
              </w:rPr>
              <w:t>46-4591526</w:t>
            </w:r>
          </w:p>
        </w:tc>
      </w:tr>
      <w:tr>
        <w:trPr>
          <w:trHeight w:val="121"/>
        </w:trPr>
        <w:tc>
          <w:tcPr>
            <w:tcW w:w="2200" w:type="dxa"/>
            <w:vAlign w:val="bottom"/>
          </w:tcPr>
          <w:p>
            <w:pPr>
              <w:spacing w:after="0"/>
              <w:rPr>
                <w:sz w:val="20"/>
                <w:szCs w:val="20"/>
                <w:color w:val="auto"/>
              </w:rPr>
            </w:pPr>
            <w:r>
              <w:rPr>
                <w:rFonts w:ascii="Arial" w:cs="Arial" w:eastAsia="Arial" w:hAnsi="Arial"/>
                <w:sz w:val="8"/>
                <w:szCs w:val="8"/>
                <w:b w:val="1"/>
                <w:bCs w:val="1"/>
                <w:color w:val="auto"/>
              </w:rPr>
              <w:t>(Commission</w:t>
            </w:r>
          </w:p>
        </w:tc>
        <w:tc>
          <w:tcPr>
            <w:tcW w:w="2400" w:type="dxa"/>
            <w:vAlign w:val="bottom"/>
          </w:tcPr>
          <w:p>
            <w:pPr>
              <w:jc w:val="center"/>
              <w:ind w:left="1634"/>
              <w:spacing w:after="0"/>
              <w:rPr>
                <w:sz w:val="20"/>
                <w:szCs w:val="20"/>
                <w:color w:val="auto"/>
              </w:rPr>
            </w:pPr>
            <w:r>
              <w:rPr>
                <w:rFonts w:ascii="Arial" w:cs="Arial" w:eastAsia="Arial" w:hAnsi="Arial"/>
                <w:sz w:val="8"/>
                <w:szCs w:val="8"/>
                <w:b w:val="1"/>
                <w:bCs w:val="1"/>
                <w:color w:val="auto"/>
              </w:rPr>
              <w:t>(I.R.S. Employer</w:t>
            </w:r>
          </w:p>
        </w:tc>
      </w:tr>
      <w:tr>
        <w:trPr>
          <w:trHeight w:val="110"/>
        </w:trPr>
        <w:tc>
          <w:tcPr>
            <w:tcW w:w="2200" w:type="dxa"/>
            <w:vAlign w:val="bottom"/>
          </w:tcPr>
          <w:p>
            <w:pPr>
              <w:spacing w:after="0"/>
              <w:rPr>
                <w:sz w:val="20"/>
                <w:szCs w:val="20"/>
                <w:color w:val="auto"/>
              </w:rPr>
            </w:pPr>
            <w:r>
              <w:rPr>
                <w:rFonts w:ascii="Arial" w:cs="Arial" w:eastAsia="Arial" w:hAnsi="Arial"/>
                <w:sz w:val="8"/>
                <w:szCs w:val="8"/>
                <w:b w:val="1"/>
                <w:bCs w:val="1"/>
                <w:color w:val="auto"/>
              </w:rPr>
              <w:t>File Number)</w:t>
            </w:r>
          </w:p>
        </w:tc>
        <w:tc>
          <w:tcPr>
            <w:tcW w:w="2400" w:type="dxa"/>
            <w:vAlign w:val="bottom"/>
          </w:tcPr>
          <w:p>
            <w:pPr>
              <w:jc w:val="center"/>
              <w:ind w:left="1634"/>
              <w:spacing w:after="0"/>
              <w:rPr>
                <w:sz w:val="20"/>
                <w:szCs w:val="20"/>
                <w:color w:val="auto"/>
              </w:rPr>
            </w:pPr>
            <w:r>
              <w:rPr>
                <w:rFonts w:ascii="Arial" w:cs="Arial" w:eastAsia="Arial" w:hAnsi="Arial"/>
                <w:sz w:val="8"/>
                <w:szCs w:val="8"/>
                <w:b w:val="1"/>
                <w:bCs w:val="1"/>
                <w:color w:val="auto"/>
              </w:rPr>
              <w:t>Identification No.)</w:t>
            </w:r>
          </w:p>
        </w:tc>
      </w:tr>
    </w:tbl>
    <w:p>
      <w:pPr>
        <w:spacing w:after="0" w:line="77" w:lineRule="exact"/>
        <w:rPr>
          <w:sz w:val="24"/>
          <w:szCs w:val="24"/>
          <w:color w:val="auto"/>
        </w:rPr>
      </w:pPr>
    </w:p>
    <w:p>
      <w:pPr>
        <w:sectPr>
          <w:pgSz w:w="11900" w:h="16838" w:orient="portrait"/>
          <w:cols w:equalWidth="0" w:num="2">
            <w:col w:w="4488" w:space="720"/>
            <w:col w:w="6100"/>
          </w:cols>
          <w:pgMar w:left="292" w:top="778" w:right="299" w:bottom="1440" w:gutter="0" w:footer="0" w:header="0"/>
          <w:type w:val="continuous"/>
        </w:sectPr>
      </w:pPr>
    </w:p>
    <w:p>
      <w:pPr>
        <w:jc w:val="center"/>
        <w:ind w:right="-7"/>
        <w:spacing w:after="0"/>
        <w:rPr>
          <w:sz w:val="20"/>
          <w:szCs w:val="20"/>
          <w:color w:val="auto"/>
        </w:rPr>
      </w:pPr>
      <w:r>
        <w:rPr>
          <w:rFonts w:ascii="Arial" w:cs="Arial" w:eastAsia="Arial" w:hAnsi="Arial"/>
          <w:sz w:val="11"/>
          <w:szCs w:val="11"/>
          <w:b w:val="1"/>
          <w:bCs w:val="1"/>
          <w:color w:val="auto"/>
        </w:rPr>
        <w:t>750 Park of Commerce Drive, Suite 210</w:t>
      </w:r>
    </w:p>
    <w:p>
      <w:pPr>
        <w:spacing w:after="0" w:line="12"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Boca Raton, Florida 33487</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(Address of Principal Executive Offices, Including Zip Code)</w:t>
      </w:r>
    </w:p>
    <w:p>
      <w:pPr>
        <w:spacing w:after="0" w:line="87"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(561) 570-4644</w:t>
      </w:r>
    </w:p>
    <w:p>
      <w:pPr>
        <w:spacing w:after="0" w:line="12"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60"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N/A</w:t>
      </w:r>
    </w:p>
    <w:p>
      <w:pPr>
        <w:spacing w:after="0" w:line="13"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5"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127" w:lineRule="exact"/>
        <w:rPr>
          <w:sz w:val="24"/>
          <w:szCs w:val="24"/>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Written communications pursuant to Rule 425 under the Securities Act (17 CFR 230.425)</w:t>
      </w:r>
    </w:p>
    <w:p>
      <w:pPr>
        <w:spacing w:after="0" w:line="91"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Soliciting material pursuant to Rule 14a-12 under the Exchange Act (17 CFR 240.14a-12)</w:t>
      </w:r>
    </w:p>
    <w:p>
      <w:pPr>
        <w:spacing w:after="0" w:line="91"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Pre-commencement communications pursuant to Rule 14d-2(b) under the Exchange Act (17 CFR 240.14d-2(b))</w:t>
      </w:r>
    </w:p>
    <w:p>
      <w:pPr>
        <w:spacing w:after="0" w:line="91"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90" w:lineRule="exact"/>
        <w:rPr>
          <w:sz w:val="24"/>
          <w:szCs w:val="24"/>
          <w:color w:val="auto"/>
        </w:rPr>
      </w:pPr>
    </w:p>
    <w:tbl>
      <w:tblPr>
        <w:tblLayout w:type="fixed"/>
        <w:tblInd w:w="8" w:type="dxa"/>
        <w:tblCellMar>
          <w:top w:w="0" w:type="dxa"/>
          <w:left w:w="0" w:type="dxa"/>
          <w:bottom w:w="0" w:type="dxa"/>
          <w:right w:w="0" w:type="dxa"/>
        </w:tblCellMar>
      </w:tblPr>
      <w:tr>
        <w:trPr>
          <w:trHeight w:val="110"/>
        </w:trPr>
        <w:tc>
          <w:tcPr>
            <w:tcW w:w="80" w:type="dxa"/>
            <w:vAlign w:val="bottom"/>
          </w:tcPr>
          <w:p>
            <w:pPr>
              <w:spacing w:after="0"/>
              <w:rPr>
                <w:sz w:val="9"/>
                <w:szCs w:val="9"/>
                <w:color w:val="auto"/>
              </w:rPr>
            </w:pPr>
          </w:p>
        </w:tc>
        <w:tc>
          <w:tcPr>
            <w:tcW w:w="4020" w:type="dxa"/>
            <w:vAlign w:val="bottom"/>
          </w:tcPr>
          <w:p>
            <w:pPr>
              <w:spacing w:after="0"/>
              <w:rPr>
                <w:sz w:val="9"/>
                <w:szCs w:val="9"/>
                <w:color w:val="auto"/>
              </w:rPr>
            </w:pPr>
          </w:p>
        </w:tc>
        <w:tc>
          <w:tcPr>
            <w:tcW w:w="4600" w:type="dxa"/>
            <w:vAlign w:val="bottom"/>
            <w:gridSpan w:val="5"/>
          </w:tcPr>
          <w:p>
            <w:pPr>
              <w:ind w:left="400"/>
              <w:spacing w:after="0"/>
              <w:rPr>
                <w:sz w:val="20"/>
                <w:szCs w:val="20"/>
                <w:color w:val="auto"/>
              </w:rPr>
            </w:pPr>
            <w:r>
              <w:rPr>
                <w:rFonts w:ascii="Arial" w:cs="Arial" w:eastAsia="Arial" w:hAnsi="Arial"/>
                <w:sz w:val="8"/>
                <w:szCs w:val="8"/>
                <w:b w:val="1"/>
                <w:bCs w:val="1"/>
                <w:color w:val="auto"/>
              </w:rPr>
              <w:t>Securities registered pursuant to Section 12(b) of the Act:</w:t>
            </w:r>
          </w:p>
        </w:tc>
        <w:tc>
          <w:tcPr>
            <w:tcW w:w="25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3"/>
        </w:trPr>
        <w:tc>
          <w:tcPr>
            <w:tcW w:w="80" w:type="dxa"/>
            <w:vAlign w:val="bottom"/>
          </w:tcPr>
          <w:p>
            <w:pPr>
              <w:spacing w:after="0"/>
              <w:rPr>
                <w:sz w:val="10"/>
                <w:szCs w:val="10"/>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Title of Class</w:t>
            </w:r>
          </w:p>
        </w:tc>
        <w:tc>
          <w:tcPr>
            <w:tcW w:w="28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Trading Symbol(s)</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jc w:val="center"/>
              <w:ind w:right="146"/>
              <w:spacing w:after="0"/>
              <w:rPr>
                <w:sz w:val="20"/>
                <w:szCs w:val="20"/>
                <w:color w:val="auto"/>
              </w:rPr>
            </w:pPr>
            <w:r>
              <w:rPr>
                <w:rFonts w:ascii="Arial" w:cs="Arial" w:eastAsia="Arial" w:hAnsi="Arial"/>
                <w:sz w:val="8"/>
                <w:szCs w:val="8"/>
                <w:b w:val="1"/>
                <w:bCs w:val="1"/>
                <w:color w:val="auto"/>
              </w:rPr>
              <w:t>Name of Each Exchange on Which Registered</w:t>
            </w:r>
          </w:p>
        </w:tc>
        <w:tc>
          <w:tcPr>
            <w:tcW w:w="80" w:type="dxa"/>
            <w:vAlign w:val="bottom"/>
          </w:tcPr>
          <w:p>
            <w:pPr>
              <w:spacing w:after="0"/>
              <w:rPr>
                <w:sz w:val="10"/>
                <w:szCs w:val="10"/>
                <w:color w:val="auto"/>
              </w:rPr>
            </w:pPr>
          </w:p>
        </w:tc>
      </w:tr>
      <w:tr>
        <w:trPr>
          <w:trHeight w:val="135"/>
        </w:trPr>
        <w:tc>
          <w:tcPr>
            <w:tcW w:w="80" w:type="dxa"/>
            <w:vAlign w:val="bottom"/>
          </w:tcPr>
          <w:p>
            <w:pPr>
              <w:spacing w:after="0"/>
              <w:rPr>
                <w:sz w:val="11"/>
                <w:szCs w:val="11"/>
                <w:color w:val="auto"/>
              </w:rPr>
            </w:pPr>
          </w:p>
        </w:tc>
        <w:tc>
          <w:tcPr>
            <w:tcW w:w="4020" w:type="dxa"/>
            <w:vAlign w:val="bottom"/>
          </w:tcPr>
          <w:p>
            <w:pPr>
              <w:spacing w:after="0"/>
              <w:rPr>
                <w:sz w:val="20"/>
                <w:szCs w:val="20"/>
                <w:color w:val="auto"/>
              </w:rPr>
            </w:pPr>
            <w:r>
              <w:rPr>
                <w:rFonts w:ascii="Arial" w:cs="Arial" w:eastAsia="Arial" w:hAnsi="Arial"/>
                <w:sz w:val="11"/>
                <w:szCs w:val="11"/>
                <w:color w:val="auto"/>
              </w:rPr>
              <w:t>Class A Common Stock, $0.01 par value</w:t>
            </w: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1"/>
                <w:szCs w:val="11"/>
                <w:color w:val="auto"/>
              </w:rPr>
              <w:t>CLNY</w:t>
            </w:r>
          </w:p>
        </w:tc>
        <w:tc>
          <w:tcPr>
            <w:tcW w:w="2600" w:type="dxa"/>
            <w:vAlign w:val="bottom"/>
            <w:gridSpan w:val="2"/>
          </w:tcPr>
          <w:p>
            <w:pPr>
              <w:jc w:val="center"/>
              <w:ind w:right="280"/>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1"/>
                <w:szCs w:val="11"/>
                <w:color w:val="auto"/>
              </w:rPr>
              <w:t>Preferred Stock, 7.50% Series G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1"/>
                <w:szCs w:val="11"/>
                <w:color w:val="auto"/>
                <w:w w:val="95"/>
              </w:rPr>
              <w:t>CLNY.PRG</w:t>
            </w:r>
          </w:p>
        </w:tc>
        <w:tc>
          <w:tcPr>
            <w:tcW w:w="2600" w:type="dxa"/>
            <w:vAlign w:val="bottom"/>
            <w:gridSpan w:val="2"/>
          </w:tcPr>
          <w:p>
            <w:pPr>
              <w:jc w:val="center"/>
              <w:ind w:right="280"/>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1"/>
                <w:szCs w:val="11"/>
                <w:color w:val="auto"/>
              </w:rPr>
              <w:t>Preferred Stock, 7.125% Series H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1"/>
                <w:szCs w:val="11"/>
                <w:color w:val="auto"/>
                <w:w w:val="97"/>
              </w:rPr>
              <w:t>CLNY.PRH</w:t>
            </w:r>
          </w:p>
        </w:tc>
        <w:tc>
          <w:tcPr>
            <w:tcW w:w="2600" w:type="dxa"/>
            <w:vAlign w:val="bottom"/>
            <w:gridSpan w:val="2"/>
          </w:tcPr>
          <w:p>
            <w:pPr>
              <w:jc w:val="center"/>
              <w:ind w:right="280"/>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1"/>
                <w:szCs w:val="11"/>
                <w:color w:val="auto"/>
              </w:rPr>
              <w:t>Preferred Stock, 7.15% Series I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1"/>
                <w:szCs w:val="11"/>
                <w:color w:val="auto"/>
                <w:w w:val="98"/>
              </w:rPr>
              <w:t>CLNY.PRI</w:t>
            </w:r>
          </w:p>
        </w:tc>
        <w:tc>
          <w:tcPr>
            <w:tcW w:w="2600" w:type="dxa"/>
            <w:vAlign w:val="bottom"/>
            <w:gridSpan w:val="2"/>
          </w:tcPr>
          <w:p>
            <w:pPr>
              <w:jc w:val="center"/>
              <w:ind w:right="280"/>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1"/>
                <w:szCs w:val="11"/>
                <w:color w:val="auto"/>
              </w:rPr>
              <w:t>Preferred Stock, 7.125% Series J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1"/>
                <w:szCs w:val="11"/>
                <w:color w:val="auto"/>
                <w:w w:val="93"/>
              </w:rPr>
              <w:t>CLNY.PRJ</w:t>
            </w:r>
          </w:p>
        </w:tc>
        <w:tc>
          <w:tcPr>
            <w:tcW w:w="2600" w:type="dxa"/>
            <w:vAlign w:val="bottom"/>
            <w:gridSpan w:val="2"/>
          </w:tcPr>
          <w:p>
            <w:pPr>
              <w:jc w:val="center"/>
              <w:ind w:right="280"/>
              <w:spacing w:after="0"/>
              <w:rPr>
                <w:sz w:val="20"/>
                <w:szCs w:val="20"/>
                <w:color w:val="auto"/>
              </w:rPr>
            </w:pPr>
            <w:r>
              <w:rPr>
                <w:rFonts w:ascii="Arial" w:cs="Arial" w:eastAsia="Arial" w:hAnsi="Arial"/>
                <w:sz w:val="11"/>
                <w:szCs w:val="11"/>
                <w:color w:val="auto"/>
                <w:w w:val="98"/>
              </w:rPr>
              <w:t>New York Stock Exchange</w:t>
            </w:r>
          </w:p>
        </w:tc>
      </w:tr>
      <w:tr>
        <w:trPr>
          <w:trHeight w:val="266"/>
        </w:trPr>
        <w:tc>
          <w:tcPr>
            <w:tcW w:w="11300" w:type="dxa"/>
            <w:vAlign w:val="bottom"/>
            <w:gridSpan w:val="9"/>
          </w:tcPr>
          <w:p>
            <w:pPr>
              <w:spacing w:after="0"/>
              <w:rPr>
                <w:sz w:val="20"/>
                <w:szCs w:val="20"/>
                <w:color w:val="auto"/>
              </w:rPr>
            </w:pPr>
            <w:r>
              <w:rPr>
                <w:rFonts w:ascii="Arial" w:cs="Arial" w:eastAsia="Arial" w:hAnsi="Arial"/>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tc>
      </w:tr>
      <w:tr>
        <w:trPr>
          <w:trHeight w:val="263"/>
        </w:trPr>
        <w:tc>
          <w:tcPr>
            <w:tcW w:w="80" w:type="dxa"/>
            <w:vAlign w:val="bottom"/>
          </w:tcPr>
          <w:p>
            <w:pPr>
              <w:spacing w:after="0"/>
              <w:rPr>
                <w:sz w:val="22"/>
                <w:szCs w:val="22"/>
                <w:color w:val="auto"/>
              </w:rPr>
            </w:pPr>
          </w:p>
        </w:tc>
        <w:tc>
          <w:tcPr>
            <w:tcW w:w="4020" w:type="dxa"/>
            <w:vAlign w:val="bottom"/>
          </w:tcPr>
          <w:p>
            <w:pPr>
              <w:ind w:left="200"/>
              <w:spacing w:after="0"/>
              <w:rPr>
                <w:sz w:val="20"/>
                <w:szCs w:val="20"/>
                <w:color w:val="auto"/>
              </w:rPr>
            </w:pPr>
            <w:r>
              <w:rPr>
                <w:rFonts w:ascii="Arial" w:cs="Arial" w:eastAsia="Arial" w:hAnsi="Arial"/>
                <w:sz w:val="10"/>
                <w:szCs w:val="10"/>
                <w:color w:val="auto"/>
              </w:rPr>
              <w:t>Emerging growth company</w:t>
            </w:r>
          </w:p>
        </w:tc>
        <w:tc>
          <w:tcPr>
            <w:tcW w:w="2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gridSpan w:val="2"/>
          </w:tcPr>
          <w:p>
            <w:pPr>
              <w:ind w:left="220"/>
              <w:spacing w:after="0" w:line="121" w:lineRule="exact"/>
              <w:rPr>
                <w:sz w:val="20"/>
                <w:szCs w:val="20"/>
                <w:color w:val="auto"/>
              </w:rPr>
            </w:pPr>
            <w:r>
              <w:rPr>
                <w:rFonts w:ascii="MS PGothic" w:cs="MS PGothic" w:eastAsia="MS PGothic" w:hAnsi="MS PGothic"/>
                <w:sz w:val="12"/>
                <w:szCs w:val="12"/>
                <w:color w:val="auto"/>
              </w:rPr>
              <w:t>☐</w:t>
            </w:r>
          </w:p>
        </w:tc>
      </w:tr>
      <w:tr>
        <w:trPr>
          <w:trHeight w:val="126"/>
        </w:trPr>
        <w:tc>
          <w:tcPr>
            <w:tcW w:w="80" w:type="dxa"/>
            <w:vAlign w:val="bottom"/>
          </w:tcPr>
          <w:p>
            <w:pPr>
              <w:spacing w:after="0"/>
              <w:rPr>
                <w:sz w:val="10"/>
                <w:szCs w:val="10"/>
                <w:color w:val="auto"/>
              </w:rPr>
            </w:pPr>
          </w:p>
        </w:tc>
        <w:tc>
          <w:tcPr>
            <w:tcW w:w="8620" w:type="dxa"/>
            <w:vAlign w:val="bottom"/>
            <w:gridSpan w:val="6"/>
          </w:tcPr>
          <w:p>
            <w:pPr>
              <w:ind w:left="200"/>
              <w:spacing w:after="0"/>
              <w:rPr>
                <w:sz w:val="20"/>
                <w:szCs w:val="20"/>
                <w:color w:val="auto"/>
              </w:rPr>
            </w:pPr>
            <w:r>
              <w:rPr>
                <w:rFonts w:ascii="Arial" w:cs="Arial" w:eastAsia="Arial" w:hAnsi="Arial"/>
                <w:sz w:val="10"/>
                <w:szCs w:val="10"/>
                <w:color w:val="auto"/>
                <w:w w:val="97"/>
              </w:rPr>
              <w:t>If an emerging growth company, indicate by check mark if the registrant has elected not to use the extended transition period for complying with any new or revised financial accounting standards</w:t>
            </w:r>
          </w:p>
        </w:tc>
        <w:tc>
          <w:tcPr>
            <w:tcW w:w="2600" w:type="dxa"/>
            <w:vAlign w:val="bottom"/>
            <w:gridSpan w:val="2"/>
          </w:tcPr>
          <w:p>
            <w:pPr>
              <w:ind w:left="220"/>
              <w:spacing w:after="0" w:line="121" w:lineRule="exact"/>
              <w:rPr>
                <w:sz w:val="20"/>
                <w:szCs w:val="20"/>
                <w:color w:val="auto"/>
              </w:rPr>
            </w:pPr>
            <w:r>
              <w:rPr>
                <w:rFonts w:ascii="MS PGothic" w:cs="MS PGothic" w:eastAsia="MS PGothic" w:hAnsi="MS PGothic"/>
                <w:sz w:val="12"/>
                <w:szCs w:val="12"/>
                <w:color w:val="auto"/>
              </w:rPr>
              <w:t>☐</w:t>
            </w:r>
          </w:p>
        </w:tc>
      </w:tr>
      <w:tr>
        <w:trPr>
          <w:trHeight w:val="115"/>
        </w:trPr>
        <w:tc>
          <w:tcPr>
            <w:tcW w:w="80" w:type="dxa"/>
            <w:vAlign w:val="bottom"/>
          </w:tcPr>
          <w:p>
            <w:pPr>
              <w:spacing w:after="0"/>
              <w:rPr>
                <w:sz w:val="9"/>
                <w:szCs w:val="9"/>
                <w:color w:val="auto"/>
              </w:rPr>
            </w:pPr>
          </w:p>
        </w:tc>
        <w:tc>
          <w:tcPr>
            <w:tcW w:w="4020" w:type="dxa"/>
            <w:vAlign w:val="bottom"/>
          </w:tcPr>
          <w:p>
            <w:pPr>
              <w:ind w:left="200"/>
              <w:spacing w:after="0"/>
              <w:rPr>
                <w:sz w:val="20"/>
                <w:szCs w:val="20"/>
                <w:color w:val="auto"/>
              </w:rPr>
            </w:pPr>
            <w:r>
              <w:rPr>
                <w:rFonts w:ascii="Arial" w:cs="Arial" w:eastAsia="Arial" w:hAnsi="Arial"/>
                <w:sz w:val="10"/>
                <w:szCs w:val="10"/>
                <w:color w:val="auto"/>
              </w:rPr>
              <w:t>provided pursuant to Section 13(a) of the Exchange Act.</w:t>
            </w:r>
          </w:p>
        </w:tc>
        <w:tc>
          <w:tcPr>
            <w:tcW w:w="2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800"/>
        </w:trPr>
        <w:tc>
          <w:tcPr>
            <w:tcW w:w="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78" w:right="299" w:bottom="1440" w:gutter="0" w:footer="0" w:header="0"/>
          <w:type w:val="continuous"/>
        </w:sectPr>
      </w:pPr>
    </w:p>
    <w:bookmarkStart w:id="1" w:name="page2"/>
    <w:bookmarkEnd w:id="1"/>
    <w:p>
      <w:pPr>
        <w:spacing w:after="0"/>
        <w:tabs>
          <w:tab w:leader="none" w:pos="620" w:val="left"/>
        </w:tabs>
        <w:rPr>
          <w:sz w:val="20"/>
          <w:szCs w:val="20"/>
          <w:color w:val="auto"/>
        </w:rPr>
      </w:pPr>
      <w:r>
        <w:rPr>
          <w:rFonts w:ascii="Arial" w:cs="Arial" w:eastAsia="Arial" w:hAnsi="Arial"/>
          <w:sz w:val="12"/>
          <w:szCs w:val="12"/>
          <w:b w:val="1"/>
          <w:bCs w:val="1"/>
          <w:color w:val="auto"/>
        </w:rPr>
        <w:t>Item 2.02</w:t>
        <w:tab/>
        <w:t>Results of Operations and Financial Condition.</w:t>
      </w:r>
    </w:p>
    <w:p>
      <w:pPr>
        <w:spacing w:after="0" w:line="182" w:lineRule="exact"/>
        <w:rPr>
          <w:sz w:val="20"/>
          <w:szCs w:val="20"/>
          <w:color w:val="auto"/>
        </w:rPr>
      </w:pPr>
    </w:p>
    <w:p>
      <w:pPr>
        <w:jc w:val="both"/>
        <w:ind w:firstLine="270"/>
        <w:spacing w:after="0" w:line="261" w:lineRule="auto"/>
        <w:rPr>
          <w:sz w:val="20"/>
          <w:szCs w:val="20"/>
          <w:color w:val="auto"/>
        </w:rPr>
      </w:pPr>
      <w:r>
        <w:rPr>
          <w:rFonts w:ascii="Arial" w:cs="Arial" w:eastAsia="Arial" w:hAnsi="Arial"/>
          <w:sz w:val="12"/>
          <w:szCs w:val="12"/>
          <w:color w:val="auto"/>
        </w:rPr>
        <w:t>On May 6, 2021, Colony Capital, Inc. (the “Company”) issued a press release announcing its financial position as of March 31, 2021 and its financial results for the quarter ended March 31, 2021. A copy of the press release is attached as Exhibit 99.1 to this Current Report on Form 8-K and is incorporated herein by reference.</w:t>
      </w:r>
    </w:p>
    <w:p>
      <w:pPr>
        <w:spacing w:after="0" w:line="60" w:lineRule="exact"/>
        <w:rPr>
          <w:sz w:val="20"/>
          <w:szCs w:val="20"/>
          <w:color w:val="auto"/>
        </w:rPr>
      </w:pPr>
    </w:p>
    <w:p>
      <w:pPr>
        <w:jc w:val="both"/>
        <w:ind w:right="20" w:firstLine="270"/>
        <w:spacing w:after="0" w:line="261" w:lineRule="auto"/>
        <w:rPr>
          <w:sz w:val="20"/>
          <w:szCs w:val="20"/>
          <w:color w:val="auto"/>
        </w:rPr>
      </w:pPr>
      <w:r>
        <w:rPr>
          <w:rFonts w:ascii="Arial" w:cs="Arial" w:eastAsia="Arial" w:hAnsi="Arial"/>
          <w:sz w:val="12"/>
          <w:szCs w:val="12"/>
          <w:color w:val="auto"/>
        </w:rPr>
        <w:t>On May 6, 2021, the Company made available a Supplemental Financial Disclosure Presentation for the quarter ended March 31, 2021 on the Company’s website at www.clny.com. A copy of the Supplemental Financial Disclosure Presentation is attached as Exhibit 99.2 to this Current Report on Form 8-K and is incorporated herein by reference.</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7.01</w:t>
        <w:tab/>
        <w:t>Regulation FD Disclosure.</w:t>
      </w:r>
    </w:p>
    <w:p>
      <w:pPr>
        <w:spacing w:after="0" w:line="74" w:lineRule="exact"/>
        <w:rPr>
          <w:sz w:val="20"/>
          <w:szCs w:val="20"/>
          <w:color w:val="auto"/>
        </w:rPr>
      </w:pPr>
    </w:p>
    <w:p>
      <w:pPr>
        <w:jc w:val="both"/>
        <w:ind w:right="20" w:firstLine="270"/>
        <w:spacing w:after="0" w:line="261" w:lineRule="auto"/>
        <w:rPr>
          <w:sz w:val="20"/>
          <w:szCs w:val="20"/>
          <w:color w:val="auto"/>
        </w:rPr>
      </w:pPr>
      <w:r>
        <w:rPr>
          <w:rFonts w:ascii="Arial" w:cs="Arial" w:eastAsia="Arial" w:hAnsi="Arial"/>
          <w:sz w:val="12"/>
          <w:szCs w:val="12"/>
          <w:color w:val="auto"/>
        </w:rPr>
        <w:t>In connection with the earnings call to be held on May 6, 2021 as referenced in the press release, the Company has prepared a presentation, dated May 6, 2021 (the "Earnings Presentation"), a copy of which is attached as Exhibit 99.3 to this Current Report on Form 8-K and incorporated herein by reference.</w:t>
      </w:r>
    </w:p>
    <w:p>
      <w:pPr>
        <w:spacing w:after="0" w:line="42" w:lineRule="exact"/>
        <w:rPr>
          <w:sz w:val="20"/>
          <w:szCs w:val="20"/>
          <w:color w:val="auto"/>
        </w:rPr>
      </w:pPr>
    </w:p>
    <w:p>
      <w:pPr>
        <w:jc w:val="both"/>
        <w:ind w:right="20" w:firstLine="270"/>
        <w:spacing w:after="0" w:line="256" w:lineRule="auto"/>
        <w:rPr>
          <w:sz w:val="20"/>
          <w:szCs w:val="20"/>
          <w:color w:val="auto"/>
        </w:rPr>
      </w:pPr>
      <w:r>
        <w:rPr>
          <w:rFonts w:ascii="Arial" w:cs="Arial" w:eastAsia="Arial" w:hAnsi="Arial"/>
          <w:sz w:val="12"/>
          <w:szCs w:val="12"/>
          <w:color w:val="auto"/>
        </w:rPr>
        <w:t>The information included in this Current Report on Form 8-K (including Exhibits 99.1, 99.2 and 99.3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Use of Website to Distribute Material Company Information</w:t>
      </w:r>
    </w:p>
    <w:p>
      <w:pPr>
        <w:spacing w:after="0" w:line="126"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2"/>
          <w:szCs w:val="12"/>
          <w:color w:val="auto"/>
        </w:rPr>
        <w:t>The Company’s website address is www.clny.com. The Company uses its website as a channel of distribution for important company information. Important information, including press releases, analyst presentations and financial information regarding the Company, is routinely posted on and accessible on the Shareholders subpage of its website, which is accessible by clicking on the tab labeled “Shareholders” on the website home page. The Company also uses its website to expedite public access to time-critical information regarding the Company in advance of or in lieu of distributing a press release or a filing with the U.S. Securities and Exchange Commission disclosing the same information. Therefore, investors should look to the Shareholders subpage of the Company’s website for important and time-critical information. Visitors to the Company’s website can also register to receive automatic e-mail and other notifications alerting them when new information is made available on the Shareholders subpage of the website.</w:t>
      </w:r>
    </w:p>
    <w:p>
      <w:pPr>
        <w:spacing w:after="0" w:line="141"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52" w:lineRule="exact"/>
        <w:rPr>
          <w:sz w:val="20"/>
          <w:szCs w:val="20"/>
          <w:color w:val="auto"/>
        </w:rPr>
      </w:pPr>
    </w:p>
    <w:p>
      <w:pPr>
        <w:ind w:left="440" w:hanging="178"/>
        <w:spacing w:after="0"/>
        <w:tabs>
          <w:tab w:leader="none" w:pos="440"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Exhibits. </w:t>
      </w:r>
      <w:r>
        <w:rPr>
          <w:rFonts w:ascii="Arial" w:cs="Arial" w:eastAsia="Arial" w:hAnsi="Arial"/>
          <w:sz w:val="12"/>
          <w:szCs w:val="12"/>
          <w:color w:val="auto"/>
        </w:rPr>
        <w:t>The following exhibits are being furnished herewith to this Current Report on Form 8-K.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2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b w:val="1"/>
                <w:bCs w:val="1"/>
                <w:color w:val="auto"/>
              </w:rPr>
              <w:t>Exhibit No.</w:t>
            </w:r>
          </w:p>
        </w:tc>
        <w:tc>
          <w:tcPr>
            <w:tcW w:w="160" w:type="dxa"/>
            <w:vAlign w:val="bottom"/>
          </w:tcPr>
          <w:p>
            <w:pPr>
              <w:spacing w:after="0"/>
              <w:rPr>
                <w:sz w:val="13"/>
                <w:szCs w:val="13"/>
                <w:color w:val="auto"/>
              </w:rPr>
            </w:pPr>
          </w:p>
        </w:tc>
        <w:tc>
          <w:tcPr>
            <w:tcW w:w="98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Description</w:t>
            </w:r>
          </w:p>
        </w:tc>
        <w:tc>
          <w:tcPr>
            <w:tcW w:w="20" w:type="dxa"/>
            <w:vAlign w:val="bottom"/>
          </w:tcPr>
          <w:p>
            <w:pPr>
              <w:spacing w:after="0"/>
              <w:rPr>
                <w:sz w:val="13"/>
                <w:szCs w:val="13"/>
                <w:color w:val="auto"/>
              </w:rPr>
            </w:pPr>
          </w:p>
        </w:tc>
      </w:tr>
      <w:tr>
        <w:trPr>
          <w:trHeight w:val="115"/>
        </w:trPr>
        <w:tc>
          <w:tcPr>
            <w:tcW w:w="780" w:type="dxa"/>
            <w:vAlign w:val="bottom"/>
            <w:gridSpan w:val="2"/>
          </w:tcPr>
          <w:p>
            <w:pPr>
              <w:jc w:val="center"/>
              <w:ind w:left="500"/>
              <w:spacing w:after="0" w:line="115" w:lineRule="exact"/>
              <w:rPr>
                <w:rFonts w:ascii="Arial" w:cs="Arial" w:eastAsia="Arial" w:hAnsi="Arial"/>
                <w:sz w:val="12"/>
                <w:szCs w:val="12"/>
                <w:color w:val="0000FF"/>
                <w:w w:val="93"/>
              </w:rPr>
            </w:pPr>
            <w:hyperlink w:anchor="page4">
              <w:r>
                <w:rPr>
                  <w:rFonts w:ascii="Arial" w:cs="Arial" w:eastAsia="Arial" w:hAnsi="Arial"/>
                  <w:sz w:val="12"/>
                  <w:szCs w:val="12"/>
                  <w:color w:val="0000FF"/>
                  <w:w w:val="93"/>
                </w:rPr>
                <w:t>99.</w:t>
              </w:r>
              <w:r>
                <w:rPr>
                  <w:rFonts w:ascii="Arial" w:cs="Arial" w:eastAsia="Arial" w:hAnsi="Arial"/>
                  <w:sz w:val="12"/>
                  <w:szCs w:val="12"/>
                  <w:u w:val="single" w:color="auto"/>
                  <w:color w:val="0000FF"/>
                  <w:w w:val="93"/>
                </w:rPr>
                <w:t>1</w:t>
              </w:r>
            </w:hyperlink>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20" w:type="dxa"/>
            <w:vAlign w:val="bottom"/>
            <w:gridSpan w:val="2"/>
          </w:tcPr>
          <w:p>
            <w:pPr>
              <w:ind w:left="20"/>
              <w:spacing w:after="0" w:line="115" w:lineRule="exact"/>
              <w:rPr>
                <w:sz w:val="20"/>
                <w:szCs w:val="20"/>
                <w:color w:val="auto"/>
              </w:rPr>
            </w:pPr>
            <w:r>
              <w:rPr>
                <w:rFonts w:ascii="Arial" w:cs="Arial" w:eastAsia="Arial" w:hAnsi="Arial"/>
                <w:sz w:val="12"/>
                <w:szCs w:val="12"/>
                <w:color w:val="auto"/>
              </w:rPr>
              <w:t>Press Release dated May 6, 2021</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20" w:type="dxa"/>
            <w:vAlign w:val="bottom"/>
            <w:gridSpan w:val="2"/>
          </w:tcPr>
          <w:p>
            <w:pPr>
              <w:spacing w:after="0" w:line="20" w:lineRule="exact"/>
              <w:rPr>
                <w:sz w:val="1"/>
                <w:szCs w:val="1"/>
                <w:color w:val="auto"/>
              </w:rPr>
            </w:pPr>
          </w:p>
        </w:tc>
      </w:tr>
      <w:tr>
        <w:trPr>
          <w:trHeight w:val="133"/>
        </w:trPr>
        <w:tc>
          <w:tcPr>
            <w:tcW w:w="780" w:type="dxa"/>
            <w:vAlign w:val="bottom"/>
            <w:gridSpan w:val="2"/>
          </w:tcPr>
          <w:p>
            <w:pPr>
              <w:jc w:val="center"/>
              <w:ind w:left="500"/>
              <w:spacing w:after="0" w:line="133" w:lineRule="exact"/>
              <w:rPr>
                <w:rFonts w:ascii="Arial" w:cs="Arial" w:eastAsia="Arial" w:hAnsi="Arial"/>
                <w:sz w:val="12"/>
                <w:szCs w:val="12"/>
                <w:color w:val="0000FF"/>
                <w:w w:val="93"/>
              </w:rPr>
            </w:pPr>
            <w:hyperlink w:anchor="page15">
              <w:r>
                <w:rPr>
                  <w:rFonts w:ascii="Arial" w:cs="Arial" w:eastAsia="Arial" w:hAnsi="Arial"/>
                  <w:sz w:val="12"/>
                  <w:szCs w:val="12"/>
                  <w:color w:val="0000FF"/>
                  <w:w w:val="93"/>
                </w:rPr>
                <w:t>99.</w:t>
              </w:r>
              <w:r>
                <w:rPr>
                  <w:rFonts w:ascii="Arial" w:cs="Arial" w:eastAsia="Arial" w:hAnsi="Arial"/>
                  <w:sz w:val="12"/>
                  <w:szCs w:val="12"/>
                  <w:u w:val="single" w:color="auto"/>
                  <w:color w:val="0000FF"/>
                  <w:w w:val="93"/>
                </w:rPr>
                <w:t>2</w:t>
              </w:r>
            </w:hyperlink>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Supplemental Financial Disclosure Presentation for the quarter ended March 31, 2021</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20" w:type="dxa"/>
            <w:vAlign w:val="bottom"/>
            <w:gridSpan w:val="2"/>
          </w:tcPr>
          <w:p>
            <w:pPr>
              <w:spacing w:after="0" w:line="20" w:lineRule="exact"/>
              <w:rPr>
                <w:sz w:val="1"/>
                <w:szCs w:val="1"/>
                <w:color w:val="auto"/>
              </w:rPr>
            </w:pPr>
          </w:p>
        </w:tc>
      </w:tr>
      <w:tr>
        <w:trPr>
          <w:trHeight w:val="133"/>
        </w:trPr>
        <w:tc>
          <w:tcPr>
            <w:tcW w:w="780" w:type="dxa"/>
            <w:vAlign w:val="bottom"/>
            <w:gridSpan w:val="2"/>
          </w:tcPr>
          <w:p>
            <w:pPr>
              <w:jc w:val="center"/>
              <w:ind w:left="500"/>
              <w:spacing w:after="0" w:line="133" w:lineRule="exact"/>
              <w:rPr>
                <w:rFonts w:ascii="Arial" w:cs="Arial" w:eastAsia="Arial" w:hAnsi="Arial"/>
                <w:sz w:val="12"/>
                <w:szCs w:val="12"/>
                <w:color w:val="0000FF"/>
                <w:w w:val="93"/>
              </w:rPr>
            </w:pPr>
            <w:hyperlink w:anchor="page49">
              <w:r>
                <w:rPr>
                  <w:rFonts w:ascii="Arial" w:cs="Arial" w:eastAsia="Arial" w:hAnsi="Arial"/>
                  <w:sz w:val="12"/>
                  <w:szCs w:val="12"/>
                  <w:color w:val="0000FF"/>
                  <w:w w:val="93"/>
                </w:rPr>
                <w:t>99.</w:t>
              </w:r>
              <w:r>
                <w:rPr>
                  <w:rFonts w:ascii="Arial" w:cs="Arial" w:eastAsia="Arial" w:hAnsi="Arial"/>
                  <w:sz w:val="12"/>
                  <w:szCs w:val="12"/>
                  <w:u w:val="single" w:color="auto"/>
                  <w:color w:val="0000FF"/>
                  <w:w w:val="93"/>
                </w:rPr>
                <w:t>3</w:t>
              </w:r>
            </w:hyperlink>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Earnings Presentation dated May 6, 2021</w:t>
            </w:r>
          </w:p>
        </w:tc>
      </w:tr>
      <w:tr>
        <w:trPr>
          <w:trHeight w:val="20"/>
        </w:trPr>
        <w:tc>
          <w:tcPr>
            <w:tcW w:w="5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20" w:type="dxa"/>
            <w:vAlign w:val="bottom"/>
            <w:gridSpan w:val="2"/>
          </w:tcPr>
          <w:p>
            <w:pPr>
              <w:spacing w:after="0" w:line="20" w:lineRule="exact"/>
              <w:rPr>
                <w:sz w:val="1"/>
                <w:szCs w:val="1"/>
                <w:color w:val="auto"/>
              </w:rPr>
            </w:pPr>
          </w:p>
        </w:tc>
      </w:tr>
      <w:tr>
        <w:trPr>
          <w:trHeight w:val="160"/>
        </w:trPr>
        <w:tc>
          <w:tcPr>
            <w:tcW w:w="780" w:type="dxa"/>
            <w:vAlign w:val="bottom"/>
            <w:gridSpan w:val="2"/>
          </w:tcPr>
          <w:p>
            <w:pPr>
              <w:jc w:val="center"/>
              <w:ind w:left="480"/>
              <w:spacing w:after="0"/>
              <w:rPr>
                <w:sz w:val="20"/>
                <w:szCs w:val="20"/>
                <w:color w:val="auto"/>
              </w:rPr>
            </w:pPr>
            <w:r>
              <w:rPr>
                <w:rFonts w:ascii="Arial" w:cs="Arial" w:eastAsia="Arial" w:hAnsi="Arial"/>
                <w:sz w:val="12"/>
                <w:szCs w:val="12"/>
                <w:color w:val="auto"/>
                <w:w w:val="99"/>
              </w:rPr>
              <w:t>104</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20" w:type="dxa"/>
            <w:vAlign w:val="bottom"/>
            <w:gridSpan w:val="2"/>
          </w:tcPr>
          <w:p>
            <w:pPr>
              <w:ind w:left="20"/>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801"/>
        </w:trPr>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2"/>
          <w:szCs w:val="12"/>
          <w:b w:val="1"/>
          <w:bCs w:val="1"/>
          <w:color w:val="auto"/>
        </w:rPr>
        <w:t>SIGNATURES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235" w:lineRule="exact"/>
        <w:rPr>
          <w:sz w:val="20"/>
          <w:szCs w:val="20"/>
          <w:color w:val="auto"/>
        </w:rPr>
      </w:pPr>
    </w:p>
    <w:p>
      <w:pPr>
        <w:spacing w:after="0"/>
        <w:tabs>
          <w:tab w:leader="none" w:pos="640" w:val="left"/>
          <w:tab w:leader="none" w:pos="584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May 6, 2021</w:t>
      </w:r>
      <w:r>
        <w:rPr>
          <w:sz w:val="20"/>
          <w:szCs w:val="20"/>
          <w:color w:val="auto"/>
        </w:rPr>
        <w:tab/>
      </w:r>
      <w:r>
        <w:rPr>
          <w:rFonts w:ascii="Arial" w:cs="Arial" w:eastAsia="Arial" w:hAnsi="Arial"/>
          <w:sz w:val="11"/>
          <w:szCs w:val="11"/>
          <w:b w:val="1"/>
          <w:bCs w:val="1"/>
          <w:color w:val="auto"/>
        </w:rPr>
        <w:t>COLONY CAPITAL, INC.</w:t>
      </w:r>
    </w:p>
    <w:p>
      <w:pPr>
        <w:spacing w:after="0" w:line="209" w:lineRule="exact"/>
        <w:rPr>
          <w:sz w:val="20"/>
          <w:szCs w:val="20"/>
          <w:color w:val="auto"/>
        </w:rPr>
      </w:pPr>
    </w:p>
    <w:p>
      <w:pPr>
        <w:ind w:left="6180"/>
        <w:spacing w:after="0"/>
        <w:tabs>
          <w:tab w:leader="none" w:pos="84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4046855</wp:posOffset>
            </wp:positionH>
            <wp:positionV relativeFrom="paragraph">
              <wp:posOffset>10160</wp:posOffset>
            </wp:positionV>
            <wp:extent cx="312610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26105" cy="5715"/>
                    </a:xfrm>
                    <a:prstGeom prst="rect">
                      <a:avLst/>
                    </a:prstGeom>
                    <a:noFill/>
                  </pic:spPr>
                </pic:pic>
              </a:graphicData>
            </a:graphic>
          </wp:anchor>
        </w:drawing>
      </w:r>
    </w:p>
    <w:p>
      <w:pPr>
        <w:spacing w:after="0" w:line="3" w:lineRule="exact"/>
        <w:rPr>
          <w:sz w:val="20"/>
          <w:szCs w:val="20"/>
          <w:color w:val="auto"/>
        </w:rPr>
      </w:pPr>
    </w:p>
    <w:p>
      <w:pPr>
        <w:jc w:val="center"/>
        <w:ind w:left="6380"/>
        <w:spacing w:after="0"/>
        <w:rPr>
          <w:sz w:val="20"/>
          <w:szCs w:val="20"/>
          <w:color w:val="auto"/>
        </w:rPr>
      </w:pPr>
      <w:r>
        <w:rPr>
          <w:rFonts w:ascii="Arial" w:cs="Arial" w:eastAsia="Arial" w:hAnsi="Arial"/>
          <w:sz w:val="11"/>
          <w:szCs w:val="11"/>
          <w:b w:val="1"/>
          <w:bCs w:val="1"/>
          <w:color w:val="auto"/>
        </w:rPr>
        <w:t>Jacky Wu</w:t>
      </w:r>
    </w:p>
    <w:p>
      <w:pPr>
        <w:spacing w:after="0" w:line="18" w:lineRule="exact"/>
        <w:rPr>
          <w:sz w:val="20"/>
          <w:szCs w:val="20"/>
          <w:color w:val="auto"/>
        </w:rPr>
      </w:pPr>
    </w:p>
    <w:p>
      <w:pPr>
        <w:jc w:val="center"/>
        <w:ind w:left="6380"/>
        <w:spacing w:after="0"/>
        <w:rPr>
          <w:sz w:val="20"/>
          <w:szCs w:val="20"/>
          <w:color w:val="auto"/>
        </w:rPr>
      </w:pPr>
      <w:r>
        <w:rPr>
          <w:rFonts w:ascii="Arial" w:cs="Arial" w:eastAsia="Arial" w:hAnsi="Arial"/>
          <w:sz w:val="11"/>
          <w:szCs w:val="11"/>
          <w:b w:val="1"/>
          <w:bCs w:val="1"/>
          <w:color w:val="auto"/>
        </w:rPr>
        <w:t>Executive Vice President and Chief Financial Officer</w:t>
      </w:r>
    </w:p>
    <w:p>
      <w:pPr>
        <w:sectPr>
          <w:pgSz w:w="11900" w:h="16838" w:orient="portrait"/>
          <w:cols w:equalWidth="0" w:num="1">
            <w:col w:w="10680"/>
          </w:cols>
          <w:pgMar w:left="300" w:top="638"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819785</wp:posOffset>
            </wp:positionH>
            <wp:positionV relativeFrom="page">
              <wp:posOffset>197485</wp:posOffset>
            </wp:positionV>
            <wp:extent cx="1057275" cy="217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57275" cy="217170"/>
                    </a:xfrm>
                    <a:prstGeom prst="rect">
                      <a:avLst/>
                    </a:prstGeom>
                    <a:noFill/>
                  </pic:spPr>
                </pic:pic>
              </a:graphicData>
            </a:graphic>
          </wp:anchor>
        </w:drawing>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COLONY CAPITAL ANNOUNCES FIRST QUARTER 2021 FINANCIAL RESULTS</w:t>
      </w:r>
    </w:p>
    <w:p>
      <w:pPr>
        <w:spacing w:after="0" w:line="280" w:lineRule="exact"/>
        <w:rPr>
          <w:sz w:val="20"/>
          <w:szCs w:val="20"/>
          <w:color w:val="auto"/>
        </w:rPr>
      </w:pPr>
    </w:p>
    <w:p>
      <w:pPr>
        <w:ind w:right="80"/>
        <w:spacing w:after="0" w:line="268" w:lineRule="auto"/>
        <w:rPr>
          <w:sz w:val="20"/>
          <w:szCs w:val="20"/>
          <w:color w:val="auto"/>
        </w:rPr>
      </w:pPr>
      <w:r>
        <w:rPr>
          <w:rFonts w:ascii="Arial" w:cs="Arial" w:eastAsia="Arial" w:hAnsi="Arial"/>
          <w:sz w:val="11"/>
          <w:szCs w:val="11"/>
          <w:b w:val="1"/>
          <w:bCs w:val="1"/>
          <w:color w:val="auto"/>
        </w:rPr>
        <w:t xml:space="preserve">Boca Raton, May 6, 2021 </w:t>
      </w:r>
      <w:r>
        <w:rPr>
          <w:rFonts w:ascii="Arial" w:cs="Arial" w:eastAsia="Arial" w:hAnsi="Arial"/>
          <w:sz w:val="11"/>
          <w:szCs w:val="11"/>
          <w:color w:val="auto"/>
        </w:rPr>
        <w:t>- Colony Capital, Inc. (NYSE: CLNY) and subsidiaries (collectively, “Colony Capital,” or the “Company”) today announced financial results for the first quarter ended March 31, 2021. The Company reported first</w:t>
      </w:r>
      <w:r>
        <w:rPr>
          <w:rFonts w:ascii="Arial" w:cs="Arial" w:eastAsia="Arial" w:hAnsi="Arial"/>
          <w:sz w:val="11"/>
          <w:szCs w:val="11"/>
          <w:b w:val="1"/>
          <w:bCs w:val="1"/>
          <w:color w:val="auto"/>
        </w:rPr>
        <w:t xml:space="preserve"> </w:t>
      </w:r>
      <w:r>
        <w:rPr>
          <w:rFonts w:ascii="Arial" w:cs="Arial" w:eastAsia="Arial" w:hAnsi="Arial"/>
          <w:sz w:val="11"/>
          <w:szCs w:val="11"/>
          <w:color w:val="auto"/>
        </w:rPr>
        <w:t>quarter 2021 total revenues of $316 million, GAAP net income attributable to common stockholders of $(265) million, or $(0.56) per share and Core FFO of $4.0 million, or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14375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0" cy="11430"/>
                    </a:xfrm>
                    <a:prstGeom prst="rect">
                      <a:avLst/>
                    </a:prstGeom>
                    <a:noFill/>
                  </pic:spPr>
                </pic:pic>
              </a:graphicData>
            </a:graphic>
          </wp:anchor>
        </w:drawing>
      </w:r>
    </w:p>
    <w:p>
      <w:pPr>
        <w:spacing w:after="0" w:line="268" w:lineRule="exact"/>
        <w:rPr>
          <w:sz w:val="20"/>
          <w:szCs w:val="20"/>
          <w:color w:val="auto"/>
        </w:rPr>
      </w:pPr>
    </w:p>
    <w:p>
      <w:pPr>
        <w:ind w:right="80"/>
        <w:spacing w:after="0" w:line="241" w:lineRule="auto"/>
        <w:rPr>
          <w:sz w:val="20"/>
          <w:szCs w:val="20"/>
          <w:color w:val="auto"/>
        </w:rPr>
      </w:pPr>
      <w:r>
        <w:rPr>
          <w:rFonts w:ascii="Arial" w:cs="Arial" w:eastAsia="Arial" w:hAnsi="Arial"/>
          <w:sz w:val="11"/>
          <w:szCs w:val="11"/>
          <w:color w:val="auto"/>
        </w:rPr>
        <w:t>“During the first quarter we made significant progress towards our 2021 goals. Our digital portfolio companies continue to grow and generate strong performance and we are busy deploying fresh capital from DCP II, our new flagship equity offering, into exciting new digital platforms,” said Marc Ganzi, President and Chief Executive Officer. "The growth in our digital businesses combined with key legacy dispositions puts us at 70% rotated currently, already past our target for the year. Our business transformation dovetails with profound governance changes, with Nancy Curtin, our lead independent director, recently agreeing to step into the role of Chairperson and the addition of a new digital board member in Shaka Rasheed, earlier this week at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714375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0" cy="11430"/>
                    </a:xfrm>
                    <a:prstGeom prst="rect">
                      <a:avLst/>
                    </a:prstGeom>
                    <a:noFill/>
                  </pic:spPr>
                </pic:pic>
              </a:graphicData>
            </a:graphic>
          </wp:anchor>
        </w:drawing>
      </w:r>
    </w:p>
    <w:p>
      <w:pPr>
        <w:sectPr>
          <w:pgSz w:w="11900" w:h="16838" w:orient="portrait"/>
          <w:cols w:equalWidth="0" w:num="1">
            <w:col w:w="11300"/>
          </w:cols>
          <w:pgMar w:left="300" w:top="930" w:right="299" w:bottom="1440" w:gutter="0" w:footer="0" w:header="0"/>
        </w:sectPr>
      </w:pPr>
    </w:p>
    <w:p>
      <w:pPr>
        <w:spacing w:after="0" w:line="3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Q1 2021 HIGHLIGHTS</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Momentum at Digital Businesses</w:t>
      </w:r>
    </w:p>
    <w:p>
      <w:pPr>
        <w:spacing w:after="0" w:line="48"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Digital AUM rose to $32 billion, 70% of total AUM as of May 6, 2021.</w:t>
      </w:r>
    </w:p>
    <w:p>
      <w:pPr>
        <w:spacing w:after="0" w:line="71" w:lineRule="exact"/>
        <w:rPr>
          <w:rFonts w:ascii="Arial" w:cs="Arial" w:eastAsia="Arial" w:hAnsi="Arial"/>
          <w:sz w:val="11"/>
          <w:szCs w:val="11"/>
          <w:color w:val="auto"/>
        </w:rPr>
      </w:pPr>
    </w:p>
    <w:p>
      <w:pPr>
        <w:ind w:left="420" w:hanging="212"/>
        <w:spacing w:after="0" w:line="245" w:lineRule="auto"/>
        <w:tabs>
          <w:tab w:leader="none" w:pos="413" w:val="left"/>
        </w:tabs>
        <w:numPr>
          <w:ilvl w:val="0"/>
          <w:numId w:val="3"/>
        </w:numPr>
        <w:rPr>
          <w:rFonts w:ascii="Arial" w:cs="Arial" w:eastAsia="Arial" w:hAnsi="Arial"/>
          <w:sz w:val="11"/>
          <w:szCs w:val="11"/>
          <w:color w:val="auto"/>
        </w:rPr>
      </w:pPr>
      <w:r>
        <w:rPr>
          <w:rFonts w:ascii="Arial" w:cs="Arial" w:eastAsia="Arial" w:hAnsi="Arial"/>
          <w:sz w:val="11"/>
          <w:szCs w:val="11"/>
          <w:color w:val="auto"/>
        </w:rPr>
        <w:t>Capital formation at Digital Colony Partners II (DCP II) drove strong growth in the Digital IM segment, with revenues and FRE both up over 50% YoY.</w:t>
      </w:r>
    </w:p>
    <w:p>
      <w:pPr>
        <w:spacing w:after="0" w:line="65" w:lineRule="exact"/>
        <w:rPr>
          <w:rFonts w:ascii="Arial" w:cs="Arial" w:eastAsia="Arial" w:hAnsi="Arial"/>
          <w:sz w:val="11"/>
          <w:szCs w:val="11"/>
          <w:color w:val="auto"/>
        </w:rPr>
      </w:pPr>
    </w:p>
    <w:p>
      <w:pPr>
        <w:ind w:left="420" w:right="80" w:hanging="212"/>
        <w:spacing w:after="0" w:line="242" w:lineRule="auto"/>
        <w:tabs>
          <w:tab w:leader="none" w:pos="413" w:val="left"/>
        </w:tabs>
        <w:numPr>
          <w:ilvl w:val="0"/>
          <w:numId w:val="3"/>
        </w:numPr>
        <w:rPr>
          <w:rFonts w:ascii="Arial" w:cs="Arial" w:eastAsia="Arial" w:hAnsi="Arial"/>
          <w:sz w:val="11"/>
          <w:szCs w:val="11"/>
          <w:color w:val="auto"/>
        </w:rPr>
      </w:pPr>
      <w:r>
        <w:rPr>
          <w:rFonts w:ascii="Arial" w:cs="Arial" w:eastAsia="Arial" w:hAnsi="Arial"/>
          <w:sz w:val="11"/>
          <w:szCs w:val="11"/>
          <w:color w:val="auto"/>
        </w:rPr>
        <w:t>Organic growth and a strong contribution from DataBank’s expanded footprint drove higher revenue and EBITDA in the Digital Operating segment, which exceeded 2021 EBITDA guidance on a run-rate basis during the quarter.</w:t>
      </w:r>
    </w:p>
    <w:p>
      <w:pPr>
        <w:spacing w:after="0" w:line="67" w:lineRule="exact"/>
        <w:rPr>
          <w:rFonts w:ascii="Arial" w:cs="Arial" w:eastAsia="Arial" w:hAnsi="Arial"/>
          <w:sz w:val="11"/>
          <w:szCs w:val="11"/>
          <w:color w:val="auto"/>
        </w:rPr>
      </w:pPr>
    </w:p>
    <w:p>
      <w:pPr>
        <w:ind w:left="420" w:right="120" w:hanging="212"/>
        <w:spacing w:after="0" w:line="242" w:lineRule="auto"/>
        <w:tabs>
          <w:tab w:leader="none" w:pos="413" w:val="left"/>
        </w:tabs>
        <w:numPr>
          <w:ilvl w:val="0"/>
          <w:numId w:val="3"/>
        </w:numPr>
        <w:rPr>
          <w:rFonts w:ascii="Arial" w:cs="Arial" w:eastAsia="Arial" w:hAnsi="Arial"/>
          <w:sz w:val="11"/>
          <w:szCs w:val="11"/>
          <w:color w:val="auto"/>
        </w:rPr>
      </w:pPr>
      <w:r>
        <w:rPr>
          <w:rFonts w:ascii="Arial" w:cs="Arial" w:eastAsia="Arial" w:hAnsi="Arial"/>
          <w:sz w:val="11"/>
          <w:szCs w:val="11"/>
          <w:color w:val="auto"/>
        </w:rPr>
        <w:t>DataBank, supported by the Digital Colony capital markets team, completed a first-of-its-kind enterprise data center financing, raising over $650 million in securitized notes to extend its debt maturities and provide new capital to fund growth, while lowering its overall cost of debt by over 50%.</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Generated Positive Core FFO</w:t>
      </w:r>
    </w:p>
    <w:p>
      <w:pPr>
        <w:spacing w:after="0" w:line="48" w:lineRule="exact"/>
        <w:rPr>
          <w:sz w:val="20"/>
          <w:szCs w:val="20"/>
          <w:color w:val="auto"/>
        </w:rPr>
      </w:pPr>
    </w:p>
    <w:p>
      <w:pPr>
        <w:ind w:left="420" w:right="340" w:hanging="212"/>
        <w:spacing w:after="0" w:line="245" w:lineRule="auto"/>
        <w:tabs>
          <w:tab w:leader="none" w:pos="413" w:val="left"/>
        </w:tabs>
        <w:numPr>
          <w:ilvl w:val="0"/>
          <w:numId w:val="4"/>
        </w:numPr>
        <w:rPr>
          <w:rFonts w:ascii="Arial" w:cs="Arial" w:eastAsia="Arial" w:hAnsi="Arial"/>
          <w:sz w:val="11"/>
          <w:szCs w:val="11"/>
          <w:color w:val="auto"/>
        </w:rPr>
      </w:pPr>
      <w:r>
        <w:rPr>
          <w:rFonts w:ascii="Arial" w:cs="Arial" w:eastAsia="Arial" w:hAnsi="Arial"/>
          <w:sz w:val="11"/>
          <w:szCs w:val="11"/>
          <w:color w:val="auto"/>
        </w:rPr>
        <w:t>Digital FRE increased by 54% to $15.5 million from $10.1 million in the prior year due to significant FEEUM growth of $5.1 billion in the last twelve months.</w:t>
      </w:r>
    </w:p>
    <w:p>
      <w:pPr>
        <w:spacing w:after="0" w:line="65" w:lineRule="exact"/>
        <w:rPr>
          <w:rFonts w:ascii="Arial" w:cs="Arial" w:eastAsia="Arial" w:hAnsi="Arial"/>
          <w:sz w:val="11"/>
          <w:szCs w:val="11"/>
          <w:color w:val="auto"/>
        </w:rPr>
      </w:pPr>
    </w:p>
    <w:p>
      <w:pPr>
        <w:ind w:left="420" w:right="60" w:hanging="212"/>
        <w:spacing w:after="0" w:line="242" w:lineRule="auto"/>
        <w:tabs>
          <w:tab w:leader="none" w:pos="413" w:val="left"/>
        </w:tabs>
        <w:numPr>
          <w:ilvl w:val="0"/>
          <w:numId w:val="4"/>
        </w:numPr>
        <w:rPr>
          <w:rFonts w:ascii="Arial" w:cs="Arial" w:eastAsia="Arial" w:hAnsi="Arial"/>
          <w:sz w:val="11"/>
          <w:szCs w:val="11"/>
          <w:color w:val="auto"/>
        </w:rPr>
      </w:pPr>
      <w:r>
        <w:rPr>
          <w:rFonts w:ascii="Arial" w:cs="Arial" w:eastAsia="Arial" w:hAnsi="Arial"/>
          <w:sz w:val="11"/>
          <w:szCs w:val="11"/>
          <w:color w:val="auto"/>
        </w:rPr>
        <w:t>Digital Operating EBITDA increased to $14.4 million from $3.2 million in the prior year led by substantial investments in high quality Digital Operating assets, namely Vantage SDC and DataBank's acquisition of zColo.</w:t>
      </w:r>
    </w:p>
    <w:p>
      <w:pPr>
        <w:spacing w:after="0" w:line="67" w:lineRule="exact"/>
        <w:rPr>
          <w:rFonts w:ascii="Arial" w:cs="Arial" w:eastAsia="Arial" w:hAnsi="Arial"/>
          <w:sz w:val="11"/>
          <w:szCs w:val="11"/>
          <w:color w:val="auto"/>
        </w:rPr>
      </w:pPr>
    </w:p>
    <w:p>
      <w:pPr>
        <w:ind w:left="420" w:right="400" w:hanging="212"/>
        <w:spacing w:after="0" w:line="245" w:lineRule="auto"/>
        <w:tabs>
          <w:tab w:leader="none" w:pos="413" w:val="left"/>
        </w:tabs>
        <w:numPr>
          <w:ilvl w:val="0"/>
          <w:numId w:val="4"/>
        </w:numPr>
        <w:rPr>
          <w:rFonts w:ascii="Arial" w:cs="Arial" w:eastAsia="Arial" w:hAnsi="Arial"/>
          <w:sz w:val="11"/>
          <w:szCs w:val="11"/>
          <w:color w:val="auto"/>
        </w:rPr>
      </w:pPr>
      <w:r>
        <w:rPr>
          <w:rFonts w:ascii="Arial" w:cs="Arial" w:eastAsia="Arial" w:hAnsi="Arial"/>
          <w:sz w:val="11"/>
          <w:szCs w:val="11"/>
          <w:color w:val="auto"/>
        </w:rPr>
        <w:t>Significant G&amp;A savings through legacy asset sales and corporate cost rationalization efforts also contributed to the positive Core FFO outcome.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Arial" w:cs="Arial" w:eastAsia="Arial" w:hAnsi="Arial"/>
          <w:sz w:val="11"/>
          <w:szCs w:val="11"/>
          <w:b w:val="1"/>
          <w:bCs w:val="1"/>
          <w:color w:val="auto"/>
        </w:rPr>
        <w:t>Financial Summary</w:t>
      </w:r>
    </w:p>
    <w:p>
      <w:pPr>
        <w:spacing w:after="0" w:line="15"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3260" w:type="dxa"/>
            <w:vAlign w:val="bottom"/>
            <w:tcBorders>
              <w:top w:val="single" w:sz="8" w:color="auto"/>
            </w:tcBorders>
          </w:tcPr>
          <w:p>
            <w:pPr>
              <w:spacing w:after="0"/>
              <w:rPr>
                <w:sz w:val="20"/>
                <w:szCs w:val="20"/>
                <w:color w:val="auto"/>
              </w:rPr>
            </w:pPr>
            <w:r>
              <w:rPr>
                <w:rFonts w:ascii="Arial" w:cs="Arial" w:eastAsia="Arial" w:hAnsi="Arial"/>
                <w:sz w:val="9"/>
                <w:szCs w:val="9"/>
                <w:i w:val="1"/>
                <w:iCs w:val="1"/>
                <w:color w:val="auto"/>
              </w:rPr>
              <w:t>($ in millions, except per share data and where noted)</w:t>
            </w:r>
          </w:p>
        </w:tc>
        <w:tc>
          <w:tcPr>
            <w:tcW w:w="10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r>
      <w:tr>
        <w:trPr>
          <w:trHeight w:val="136"/>
        </w:trPr>
        <w:tc>
          <w:tcPr>
            <w:tcW w:w="3260" w:type="dxa"/>
            <w:vAlign w:val="bottom"/>
          </w:tcPr>
          <w:p>
            <w:pPr>
              <w:spacing w:after="0"/>
              <w:rPr>
                <w:sz w:val="20"/>
                <w:szCs w:val="20"/>
                <w:color w:val="auto"/>
              </w:rPr>
            </w:pPr>
            <w:r>
              <w:rPr>
                <w:rFonts w:ascii="Arial" w:cs="Arial" w:eastAsia="Arial" w:hAnsi="Arial"/>
                <w:sz w:val="10"/>
                <w:szCs w:val="10"/>
                <w:color w:val="auto"/>
              </w:rPr>
              <w:t>Revenues</w:t>
            </w: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98"/>
              </w:rPr>
              <w:t>Q1 2021</w:t>
            </w:r>
          </w:p>
        </w:tc>
        <w:tc>
          <w:tcPr>
            <w:tcW w:w="11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Q1 2020</w:t>
            </w:r>
          </w:p>
        </w:tc>
      </w:tr>
      <w:tr>
        <w:trPr>
          <w:trHeight w:val="127"/>
        </w:trPr>
        <w:tc>
          <w:tcPr>
            <w:tcW w:w="32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Property operating income</w:t>
            </w: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8"/>
              </w:rPr>
              <w:t>$275</w:t>
            </w: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8"/>
              </w:rPr>
              <w:t>$184</w:t>
            </w:r>
          </w:p>
        </w:tc>
        <w:tc>
          <w:tcPr>
            <w:tcW w:w="80" w:type="dxa"/>
            <w:vAlign w:val="bottom"/>
            <w:tcBorders>
              <w:top w:val="single" w:sz="8" w:color="CCEEFF"/>
            </w:tcBorders>
            <w:shd w:val="clear" w:color="auto" w:fill="CCEEFF"/>
          </w:tcPr>
          <w:p>
            <w:pPr>
              <w:spacing w:after="0"/>
              <w:rPr>
                <w:sz w:val="11"/>
                <w:szCs w:val="11"/>
                <w:color w:val="auto"/>
              </w:rPr>
            </w:pPr>
          </w:p>
        </w:tc>
      </w:tr>
      <w:tr>
        <w:trPr>
          <w:trHeight w:val="132"/>
        </w:trPr>
        <w:tc>
          <w:tcPr>
            <w:tcW w:w="3260" w:type="dxa"/>
            <w:vAlign w:val="bottom"/>
          </w:tcPr>
          <w:p>
            <w:pPr>
              <w:ind w:left="160"/>
              <w:spacing w:after="0"/>
              <w:rPr>
                <w:sz w:val="20"/>
                <w:szCs w:val="20"/>
                <w:color w:val="auto"/>
              </w:rPr>
            </w:pPr>
            <w:r>
              <w:rPr>
                <w:rFonts w:ascii="Arial" w:cs="Arial" w:eastAsia="Arial" w:hAnsi="Arial"/>
                <w:sz w:val="10"/>
                <w:szCs w:val="10"/>
                <w:color w:val="auto"/>
              </w:rPr>
              <w:t>Interest income</w:t>
            </w:r>
          </w:p>
        </w:tc>
        <w:tc>
          <w:tcPr>
            <w:tcW w:w="1080" w:type="dxa"/>
            <w:vAlign w:val="bottom"/>
          </w:tcPr>
          <w:p>
            <w:pPr>
              <w:jc w:val="center"/>
              <w:spacing w:after="0"/>
              <w:rPr>
                <w:sz w:val="20"/>
                <w:szCs w:val="20"/>
                <w:color w:val="auto"/>
              </w:rPr>
            </w:pPr>
            <w:r>
              <w:rPr>
                <w:rFonts w:ascii="Arial" w:cs="Arial" w:eastAsia="Arial" w:hAnsi="Arial"/>
                <w:sz w:val="10"/>
                <w:szCs w:val="10"/>
                <w:color w:val="auto"/>
              </w:rPr>
              <w:t>3</w:t>
            </w:r>
          </w:p>
        </w:tc>
        <w:tc>
          <w:tcPr>
            <w:tcW w:w="1080" w:type="dxa"/>
            <w:vAlign w:val="bottom"/>
          </w:tcPr>
          <w:p>
            <w:pPr>
              <w:jc w:val="center"/>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r>
      <w:tr>
        <w:trPr>
          <w:trHeight w:val="138"/>
        </w:trPr>
        <w:tc>
          <w:tcPr>
            <w:tcW w:w="32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Fee income</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34</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25</w:t>
            </w:r>
          </w:p>
        </w:tc>
        <w:tc>
          <w:tcPr>
            <w:tcW w:w="80" w:type="dxa"/>
            <w:vAlign w:val="bottom"/>
            <w:shd w:val="clear" w:color="auto" w:fill="CCEEFF"/>
          </w:tcPr>
          <w:p>
            <w:pPr>
              <w:spacing w:after="0"/>
              <w:rPr>
                <w:sz w:val="12"/>
                <w:szCs w:val="12"/>
                <w:color w:val="auto"/>
              </w:rPr>
            </w:pPr>
          </w:p>
        </w:tc>
      </w:tr>
      <w:tr>
        <w:trPr>
          <w:trHeight w:val="132"/>
        </w:trPr>
        <w:tc>
          <w:tcPr>
            <w:tcW w:w="3260" w:type="dxa"/>
            <w:vAlign w:val="bottom"/>
            <w:tcBorders>
              <w:bottom w:val="single" w:sz="8" w:color="CCEEFF"/>
            </w:tcBorders>
          </w:tcPr>
          <w:p>
            <w:pPr>
              <w:ind w:left="160"/>
              <w:spacing w:after="0"/>
              <w:rPr>
                <w:sz w:val="20"/>
                <w:szCs w:val="20"/>
                <w:color w:val="auto"/>
              </w:rPr>
            </w:pPr>
            <w:r>
              <w:rPr>
                <w:rFonts w:ascii="Arial" w:cs="Arial" w:eastAsia="Arial" w:hAnsi="Arial"/>
                <w:sz w:val="10"/>
                <w:szCs w:val="10"/>
                <w:color w:val="auto"/>
              </w:rPr>
              <w:t>Other income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4</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6</w:t>
            </w:r>
          </w:p>
        </w:tc>
        <w:tc>
          <w:tcPr>
            <w:tcW w:w="80" w:type="dxa"/>
            <w:vAlign w:val="bottom"/>
            <w:tcBorders>
              <w:bottom w:val="single" w:sz="8" w:color="CCEEFF"/>
            </w:tcBorders>
          </w:tcPr>
          <w:p>
            <w:pPr>
              <w:spacing w:after="0"/>
              <w:rPr>
                <w:sz w:val="11"/>
                <w:szCs w:val="11"/>
                <w:color w:val="auto"/>
              </w:rPr>
            </w:pPr>
          </w:p>
        </w:tc>
      </w:tr>
      <w:tr>
        <w:trPr>
          <w:trHeight w:val="127"/>
        </w:trPr>
        <w:tc>
          <w:tcPr>
            <w:tcW w:w="3260" w:type="dxa"/>
            <w:vAlign w:val="bottom"/>
            <w:shd w:val="clear" w:color="auto" w:fill="CCEEFF"/>
          </w:tcPr>
          <w:p>
            <w:pPr>
              <w:spacing w:after="0"/>
              <w:rPr>
                <w:sz w:val="20"/>
                <w:szCs w:val="20"/>
                <w:color w:val="auto"/>
              </w:rPr>
            </w:pPr>
            <w:r>
              <w:rPr>
                <w:rFonts w:ascii="Arial" w:cs="Arial" w:eastAsia="Arial" w:hAnsi="Arial"/>
                <w:sz w:val="10"/>
                <w:szCs w:val="10"/>
                <w:color w:val="auto"/>
              </w:rPr>
              <w:t>Total revenues</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$316</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$217</w:t>
            </w:r>
          </w:p>
        </w:tc>
        <w:tc>
          <w:tcPr>
            <w:tcW w:w="80" w:type="dxa"/>
            <w:vAlign w:val="bottom"/>
            <w:shd w:val="clear" w:color="auto" w:fill="CCEEFF"/>
          </w:tcPr>
          <w:p>
            <w:pPr>
              <w:spacing w:after="0"/>
              <w:rPr>
                <w:sz w:val="11"/>
                <w:szCs w:val="11"/>
                <w:color w:val="auto"/>
              </w:rPr>
            </w:pPr>
          </w:p>
        </w:tc>
      </w:tr>
      <w:tr>
        <w:trPr>
          <w:trHeight w:val="165"/>
        </w:trPr>
        <w:tc>
          <w:tcPr>
            <w:tcW w:w="3260" w:type="dxa"/>
            <w:vAlign w:val="bottom"/>
          </w:tcPr>
          <w:p>
            <w:pPr>
              <w:spacing w:after="0"/>
              <w:rPr>
                <w:sz w:val="20"/>
                <w:szCs w:val="20"/>
                <w:color w:val="auto"/>
              </w:rPr>
            </w:pPr>
            <w:r>
              <w:rPr>
                <w:rFonts w:ascii="Arial" w:cs="Arial" w:eastAsia="Arial" w:hAnsi="Arial"/>
                <w:sz w:val="10"/>
                <w:szCs w:val="10"/>
                <w:color w:val="auto"/>
              </w:rPr>
              <w:t>Adjusted EBITDA</w:t>
            </w:r>
          </w:p>
        </w:tc>
        <w:tc>
          <w:tcPr>
            <w:tcW w:w="1080" w:type="dxa"/>
            <w:vAlign w:val="bottom"/>
          </w:tcPr>
          <w:p>
            <w:pPr>
              <w:jc w:val="center"/>
              <w:spacing w:after="0"/>
              <w:rPr>
                <w:sz w:val="20"/>
                <w:szCs w:val="20"/>
                <w:color w:val="auto"/>
              </w:rPr>
            </w:pPr>
            <w:r>
              <w:rPr>
                <w:rFonts w:ascii="Arial" w:cs="Arial" w:eastAsia="Arial" w:hAnsi="Arial"/>
                <w:sz w:val="10"/>
                <w:szCs w:val="10"/>
                <w:color w:val="auto"/>
              </w:rPr>
              <w:t>$56</w:t>
            </w:r>
          </w:p>
        </w:tc>
        <w:tc>
          <w:tcPr>
            <w:tcW w:w="1080" w:type="dxa"/>
            <w:vAlign w:val="bottom"/>
          </w:tcPr>
          <w:p>
            <w:pPr>
              <w:jc w:val="center"/>
              <w:spacing w:after="0"/>
              <w:rPr>
                <w:sz w:val="20"/>
                <w:szCs w:val="20"/>
                <w:color w:val="auto"/>
              </w:rPr>
            </w:pPr>
            <w:r>
              <w:rPr>
                <w:rFonts w:ascii="Arial" w:cs="Arial" w:eastAsia="Arial" w:hAnsi="Arial"/>
                <w:sz w:val="10"/>
                <w:szCs w:val="10"/>
                <w:color w:val="auto"/>
              </w:rPr>
              <w:t>$36</w:t>
            </w:r>
          </w:p>
        </w:tc>
        <w:tc>
          <w:tcPr>
            <w:tcW w:w="80" w:type="dxa"/>
            <w:vAlign w:val="bottom"/>
          </w:tcPr>
          <w:p>
            <w:pPr>
              <w:spacing w:after="0"/>
              <w:rPr>
                <w:sz w:val="14"/>
                <w:szCs w:val="14"/>
                <w:color w:val="auto"/>
              </w:rPr>
            </w:pPr>
          </w:p>
        </w:tc>
      </w:tr>
      <w:tr>
        <w:trPr>
          <w:trHeight w:val="42"/>
        </w:trPr>
        <w:tc>
          <w:tcPr>
            <w:tcW w:w="3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35"/>
        </w:trPr>
        <w:tc>
          <w:tcPr>
            <w:tcW w:w="3260" w:type="dxa"/>
            <w:vAlign w:val="bottom"/>
            <w:shd w:val="clear" w:color="auto" w:fill="CCEEFF"/>
          </w:tcPr>
          <w:p>
            <w:pPr>
              <w:spacing w:after="0"/>
              <w:rPr>
                <w:sz w:val="20"/>
                <w:szCs w:val="20"/>
                <w:color w:val="auto"/>
              </w:rPr>
            </w:pPr>
            <w:r>
              <w:rPr>
                <w:rFonts w:ascii="Arial" w:cs="Arial" w:eastAsia="Arial" w:hAnsi="Arial"/>
                <w:sz w:val="10"/>
                <w:szCs w:val="10"/>
                <w:color w:val="auto"/>
              </w:rPr>
              <w:t>Net income to common stockholders</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$(265)</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$(362)</w:t>
            </w:r>
          </w:p>
        </w:tc>
        <w:tc>
          <w:tcPr>
            <w:tcW w:w="80" w:type="dxa"/>
            <w:vAlign w:val="bottom"/>
            <w:shd w:val="clear" w:color="auto" w:fill="CCEEFF"/>
          </w:tcPr>
          <w:p>
            <w:pPr>
              <w:spacing w:after="0"/>
              <w:rPr>
                <w:sz w:val="11"/>
                <w:szCs w:val="11"/>
                <w:color w:val="auto"/>
              </w:rPr>
            </w:pPr>
          </w:p>
        </w:tc>
      </w:tr>
      <w:tr>
        <w:trPr>
          <w:trHeight w:val="144"/>
        </w:trPr>
        <w:tc>
          <w:tcPr>
            <w:tcW w:w="3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3260" w:type="dxa"/>
            <w:vAlign w:val="bottom"/>
            <w:shd w:val="clear" w:color="auto" w:fill="CCEEFF"/>
          </w:tcPr>
          <w:p>
            <w:pPr>
              <w:spacing w:after="0"/>
              <w:rPr>
                <w:sz w:val="20"/>
                <w:szCs w:val="20"/>
                <w:color w:val="auto"/>
              </w:rPr>
            </w:pPr>
            <w:r>
              <w:rPr>
                <w:rFonts w:ascii="Arial" w:cs="Arial" w:eastAsia="Arial" w:hAnsi="Arial"/>
                <w:sz w:val="10"/>
                <w:szCs w:val="10"/>
                <w:color w:val="auto"/>
              </w:rPr>
              <w:t>Core FFO</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$4</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$(12)</w:t>
            </w:r>
          </w:p>
        </w:tc>
        <w:tc>
          <w:tcPr>
            <w:tcW w:w="80" w:type="dxa"/>
            <w:vAlign w:val="bottom"/>
            <w:shd w:val="clear" w:color="auto" w:fill="CCEEFF"/>
          </w:tcPr>
          <w:p>
            <w:pPr>
              <w:spacing w:after="0"/>
              <w:rPr>
                <w:sz w:val="11"/>
                <w:szCs w:val="11"/>
                <w:color w:val="auto"/>
              </w:rPr>
            </w:pPr>
          </w:p>
        </w:tc>
      </w:tr>
      <w:tr>
        <w:trPr>
          <w:trHeight w:val="129"/>
        </w:trPr>
        <w:tc>
          <w:tcPr>
            <w:tcW w:w="3260" w:type="dxa"/>
            <w:vAlign w:val="bottom"/>
          </w:tcPr>
          <w:p>
            <w:pPr>
              <w:spacing w:after="0"/>
              <w:rPr>
                <w:sz w:val="20"/>
                <w:szCs w:val="20"/>
                <w:color w:val="auto"/>
              </w:rPr>
            </w:pPr>
            <w:r>
              <w:rPr>
                <w:rFonts w:ascii="Arial" w:cs="Arial" w:eastAsia="Arial" w:hAnsi="Arial"/>
                <w:sz w:val="10"/>
                <w:szCs w:val="10"/>
                <w:color w:val="auto"/>
              </w:rPr>
              <w:t>Core FFO per share</w:t>
            </w:r>
          </w:p>
        </w:tc>
        <w:tc>
          <w:tcPr>
            <w:tcW w:w="1080" w:type="dxa"/>
            <w:vAlign w:val="bottom"/>
          </w:tcPr>
          <w:p>
            <w:pPr>
              <w:jc w:val="center"/>
              <w:spacing w:after="0"/>
              <w:rPr>
                <w:sz w:val="20"/>
                <w:szCs w:val="20"/>
                <w:color w:val="auto"/>
              </w:rPr>
            </w:pPr>
            <w:r>
              <w:rPr>
                <w:rFonts w:ascii="Arial" w:cs="Arial" w:eastAsia="Arial" w:hAnsi="Arial"/>
                <w:sz w:val="10"/>
                <w:szCs w:val="10"/>
                <w:color w:val="auto"/>
              </w:rPr>
              <w:t>$0.01</w:t>
            </w:r>
          </w:p>
        </w:tc>
        <w:tc>
          <w:tcPr>
            <w:tcW w:w="1080" w:type="dxa"/>
            <w:vAlign w:val="bottom"/>
          </w:tcPr>
          <w:p>
            <w:pPr>
              <w:jc w:val="center"/>
              <w:spacing w:after="0"/>
              <w:rPr>
                <w:sz w:val="20"/>
                <w:szCs w:val="20"/>
                <w:color w:val="auto"/>
              </w:rPr>
            </w:pPr>
            <w:r>
              <w:rPr>
                <w:rFonts w:ascii="Arial" w:cs="Arial" w:eastAsia="Arial" w:hAnsi="Arial"/>
                <w:sz w:val="10"/>
                <w:szCs w:val="10"/>
                <w:color w:val="auto"/>
              </w:rPr>
              <w:t>$(0.02)</w:t>
            </w:r>
          </w:p>
        </w:tc>
        <w:tc>
          <w:tcPr>
            <w:tcW w:w="80" w:type="dxa"/>
            <w:vAlign w:val="bottom"/>
          </w:tcPr>
          <w:p>
            <w:pPr>
              <w:spacing w:after="0"/>
              <w:rPr>
                <w:sz w:val="11"/>
                <w:szCs w:val="11"/>
                <w:color w:val="auto"/>
              </w:rPr>
            </w:pPr>
          </w:p>
        </w:tc>
      </w:tr>
      <w:tr>
        <w:trPr>
          <w:trHeight w:val="69"/>
        </w:trPr>
        <w:tc>
          <w:tcPr>
            <w:tcW w:w="3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0"/>
                <w:szCs w:val="10"/>
                <w:color w:val="auto"/>
              </w:rPr>
              <w:t>Digital Fee Related Earnings (“FRE”)</w:t>
            </w:r>
            <w:r>
              <w:rPr>
                <w:rFonts w:ascii="Arial" w:cs="Arial" w:eastAsia="Arial" w:hAnsi="Arial"/>
                <w:sz w:val="13"/>
                <w:szCs w:val="13"/>
                <w:color w:val="auto"/>
                <w:vertAlign w:val="superscript"/>
              </w:rPr>
              <w:t>(1)</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$15</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r>
      <w:tr>
        <w:trPr>
          <w:trHeight w:val="132"/>
        </w:trPr>
        <w:tc>
          <w:tcPr>
            <w:tcW w:w="3260" w:type="dxa"/>
            <w:vAlign w:val="bottom"/>
          </w:tcPr>
          <w:p>
            <w:pPr>
              <w:spacing w:after="0"/>
              <w:rPr>
                <w:sz w:val="20"/>
                <w:szCs w:val="20"/>
                <w:color w:val="auto"/>
              </w:rPr>
            </w:pPr>
            <w:r>
              <w:rPr>
                <w:rFonts w:ascii="Arial" w:cs="Arial" w:eastAsia="Arial" w:hAnsi="Arial"/>
                <w:sz w:val="10"/>
                <w:szCs w:val="10"/>
                <w:color w:val="auto"/>
              </w:rPr>
              <w:t>Digital Operating EBITDA</w:t>
            </w:r>
          </w:p>
        </w:tc>
        <w:tc>
          <w:tcPr>
            <w:tcW w:w="1080" w:type="dxa"/>
            <w:vAlign w:val="bottom"/>
          </w:tcPr>
          <w:p>
            <w:pPr>
              <w:jc w:val="center"/>
              <w:spacing w:after="0"/>
              <w:rPr>
                <w:sz w:val="20"/>
                <w:szCs w:val="20"/>
                <w:color w:val="auto"/>
              </w:rPr>
            </w:pPr>
            <w:r>
              <w:rPr>
                <w:rFonts w:ascii="Arial" w:cs="Arial" w:eastAsia="Arial" w:hAnsi="Arial"/>
                <w:sz w:val="10"/>
                <w:szCs w:val="10"/>
                <w:color w:val="auto"/>
              </w:rPr>
              <w:t>$14</w:t>
            </w:r>
          </w:p>
        </w:tc>
        <w:tc>
          <w:tcPr>
            <w:tcW w:w="1080" w:type="dxa"/>
            <w:vAlign w:val="bottom"/>
          </w:tcPr>
          <w:p>
            <w:pPr>
              <w:jc w:val="center"/>
              <w:spacing w:after="0"/>
              <w:rPr>
                <w:sz w:val="20"/>
                <w:szCs w:val="20"/>
                <w:color w:val="auto"/>
              </w:rPr>
            </w:pPr>
            <w:r>
              <w:rPr>
                <w:rFonts w:ascii="Arial" w:cs="Arial" w:eastAsia="Arial" w:hAnsi="Arial"/>
                <w:sz w:val="10"/>
                <w:szCs w:val="10"/>
                <w:color w:val="auto"/>
                <w:w w:val="89"/>
              </w:rPr>
              <w:t>$3</w:t>
            </w:r>
          </w:p>
        </w:tc>
        <w:tc>
          <w:tcPr>
            <w:tcW w:w="80" w:type="dxa"/>
            <w:vAlign w:val="bottom"/>
          </w:tcPr>
          <w:p>
            <w:pPr>
              <w:spacing w:after="0"/>
              <w:rPr>
                <w:sz w:val="11"/>
                <w:szCs w:val="11"/>
                <w:color w:val="auto"/>
              </w:rPr>
            </w:pPr>
          </w:p>
        </w:tc>
      </w:tr>
      <w:tr>
        <w:trPr>
          <w:trHeight w:val="138"/>
        </w:trPr>
        <w:tc>
          <w:tcPr>
            <w:tcW w:w="32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Digital Core FFO</w:t>
            </w:r>
            <w:r>
              <w:rPr>
                <w:rFonts w:ascii="Arial" w:cs="Arial" w:eastAsia="Arial" w:hAnsi="Arial"/>
                <w:sz w:val="13"/>
                <w:szCs w:val="13"/>
                <w:color w:val="auto"/>
                <w:vertAlign w:val="superscript"/>
              </w:rPr>
              <w:t>(2)</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$16</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$11</w:t>
            </w:r>
          </w:p>
        </w:tc>
        <w:tc>
          <w:tcPr>
            <w:tcW w:w="80" w:type="dxa"/>
            <w:vAlign w:val="bottom"/>
          </w:tcPr>
          <w:p>
            <w:pPr>
              <w:spacing w:after="0"/>
              <w:rPr>
                <w:sz w:val="12"/>
                <w:szCs w:val="12"/>
                <w:color w:val="auto"/>
              </w:rPr>
            </w:pPr>
          </w:p>
        </w:tc>
      </w:tr>
      <w:tr>
        <w:trPr>
          <w:trHeight w:val="195"/>
        </w:trPr>
        <w:tc>
          <w:tcPr>
            <w:tcW w:w="32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Liquidity and Digital AUM</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03/31/21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12/31/20</w:t>
            </w:r>
          </w:p>
        </w:tc>
        <w:tc>
          <w:tcPr>
            <w:tcW w:w="80" w:type="dxa"/>
            <w:vAlign w:val="bottom"/>
            <w:tcBorders>
              <w:bottom w:val="single" w:sz="8" w:color="CCEEFF"/>
            </w:tcBorders>
          </w:tcPr>
          <w:p>
            <w:pPr>
              <w:spacing w:after="0"/>
              <w:rPr>
                <w:sz w:val="16"/>
                <w:szCs w:val="16"/>
                <w:color w:val="auto"/>
              </w:rPr>
            </w:pPr>
          </w:p>
        </w:tc>
      </w:tr>
      <w:tr>
        <w:trPr>
          <w:trHeight w:val="127"/>
        </w:trPr>
        <w:tc>
          <w:tcPr>
            <w:tcW w:w="3260" w:type="dxa"/>
            <w:vAlign w:val="bottom"/>
            <w:shd w:val="clear" w:color="auto" w:fill="CCEEFF"/>
          </w:tcPr>
          <w:p>
            <w:pPr>
              <w:spacing w:after="0"/>
              <w:rPr>
                <w:sz w:val="20"/>
                <w:szCs w:val="20"/>
                <w:color w:val="auto"/>
              </w:rPr>
            </w:pPr>
            <w:r>
              <w:rPr>
                <w:rFonts w:ascii="Arial" w:cs="Arial" w:eastAsia="Arial" w:hAnsi="Arial"/>
                <w:sz w:val="10"/>
                <w:szCs w:val="10"/>
                <w:color w:val="auto"/>
              </w:rPr>
              <w:t>Liquidity (cash &amp; undrawn RCF)</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$667</w:t>
            </w: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$737</w:t>
            </w:r>
          </w:p>
        </w:tc>
        <w:tc>
          <w:tcPr>
            <w:tcW w:w="80" w:type="dxa"/>
            <w:vAlign w:val="bottom"/>
            <w:shd w:val="clear" w:color="auto" w:fill="CCEEFF"/>
          </w:tcPr>
          <w:p>
            <w:pPr>
              <w:spacing w:after="0"/>
              <w:rPr>
                <w:sz w:val="11"/>
                <w:szCs w:val="11"/>
                <w:color w:val="auto"/>
              </w:rPr>
            </w:pPr>
          </w:p>
        </w:tc>
      </w:tr>
      <w:tr>
        <w:trPr>
          <w:trHeight w:val="129"/>
        </w:trPr>
        <w:tc>
          <w:tcPr>
            <w:tcW w:w="3260" w:type="dxa"/>
            <w:vAlign w:val="bottom"/>
          </w:tcPr>
          <w:p>
            <w:pPr>
              <w:spacing w:after="0"/>
              <w:rPr>
                <w:sz w:val="20"/>
                <w:szCs w:val="20"/>
                <w:color w:val="auto"/>
              </w:rPr>
            </w:pPr>
            <w:r>
              <w:rPr>
                <w:rFonts w:ascii="Arial" w:cs="Arial" w:eastAsia="Arial" w:hAnsi="Arial"/>
                <w:sz w:val="10"/>
                <w:szCs w:val="10"/>
                <w:color w:val="auto"/>
              </w:rPr>
              <w:t>Digital AUM (in billions)</w:t>
            </w:r>
          </w:p>
        </w:tc>
        <w:tc>
          <w:tcPr>
            <w:tcW w:w="1080" w:type="dxa"/>
            <w:vAlign w:val="bottom"/>
          </w:tcPr>
          <w:p>
            <w:pPr>
              <w:jc w:val="center"/>
              <w:spacing w:after="0"/>
              <w:rPr>
                <w:sz w:val="20"/>
                <w:szCs w:val="20"/>
                <w:color w:val="auto"/>
              </w:rPr>
            </w:pPr>
            <w:r>
              <w:rPr>
                <w:rFonts w:ascii="Arial" w:cs="Arial" w:eastAsia="Arial" w:hAnsi="Arial"/>
                <w:sz w:val="10"/>
                <w:szCs w:val="10"/>
                <w:color w:val="auto"/>
              </w:rPr>
              <w:t>$32.0</w:t>
            </w:r>
          </w:p>
        </w:tc>
        <w:tc>
          <w:tcPr>
            <w:tcW w:w="1080" w:type="dxa"/>
            <w:vAlign w:val="bottom"/>
          </w:tcPr>
          <w:p>
            <w:pPr>
              <w:jc w:val="center"/>
              <w:spacing w:after="0"/>
              <w:rPr>
                <w:sz w:val="20"/>
                <w:szCs w:val="20"/>
                <w:color w:val="auto"/>
              </w:rPr>
            </w:pPr>
            <w:r>
              <w:rPr>
                <w:rFonts w:ascii="Arial" w:cs="Arial" w:eastAsia="Arial" w:hAnsi="Arial"/>
                <w:sz w:val="10"/>
                <w:szCs w:val="10"/>
                <w:color w:val="auto"/>
              </w:rPr>
              <w:t>$30.0</w:t>
            </w:r>
          </w:p>
        </w:tc>
        <w:tc>
          <w:tcPr>
            <w:tcW w:w="80" w:type="dxa"/>
            <w:vAlign w:val="bottom"/>
          </w:tcPr>
          <w:p>
            <w:pPr>
              <w:spacing w:after="0"/>
              <w:rPr>
                <w:sz w:val="11"/>
                <w:szCs w:val="11"/>
                <w:color w:val="auto"/>
              </w:rPr>
            </w:pPr>
          </w:p>
        </w:tc>
      </w:tr>
    </w:tbl>
    <w:p>
      <w:pPr>
        <w:spacing w:after="0" w:line="68" w:lineRule="exact"/>
        <w:rPr>
          <w:sz w:val="20"/>
          <w:szCs w:val="20"/>
          <w:color w:val="auto"/>
        </w:rPr>
      </w:pPr>
    </w:p>
    <w:p>
      <w:pPr>
        <w:ind w:left="4"/>
        <w:spacing w:after="0"/>
        <w:rPr>
          <w:sz w:val="20"/>
          <w:szCs w:val="20"/>
          <w:color w:val="auto"/>
        </w:rPr>
      </w:pPr>
      <w:r>
        <w:rPr>
          <w:rFonts w:ascii="Arial" w:cs="Arial" w:eastAsia="Arial" w:hAnsi="Arial"/>
          <w:sz w:val="11"/>
          <w:szCs w:val="11"/>
          <w:color w:val="auto"/>
        </w:rPr>
        <w:t>________________________________________________</w:t>
      </w:r>
    </w:p>
    <w:p>
      <w:pPr>
        <w:ind w:left="4" w:right="280"/>
        <w:spacing w:after="0" w:line="250" w:lineRule="auto"/>
        <w:rPr>
          <w:sz w:val="20"/>
          <w:szCs w:val="20"/>
          <w:color w:val="auto"/>
        </w:rPr>
      </w:pPr>
      <w:r>
        <w:rPr>
          <w:rFonts w:ascii="Arial" w:cs="Arial" w:eastAsia="Arial" w:hAnsi="Arial"/>
          <w:sz w:val="9"/>
          <w:szCs w:val="9"/>
          <w:color w:val="auto"/>
        </w:rPr>
        <w:t>Note: Revenues, Net Income, Adjusted EBITDA and Digital FRE are consolidated while Core FFO, Digital Core FFO, Digital Operating EBITDA, Liquidity and AUM are CLNY OP share.</w:t>
      </w:r>
    </w:p>
    <w:p>
      <w:pPr>
        <w:ind w:left="224" w:right="220" w:hanging="224"/>
        <w:spacing w:after="0" w:line="250" w:lineRule="auto"/>
        <w:tabs>
          <w:tab w:leader="none" w:pos="143" w:val="left"/>
        </w:tabs>
        <w:numPr>
          <w:ilvl w:val="0"/>
          <w:numId w:val="5"/>
        </w:numPr>
        <w:rPr>
          <w:rFonts w:ascii="Arial" w:cs="Arial" w:eastAsia="Arial" w:hAnsi="Arial"/>
          <w:sz w:val="9"/>
          <w:szCs w:val="9"/>
          <w:color w:val="auto"/>
        </w:rPr>
      </w:pPr>
      <w:r>
        <w:rPr>
          <w:rFonts w:ascii="Arial" w:cs="Arial" w:eastAsia="Arial" w:hAnsi="Arial"/>
          <w:sz w:val="9"/>
          <w:szCs w:val="9"/>
          <w:color w:val="auto"/>
        </w:rPr>
        <w:t>Reported 1Q21 FRE was $18.2 million, however, the figure above has been adjusted to exclude a $2.7 million benefit from reversing unused portions of the one-time incentive expense recorded in 4Q20.</w:t>
      </w:r>
    </w:p>
    <w:p>
      <w:pPr>
        <w:ind w:left="144" w:hanging="144"/>
        <w:spacing w:after="0"/>
        <w:tabs>
          <w:tab w:leader="none" w:pos="144" w:val="left"/>
        </w:tabs>
        <w:numPr>
          <w:ilvl w:val="0"/>
          <w:numId w:val="5"/>
        </w:numPr>
        <w:rPr>
          <w:rFonts w:ascii="Arial" w:cs="Arial" w:eastAsia="Arial" w:hAnsi="Arial"/>
          <w:sz w:val="9"/>
          <w:szCs w:val="9"/>
          <w:color w:val="auto"/>
        </w:rPr>
      </w:pPr>
      <w:r>
        <w:rPr>
          <w:rFonts w:ascii="Arial" w:cs="Arial" w:eastAsia="Arial" w:hAnsi="Arial"/>
          <w:sz w:val="9"/>
          <w:szCs w:val="9"/>
          <w:color w:val="auto"/>
        </w:rPr>
        <w:t>Includes Digital Investment Management and Digital Operating, excludes Digital Other.</w:t>
      </w:r>
    </w:p>
    <w:p>
      <w:pPr>
        <w:spacing w:after="0" w:line="200" w:lineRule="exact"/>
        <w:rPr>
          <w:sz w:val="20"/>
          <w:szCs w:val="20"/>
          <w:color w:val="auto"/>
        </w:rPr>
      </w:pPr>
    </w:p>
    <w:p>
      <w:pPr>
        <w:sectPr>
          <w:pgSz w:w="11900" w:h="16838" w:orient="portrait"/>
          <w:cols w:equalWidth="0" w:num="2">
            <w:col w:w="5460" w:space="216"/>
            <w:col w:w="5624"/>
          </w:cols>
          <w:pgMar w:left="300" w:top="93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w:t>
      </w:r>
    </w:p>
    <w:p>
      <w:pPr>
        <w:sectPr>
          <w:pgSz w:w="11900" w:h="16838" w:orient="portrait"/>
          <w:cols w:equalWidth="0" w:num="1">
            <w:col w:w="11300"/>
          </w:cols>
          <w:pgMar w:left="300" w:top="930" w:right="2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1"/>
          <w:szCs w:val="11"/>
          <w:b w:val="1"/>
          <w:bCs w:val="1"/>
          <w:i w:val="1"/>
          <w:iCs w:val="1"/>
          <w:color w:val="auto"/>
        </w:rPr>
        <w:drawing>
          <wp:anchor simplePos="0" relativeHeight="251657728" behindDoc="1" locked="0" layoutInCell="0" allowOverlap="1">
            <wp:simplePos x="0" y="0"/>
            <wp:positionH relativeFrom="page">
              <wp:posOffset>819785</wp:posOffset>
            </wp:positionH>
            <wp:positionV relativeFrom="page">
              <wp:posOffset>197485</wp:posOffset>
            </wp:positionV>
            <wp:extent cx="1057275" cy="217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7275" cy="217170"/>
                    </a:xfrm>
                    <a:prstGeom prst="rect">
                      <a:avLst/>
                    </a:prstGeom>
                    <a:noFill/>
                  </pic:spPr>
                </pic:pic>
              </a:graphicData>
            </a:graphic>
          </wp:anchor>
        </w:drawing>
        <w:t>Harvest Legacy Assets</w:t>
      </w:r>
    </w:p>
    <w:p>
      <w:pPr>
        <w:spacing w:after="0" w:line="84"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0"/>
          <w:szCs w:val="10"/>
          <w:color w:val="auto"/>
        </w:rPr>
      </w:pPr>
      <w:r>
        <w:rPr>
          <w:rFonts w:ascii="Arial" w:cs="Arial" w:eastAsia="Arial" w:hAnsi="Arial"/>
          <w:sz w:val="10"/>
          <w:szCs w:val="10"/>
          <w:color w:val="auto"/>
        </w:rPr>
        <w:t>Completed the sale of the Company's hospitality portfolios, generating an aggregate $67.5 million of gross proceeds on a consolidated basis. The sale resulted in the reduction of $2.7 billion in consolidated investment-level debt.</w:t>
      </w:r>
    </w:p>
    <w:p>
      <w:pPr>
        <w:spacing w:after="0" w:line="83" w:lineRule="exact"/>
        <w:rPr>
          <w:rFonts w:ascii="Arial" w:cs="Arial" w:eastAsia="Arial" w:hAnsi="Arial"/>
          <w:sz w:val="10"/>
          <w:szCs w:val="10"/>
          <w:color w:val="auto"/>
        </w:rPr>
      </w:pPr>
    </w:p>
    <w:p>
      <w:pPr>
        <w:ind w:left="420" w:hanging="212"/>
        <w:spacing w:after="0" w:line="245" w:lineRule="auto"/>
        <w:tabs>
          <w:tab w:leader="none" w:pos="413" w:val="left"/>
        </w:tabs>
        <w:numPr>
          <w:ilvl w:val="0"/>
          <w:numId w:val="6"/>
        </w:numPr>
        <w:rPr>
          <w:rFonts w:ascii="Arial" w:cs="Arial" w:eastAsia="Arial" w:hAnsi="Arial"/>
          <w:sz w:val="11"/>
          <w:szCs w:val="11"/>
          <w:color w:val="auto"/>
        </w:rPr>
      </w:pPr>
      <w:r>
        <w:rPr>
          <w:rFonts w:ascii="Arial" w:cs="Arial" w:eastAsia="Arial" w:hAnsi="Arial"/>
          <w:sz w:val="11"/>
          <w:szCs w:val="11"/>
          <w:color w:val="auto"/>
        </w:rPr>
        <w:t>Other Equity &amp; Debt (OED) assets monetized year-to-date generated $131 million of net equity proceeds, including a sale in April of a 74% controlling interest in two high-quality office properties located in Dublin’s city center with $104 million in net equity proceeds to the Company.</w:t>
      </w:r>
    </w:p>
    <w:p>
      <w:pPr>
        <w:spacing w:after="0" w:line="65" w:lineRule="exact"/>
        <w:rPr>
          <w:rFonts w:ascii="Arial" w:cs="Arial" w:eastAsia="Arial" w:hAnsi="Arial"/>
          <w:sz w:val="11"/>
          <w:szCs w:val="11"/>
          <w:color w:val="auto"/>
        </w:rPr>
      </w:pPr>
    </w:p>
    <w:p>
      <w:pPr>
        <w:ind w:left="420" w:right="20" w:hanging="212"/>
        <w:spacing w:after="0" w:line="245" w:lineRule="auto"/>
        <w:tabs>
          <w:tab w:leader="none" w:pos="413"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April 2021, the Company completed the internalization transaction with Colony Credit Real Estate, Inc. (CLNC) and received a termination payment of $102 million, transferred 44 employees to CLNC and executed a transition services agreement to allow for a seamless transition of critical functions.</w:t>
      </w:r>
    </w:p>
    <w:p>
      <w:pPr>
        <w:spacing w:after="0" w:line="65" w:lineRule="exact"/>
        <w:rPr>
          <w:rFonts w:ascii="Arial" w:cs="Arial" w:eastAsia="Arial" w:hAnsi="Arial"/>
          <w:sz w:val="11"/>
          <w:szCs w:val="11"/>
          <w:color w:val="auto"/>
        </w:rPr>
      </w:pPr>
    </w:p>
    <w:p>
      <w:pPr>
        <w:ind w:left="420" w:hanging="212"/>
        <w:spacing w:after="0"/>
        <w:tabs>
          <w:tab w:leader="none" w:pos="42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addition to funding future digital investments, these transactions advance the Company’s efforts to streamline the organization and simplify its business profile.</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Significant Corporate Governance Advances</w:t>
      </w:r>
    </w:p>
    <w:p>
      <w:pPr>
        <w:spacing w:after="0" w:line="84" w:lineRule="exact"/>
        <w:rPr>
          <w:sz w:val="20"/>
          <w:szCs w:val="20"/>
          <w:color w:val="auto"/>
        </w:rPr>
      </w:pPr>
    </w:p>
    <w:p>
      <w:pPr>
        <w:ind w:left="420" w:right="100" w:hanging="212"/>
        <w:spacing w:after="0" w:line="245" w:lineRule="auto"/>
        <w:tabs>
          <w:tab w:leader="none" w:pos="413" w:val="left"/>
        </w:tabs>
        <w:numPr>
          <w:ilvl w:val="0"/>
          <w:numId w:val="7"/>
        </w:numPr>
        <w:rPr>
          <w:rFonts w:ascii="Arial" w:cs="Arial" w:eastAsia="Arial" w:hAnsi="Arial"/>
          <w:sz w:val="11"/>
          <w:szCs w:val="11"/>
          <w:color w:val="auto"/>
        </w:rPr>
      </w:pPr>
      <w:r>
        <w:rPr>
          <w:rFonts w:ascii="Arial" w:cs="Arial" w:eastAsia="Arial" w:hAnsi="Arial"/>
          <w:sz w:val="11"/>
          <w:szCs w:val="11"/>
          <w:color w:val="auto"/>
        </w:rPr>
        <w:t>Nancy Curtin, the Company’s lead independent director, was appointed to the position of Chairperson of the Board, effective April 1, 2021. The Company will benefit from Ms. Curtin’s extensive global investment and leadership experience, as well as a deep knowledge of the Company's business.</w:t>
      </w:r>
    </w:p>
    <w:p>
      <w:pPr>
        <w:spacing w:after="0" w:line="65" w:lineRule="exact"/>
        <w:rPr>
          <w:rFonts w:ascii="Arial" w:cs="Arial" w:eastAsia="Arial" w:hAnsi="Arial"/>
          <w:sz w:val="11"/>
          <w:szCs w:val="11"/>
          <w:color w:val="auto"/>
        </w:rPr>
      </w:pPr>
    </w:p>
    <w:p>
      <w:pPr>
        <w:ind w:left="420" w:right="20" w:hanging="212"/>
        <w:spacing w:after="0" w:line="245" w:lineRule="auto"/>
        <w:tabs>
          <w:tab w:leader="none" w:pos="413" w:val="left"/>
        </w:tabs>
        <w:numPr>
          <w:ilvl w:val="0"/>
          <w:numId w:val="7"/>
        </w:numPr>
        <w:rPr>
          <w:rFonts w:ascii="Arial" w:cs="Arial" w:eastAsia="Arial" w:hAnsi="Arial"/>
          <w:sz w:val="11"/>
          <w:szCs w:val="11"/>
          <w:color w:val="auto"/>
        </w:rPr>
      </w:pPr>
      <w:r>
        <w:rPr>
          <w:rFonts w:ascii="Arial" w:cs="Arial" w:eastAsia="Arial" w:hAnsi="Arial"/>
          <w:sz w:val="11"/>
          <w:szCs w:val="11"/>
          <w:color w:val="auto"/>
        </w:rPr>
        <w:t>On May 4, 2021, Sháka Rasheed was elected to the Company’s Board of Directors. Mr. Rasheed currently serves as an executive of the Microsoft Corporation. As an accomplished leader and advisor currently at the intersection of financial services and technology, Mr. Rasheed brings over 25 years of business development, sales, strategy, and leadership experience to the Board.</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Investor Relations</w:t>
      </w:r>
    </w:p>
    <w:p>
      <w:pPr>
        <w:spacing w:after="0" w:line="84" w:lineRule="exact"/>
        <w:rPr>
          <w:sz w:val="20"/>
          <w:szCs w:val="20"/>
          <w:color w:val="auto"/>
        </w:rPr>
      </w:pPr>
    </w:p>
    <w:p>
      <w:pPr>
        <w:ind w:left="420" w:right="540" w:hanging="212"/>
        <w:spacing w:after="0" w:line="245" w:lineRule="auto"/>
        <w:tabs>
          <w:tab w:leader="none" w:pos="413"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Company will host an inaugural Virtual Investor Day on Tuesday, June 22, 2021 as part of its efforts to build greater awareness across the investor community around its strategic plan as it accelerates towards the completion of its digital transformation.</w:t>
      </w:r>
    </w:p>
    <w:p>
      <w:pPr>
        <w:spacing w:after="0" w:line="65" w:lineRule="exact"/>
        <w:rPr>
          <w:rFonts w:ascii="Arial" w:cs="Arial" w:eastAsia="Arial" w:hAnsi="Arial"/>
          <w:sz w:val="11"/>
          <w:szCs w:val="11"/>
          <w:color w:val="auto"/>
        </w:rPr>
      </w:pPr>
    </w:p>
    <w:p>
      <w:pPr>
        <w:ind w:left="420" w:right="320" w:hanging="212"/>
        <w:spacing w:after="0" w:line="245" w:lineRule="auto"/>
        <w:tabs>
          <w:tab w:leader="none" w:pos="413"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Company continues to prioritize simplification as it makes improvements to its financial reporting, most recently condensing its earnings release and supplemental financial reporting packages to reduce complexity and simplify analysis. The Company also expects to issue a new Corporate Overview document in connection with its upcoming investor day.</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Digital Snapshot</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Tracking to 2021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4051935" cy="1503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51935" cy="150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w:t>
      </w:r>
    </w:p>
    <w:p>
      <w:pPr>
        <w:sectPr>
          <w:pgSz w:w="11900" w:h="16838" w:orient="portrait"/>
          <w:cols w:equalWidth="0" w:num="1">
            <w:col w:w="11280"/>
          </w:cols>
          <w:pgMar w:left="300" w:top="1074" w:right="319" w:bottom="1440" w:gutter="0" w:footer="0" w:header="0"/>
        </w:sectPr>
      </w:pPr>
    </w:p>
    <w:bookmarkStart w:id="5" w:name="page6"/>
    <w:bookmarkEnd w:id="5"/>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819785</wp:posOffset>
            </wp:positionH>
            <wp:positionV relativeFrom="page">
              <wp:posOffset>197485</wp:posOffset>
            </wp:positionV>
            <wp:extent cx="1057275" cy="217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57275" cy="217170"/>
                    </a:xfrm>
                    <a:prstGeom prst="rect">
                      <a:avLst/>
                    </a:prstGeom>
                    <a:noFill/>
                  </pic:spPr>
                </pic:pic>
              </a:graphicData>
            </a:graphic>
          </wp:anchor>
        </w:drawing>
        <w:t>Common Stock and Operating Company Units</w:t>
      </w:r>
    </w:p>
    <w:p>
      <w:pPr>
        <w:spacing w:after="0" w:line="48" w:lineRule="exact"/>
        <w:rPr>
          <w:sz w:val="20"/>
          <w:szCs w:val="20"/>
          <w:color w:val="auto"/>
        </w:rPr>
      </w:pPr>
    </w:p>
    <w:p>
      <w:pPr>
        <w:spacing w:after="0" w:line="245" w:lineRule="auto"/>
        <w:rPr>
          <w:sz w:val="20"/>
          <w:szCs w:val="20"/>
          <w:color w:val="auto"/>
        </w:rPr>
      </w:pPr>
      <w:r>
        <w:rPr>
          <w:rFonts w:ascii="Arial" w:cs="Arial" w:eastAsia="Arial" w:hAnsi="Arial"/>
          <w:sz w:val="11"/>
          <w:szCs w:val="11"/>
          <w:color w:val="auto"/>
        </w:rPr>
        <w:t>As of May 3, 2021, the Company had 487.2 million shares of Class A and B common stock outstanding and the Company’s operating partnership had 51.1 million operating company units outstanding and held by members other than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Preferred Dividends</w:t>
      </w:r>
    </w:p>
    <w:p>
      <w:pPr>
        <w:spacing w:after="0" w:line="48"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On February 23, 2021, the Company’s Board declared cash dividends with respect to each series of the Company’s cumulative redeemable perpetual preferred stock in accordance with the terms of such series, as follows: with respect to each of the Series G preferred stock: $0.46875 per share; Series H preferred stock: $0.4453125 per share; Series I preferred stock: $0.446875 per share; and Series J preferred stock: $0.4453125 per share, such dividends were paid on April 15, 2021 to the respective stockholders of record on April 12, 2021.</w:t>
      </w:r>
    </w:p>
    <w:p>
      <w:pPr>
        <w:spacing w:after="0" w:line="31"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On May 4, 2021, the Company’s Board declared cash dividends with respect to each series of the Company’s cumulative redeemable perpetual preferred stock in accordance with the terms of such series, as follows: with respect to each of the Series G preferred stock: $0.46875 per share; Series H preferred stock: $0.4453125 per share; Series I preferred stock: $0.446875 per share; and Series J preferred stock: $0.4453125 per share, such dividends will be paid on July 15, 2021 to the respective stockholders of record on July 9, 2021.</w:t>
      </w:r>
    </w:p>
    <w:p>
      <w:pPr>
        <w:spacing w:after="0" w:line="9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First Quarter 2021 Conference Call</w:t>
      </w:r>
    </w:p>
    <w:p>
      <w:pPr>
        <w:spacing w:after="0" w:line="48" w:lineRule="exact"/>
        <w:rPr>
          <w:sz w:val="20"/>
          <w:szCs w:val="20"/>
          <w:color w:val="auto"/>
        </w:rPr>
      </w:pPr>
    </w:p>
    <w:p>
      <w:pPr>
        <w:jc w:val="both"/>
        <w:ind w:right="60"/>
        <w:spacing w:after="0" w:line="242" w:lineRule="auto"/>
        <w:rPr>
          <w:sz w:val="20"/>
          <w:szCs w:val="20"/>
          <w:color w:val="auto"/>
        </w:rPr>
      </w:pPr>
      <w:r>
        <w:rPr>
          <w:rFonts w:ascii="Arial" w:cs="Arial" w:eastAsia="Arial" w:hAnsi="Arial"/>
          <w:sz w:val="11"/>
          <w:szCs w:val="11"/>
          <w:color w:val="auto"/>
        </w:rPr>
        <w:t>The Company will conduct an earnings presentation and conference call to discuss the financial results on Thursday, May 6, 2021 at 10:00 a.m. ET. The earnings presentation will be broadcast live over the Internet and can be accessed on the Shareholders section of the Company’s website at ir.clny.com/events. A webcast of the presentation and conference call will be available for 90 days on the Company’s website. To participate in the event by telephone, please dial (877) 407-4018 ten minutes prior to the start time (to allow time for registration). International callers should dial (201) 689-8471.</w:t>
      </w:r>
    </w:p>
    <w:p>
      <w:pPr>
        <w:spacing w:after="0" w:line="31" w:lineRule="exact"/>
        <w:rPr>
          <w:sz w:val="20"/>
          <w:szCs w:val="20"/>
          <w:color w:val="auto"/>
        </w:rPr>
      </w:pPr>
    </w:p>
    <w:p>
      <w:pPr>
        <w:spacing w:after="0"/>
        <w:rPr>
          <w:sz w:val="20"/>
          <w:szCs w:val="20"/>
          <w:color w:val="auto"/>
        </w:rPr>
      </w:pPr>
      <w:r>
        <w:rPr>
          <w:rFonts w:ascii="Arial" w:cs="Arial" w:eastAsia="Arial" w:hAnsi="Arial"/>
          <w:sz w:val="10"/>
          <w:szCs w:val="10"/>
          <w:color w:val="auto"/>
        </w:rPr>
        <w:t>For those unable to participate during the live call, a replay will be available starting May 6, 2021, at 1:00 p.m. ET, through May 13, 2021, at 11:59 p.m. ET. To access the replay, dial (844) 512-2921 (U.S.), and use passcode 13718365.</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International callers should dial (412) 317-6671 and enter the same conference ID number.</w:t>
      </w:r>
    </w:p>
    <w:p>
      <w:pPr>
        <w:spacing w:after="0" w:line="9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Earnings Presentation and Supplemental Financial Report</w:t>
      </w:r>
    </w:p>
    <w:p>
      <w:pPr>
        <w:spacing w:after="0" w:line="48" w:lineRule="exact"/>
        <w:rPr>
          <w:sz w:val="20"/>
          <w:szCs w:val="20"/>
          <w:color w:val="auto"/>
        </w:rPr>
      </w:pPr>
    </w:p>
    <w:p>
      <w:pPr>
        <w:ind w:right="600"/>
        <w:spacing w:after="0" w:line="245" w:lineRule="auto"/>
        <w:rPr>
          <w:sz w:val="20"/>
          <w:szCs w:val="20"/>
          <w:color w:val="auto"/>
        </w:rPr>
      </w:pPr>
      <w:r>
        <w:rPr>
          <w:rFonts w:ascii="Arial" w:cs="Arial" w:eastAsia="Arial" w:hAnsi="Arial"/>
          <w:sz w:val="11"/>
          <w:szCs w:val="11"/>
          <w:color w:val="auto"/>
        </w:rPr>
        <w:t>A First Quarter 2021 Earnings Presentation and Supplemental Financial Report is available in the Events &amp; Presentations and Financial Information sections, respectively, of the Shareholders tab on the Company’s website at www.clny.com. This information has also been furnished to the U.S. Securities and Exchange Commission in a Current Report on Form 8-K.</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Colony Capital, Inc.</w:t>
      </w:r>
    </w:p>
    <w:p>
      <w:pPr>
        <w:spacing w:after="0" w:line="48" w:lineRule="exact"/>
        <w:rPr>
          <w:sz w:val="20"/>
          <w:szCs w:val="20"/>
          <w:color w:val="auto"/>
        </w:rPr>
      </w:pPr>
    </w:p>
    <w:p>
      <w:pPr>
        <w:ind w:right="20"/>
        <w:spacing w:after="0" w:line="242" w:lineRule="auto"/>
        <w:rPr>
          <w:sz w:val="20"/>
          <w:szCs w:val="20"/>
          <w:color w:val="auto"/>
        </w:rPr>
      </w:pPr>
      <w:r>
        <w:rPr>
          <w:rFonts w:ascii="Arial" w:cs="Arial" w:eastAsia="Arial" w:hAnsi="Arial"/>
          <w:sz w:val="11"/>
          <w:szCs w:val="11"/>
          <w:color w:val="auto"/>
        </w:rPr>
        <w:t>Colony Capital, Inc. (NYSE: CLNY) is a leading global investment firm with a heritage of identifying and capitalizing on key secular trends in real estate. The Company manages a $46 billion portfolio of real assets on behalf of its shareholders and limited partners, including $32 billion in digital real estate investments through Digital Colony, its digital infrastructure platform. Colony Capital, structured as a REIT, is headquartered in Boca Raton with key offices in Los Angeles, New York, London and Singapore. For more information on Colony Capital, visit www.clny.com.</w:t>
      </w:r>
    </w:p>
    <w:p>
      <w:pPr>
        <w:spacing w:after="0" w:line="9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Cautionary Statement Regarding Forward-Looking Statements</w:t>
      </w:r>
    </w:p>
    <w:p>
      <w:pPr>
        <w:spacing w:after="0" w:line="48" w:lineRule="exact"/>
        <w:rPr>
          <w:sz w:val="20"/>
          <w:szCs w:val="20"/>
          <w:color w:val="auto"/>
        </w:rPr>
      </w:pPr>
    </w:p>
    <w:p>
      <w:pPr>
        <w:ind w:right="20"/>
        <w:spacing w:after="0" w:line="241" w:lineRule="auto"/>
        <w:rPr>
          <w:sz w:val="20"/>
          <w:szCs w:val="20"/>
          <w:color w:val="auto"/>
        </w:rPr>
      </w:pPr>
      <w:r>
        <w:rPr>
          <w:rFonts w:ascii="Arial" w:cs="Arial" w:eastAsia="Arial" w:hAnsi="Arial"/>
          <w:sz w:val="11"/>
          <w:szCs w:val="11"/>
          <w:color w:val="auto"/>
        </w:rPr>
        <w:t>This press release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68" w:lineRule="exact"/>
        <w:rPr>
          <w:sz w:val="20"/>
          <w:szCs w:val="20"/>
          <w:color w:val="auto"/>
        </w:rPr>
      </w:pPr>
    </w:p>
    <w:p>
      <w:pPr>
        <w:spacing w:after="0" w:line="239" w:lineRule="auto"/>
        <w:rPr>
          <w:sz w:val="20"/>
          <w:szCs w:val="20"/>
          <w:color w:val="auto"/>
        </w:rPr>
      </w:pPr>
      <w:r>
        <w:rPr>
          <w:rFonts w:ascii="Arial" w:cs="Arial" w:eastAsia="Arial" w:hAnsi="Arial"/>
          <w:sz w:val="11"/>
          <w:szCs w:val="11"/>
          <w:color w:val="auto"/>
        </w:rPr>
        <w:t>Forward-looking statements involve known and unknown risks, uncertainties, assumptions and contingencies, many of which are beyond the Company’s control, and may cause the Company’s actual results to differ significantly from those expressed in any forward-looking statement. Factors that might cause such a difference include, without limitation, the impact of COVID-19 on the global economy, including the Company’s businesses, whether the Company will capitalize on the powerful secular tailwinds supporting the continued growth and investment in digital infrastructure, whether the Company’s wellness infrastructure segment, including contractual rent collections, will continue to perform well despite ongoing impacts of COVID-19, the Company’s ability to continue driving strong growth in its digital business and accelerating its digital transformation, including whether the Company will continue to lower corporate expenses and achieve earnings rotation through divestment of legacy businesses and assets, the impact of the digital transformation on the Company’s earnings profile, the Company’s ability to collaborate with its partner companies and customers to build the next-generation networks connecting enterprises and consumers globally, whether the Company will realize the anticipated benefits of Wafra’s strategic investment in the Company’s digital investment management business, including whether the Wafra investment will become subject to redemption and the amount of commitments Wafra will make to the Company’s digital investment products, the Company’s ability to raise third party capital in its managed funds or co-investment structures and the pace of such fundraising (including as a result of the impact of COVID-19), whether the DCP II fund raising target will be met, in the amounts anticipated or at all, the performance of DataBank, including zColo, the success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w:t>
      </w:r>
    </w:p>
    <w:p>
      <w:pPr>
        <w:sectPr>
          <w:pgSz w:w="11900" w:h="16838" w:orient="portrait"/>
          <w:cols w:equalWidth="0" w:num="1">
            <w:col w:w="11280"/>
          </w:cols>
          <w:pgMar w:left="300" w:top="966" w:right="319" w:bottom="1440" w:gutter="0" w:footer="0" w:header="0"/>
        </w:sectPr>
      </w:pPr>
    </w:p>
    <w:bookmarkStart w:id="6" w:name="page7"/>
    <w:bookmarkEnd w:id="6"/>
    <w:p>
      <w:pPr>
        <w:spacing w:after="0" w:line="23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819785</wp:posOffset>
            </wp:positionH>
            <wp:positionV relativeFrom="page">
              <wp:posOffset>197485</wp:posOffset>
            </wp:positionV>
            <wp:extent cx="1057275" cy="217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57275" cy="217170"/>
                    </a:xfrm>
                    <a:prstGeom prst="rect">
                      <a:avLst/>
                    </a:prstGeom>
                    <a:noFill/>
                  </pic:spPr>
                </pic:pic>
              </a:graphicData>
            </a:graphic>
          </wp:anchor>
        </w:drawing>
        <w:t>performance of the Company’s future investment product offerings, including a digital credit investment vehicle, whether the Company will realize the anticipated benefits of its investment in Vantage SDC, including the performance and stability of its portfolio, the pace of growth in the Company’s digital investment management franchise, the Company’s ability to continue to make investments in digital assets onto the balance sheet and the quality and earnings profile of such investments, the resilience and growth in demand for digital infrastructure, whether the Company will realize the anticipated benefits of its securitization transactions, the Company’s ability to simplify its business and continue to monetize legacy businesses/OED assets, including the timing and amount of proceeds to be received by the Company in those monetizations and its impact on the Company’s liquidity, if any, whether warehoused investments will ultimately be transferred to a managed investment vehicle or at all, the impact of impairments, the level of expenses within the wellness infrastructure segment and the impact on performance for the segment, whether the Company will maintain or produce higher Core FFO per share in the coming quarters, or ever, the Company’s FRE and FEEUM and its ability to continue growth at the current pace or at all, whether the Company will continue to pay dividends on its preferred stock, the impact of changes to the Company’s management or board of directors, employee and organizational structure, the Company’s financial flexibility and liquidity, including borrowing capacity under its revolving credit facility (including as a result of the impact of COVID-19), whether the Company will further extend the term of its revolving credit facility, the use of sales proceeds and available liquidity, the performance of the Company’s investment in CLNC (including as a result of the impact of COVID-19), including the CLNC share price as compared to book value and how the Company evaluates the Company’s investment in CLNC, the impact of management changes at CLNC, the Company’s ability to minimize balance sheet commitments to its managed investment vehicles, customer demand for data centers, the Company's portfolio composition, the Company's expected taxable income and net cash flows, excluding the contribution of gains, the Company’s ability to pay or grow the dividend at all in the future, the impact of any changes to the Company’s management agreements with NorthStar Healthcare Income, Inc. and other managed investment vehicles, whether the Company will be able to maintain its qualification as a REIT for U.S. federal income tax purposes, the timing of and ability to deploy available capital, including whether any redeployment of capital will generate higher total returns, the Company’s ability to maintain inclusion and relative performance on the RMZ, the Company’s leverage, including the Company’s ability to reduce debt and the timing and amount of borrowings under its credit facility, increased interest rates and operating costs, adverse economic or real estate developments in the Company’s markets, the Company’s failure to successfully operate or lease acquired properties, decreased rental rates, increased vacancy rates or failure to renew or replace expiring leases, increased costs of capital expenditures, defaults on or non-renewal of leases by tenants, the impact of economic conditions (including the impact of COVID-19 on such conditions) on the borrowers of the Company’s commercial real estate debt investments and the commercial mortgage loans underlying its commercial mortgage backed securities, adverse general and local economic conditions, an unfavorable capital market environment, decreased leasing activity or lease renewals, and other risks and uncertainties, including those detailed in the Company’s Annual Report on Form 10-K for the fiscal year ended December 31, 2020 and Quarterly Report on Form 10-Q for the quarter ended March 31, 2021, each under the heading “Risk Factors,” as such factors may be updated from time to time in the Company’s subsequent periodic filings with the U.S. Securities and Exchange Commission (“SEC”). All forward-looking statements reflect the Company’s good faith beliefs, assumptions and expectations, but they are not guarantees of future performance. Additional information about these and other factors can be found in the Company’s reports filed from time to time with the SEC.</w:t>
      </w:r>
    </w:p>
    <w:p>
      <w:pPr>
        <w:spacing w:after="0" w:line="37" w:lineRule="exact"/>
        <w:rPr>
          <w:sz w:val="20"/>
          <w:szCs w:val="20"/>
          <w:color w:val="auto"/>
        </w:rPr>
      </w:pPr>
    </w:p>
    <w:p>
      <w:pPr>
        <w:ind w:right="40"/>
        <w:spacing w:after="0" w:line="245" w:lineRule="auto"/>
        <w:rPr>
          <w:sz w:val="20"/>
          <w:szCs w:val="20"/>
          <w:color w:val="auto"/>
        </w:rPr>
      </w:pPr>
      <w:r>
        <w:rPr>
          <w:rFonts w:ascii="Arial" w:cs="Arial" w:eastAsia="Arial" w:hAnsi="Arial"/>
          <w:sz w:val="11"/>
          <w:szCs w:val="11"/>
          <w:color w:val="auto"/>
        </w:rPr>
        <w:t>the Company cautions investors not to unduly rely on any forward-looking statements. The forward-looking statements speak only as of the date of this press release. The Company is under no duty to update any of these forward-looking statements after the date of this press release, nor to conform prior statements to actual results or revised expectations, and the Company does not intend to do so.</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Source: </w:t>
      </w:r>
      <w:r>
        <w:rPr>
          <w:rFonts w:ascii="Arial" w:cs="Arial" w:eastAsia="Arial" w:hAnsi="Arial"/>
          <w:sz w:val="11"/>
          <w:szCs w:val="11"/>
          <w:color w:val="auto"/>
        </w:rPr>
        <w:t>Colony Capital, Inc.</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Investor Contacts:</w:t>
      </w:r>
    </w:p>
    <w:p>
      <w:pPr>
        <w:spacing w:after="0"/>
        <w:rPr>
          <w:sz w:val="20"/>
          <w:szCs w:val="20"/>
          <w:color w:val="auto"/>
        </w:rPr>
      </w:pPr>
      <w:r>
        <w:rPr>
          <w:rFonts w:ascii="Arial" w:cs="Arial" w:eastAsia="Arial" w:hAnsi="Arial"/>
          <w:sz w:val="11"/>
          <w:szCs w:val="11"/>
          <w:color w:val="auto"/>
        </w:rPr>
        <w:t>Severin White</w:t>
      </w:r>
    </w:p>
    <w:p>
      <w:pPr>
        <w:spacing w:after="0"/>
        <w:rPr>
          <w:sz w:val="20"/>
          <w:szCs w:val="20"/>
          <w:color w:val="auto"/>
        </w:rPr>
      </w:pPr>
      <w:r>
        <w:rPr>
          <w:rFonts w:ascii="Arial" w:cs="Arial" w:eastAsia="Arial" w:hAnsi="Arial"/>
          <w:sz w:val="11"/>
          <w:szCs w:val="11"/>
          <w:color w:val="auto"/>
        </w:rPr>
        <w:t>Managing Director, Head of Public Investor Relations</w:t>
      </w:r>
    </w:p>
    <w:p>
      <w:pPr>
        <w:spacing w:after="0"/>
        <w:rPr>
          <w:sz w:val="20"/>
          <w:szCs w:val="20"/>
          <w:color w:val="auto"/>
        </w:rPr>
      </w:pPr>
      <w:r>
        <w:rPr>
          <w:rFonts w:ascii="Arial" w:cs="Arial" w:eastAsia="Arial" w:hAnsi="Arial"/>
          <w:sz w:val="11"/>
          <w:szCs w:val="11"/>
          <w:color w:val="auto"/>
        </w:rPr>
        <w:t>212-547-2777</w:t>
      </w:r>
    </w:p>
    <w:p>
      <w:pPr>
        <w:spacing w:after="0"/>
        <w:rPr>
          <w:sz w:val="20"/>
          <w:szCs w:val="20"/>
          <w:color w:val="auto"/>
        </w:rPr>
      </w:pPr>
      <w:r>
        <w:rPr>
          <w:rFonts w:ascii="Arial" w:cs="Arial" w:eastAsia="Arial" w:hAnsi="Arial"/>
          <w:sz w:val="11"/>
          <w:szCs w:val="11"/>
          <w:u w:val="single" w:color="auto"/>
          <w:color w:val="0563C1"/>
        </w:rPr>
        <w:t>swhite@clny.com</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w:t>
      </w:r>
    </w:p>
    <w:p>
      <w:pPr>
        <w:sectPr>
          <w:pgSz w:w="11900" w:h="16838" w:orient="portrait"/>
          <w:cols w:equalWidth="0" w:num="1">
            <w:col w:w="11300"/>
          </w:cols>
          <w:pgMar w:left="300" w:top="978"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u w:val="single" w:color="auto"/>
          <w:color w:val="auto"/>
        </w:rPr>
        <w:drawing>
          <wp:anchor simplePos="0" relativeHeight="251657728" behindDoc="1" locked="0" layoutInCell="0" allowOverlap="1">
            <wp:simplePos x="0" y="0"/>
            <wp:positionH relativeFrom="page">
              <wp:posOffset>819785</wp:posOffset>
            </wp:positionH>
            <wp:positionV relativeFrom="page">
              <wp:posOffset>197485</wp:posOffset>
            </wp:positionV>
            <wp:extent cx="1057275" cy="217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57275" cy="217170"/>
                    </a:xfrm>
                    <a:prstGeom prst="rect">
                      <a:avLst/>
                    </a:prstGeom>
                    <a:noFill/>
                  </pic:spPr>
                </pic:pic>
              </a:graphicData>
            </a:graphic>
          </wp:anchor>
        </w:drawing>
        <w:t>Non-GAAP Financial Measures and Definitions</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Adjusted Earnings before Interest, Taxes, Depreciation and Amortization</w:t>
      </w:r>
    </w:p>
    <w:p>
      <w:pPr>
        <w:spacing w:after="0" w:line="48" w:lineRule="exact"/>
        <w:rPr>
          <w:sz w:val="20"/>
          <w:szCs w:val="20"/>
          <w:color w:val="auto"/>
        </w:rPr>
      </w:pPr>
    </w:p>
    <w:p>
      <w:pPr>
        <w:ind w:right="300"/>
        <w:spacing w:after="0" w:line="241" w:lineRule="auto"/>
        <w:rPr>
          <w:sz w:val="20"/>
          <w:szCs w:val="20"/>
          <w:color w:val="auto"/>
        </w:rPr>
      </w:pPr>
      <w:r>
        <w:rPr>
          <w:rFonts w:ascii="Arial" w:cs="Arial" w:eastAsia="Arial" w:hAnsi="Arial"/>
          <w:sz w:val="11"/>
          <w:szCs w:val="11"/>
          <w:color w:val="auto"/>
        </w:rPr>
        <w:t>The Company calculates Adjusted EBITDA by adjusting Core FFO to exclude interest expense, preferred dividends, tax expense or benefit, earnings from equity method investments, placement fees, and for the Digital Operating segment, restructuring, transaction and integration costs, and revenues and corresponding costs related to the delivery of services that are not ongoing, such as installation services. The Company uses Adjusted EBITDA as a supplemental measure of our performance because they eliminate depreciation, amortization, and the impact of the capital structure from its operating results. However, because Adjusted EBITDA is calculated before recurring cash charges including interest expense and taxes and are not adjusted for capital expenditures or other recurring cash requirements, their utilization as a cash flow measurement is limited.</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Assets Under Management (AUM)</w:t>
      </w:r>
    </w:p>
    <w:p>
      <w:pPr>
        <w:spacing w:after="0" w:line="48" w:lineRule="exact"/>
        <w:rPr>
          <w:sz w:val="20"/>
          <w:szCs w:val="20"/>
          <w:color w:val="auto"/>
        </w:rPr>
      </w:pPr>
    </w:p>
    <w:p>
      <w:pPr>
        <w:ind w:right="40"/>
        <w:spacing w:after="0" w:line="273" w:lineRule="auto"/>
        <w:rPr>
          <w:sz w:val="20"/>
          <w:szCs w:val="20"/>
          <w:color w:val="auto"/>
        </w:rPr>
      </w:pPr>
      <w:r>
        <w:rPr>
          <w:rFonts w:ascii="Arial" w:cs="Arial" w:eastAsia="Arial" w:hAnsi="Arial"/>
          <w:sz w:val="10"/>
          <w:szCs w:val="10"/>
          <w:color w:val="auto"/>
        </w:rPr>
        <w:t>Assets owned by the Company’s balance sheet and assets for which the Company and its affiliates provide investment management services, including assets for which the Company may or may not charge management fees and/or performance allocations. Balance sheet AUM is based on the undepreciated carrying value of digital investments and the impaired carrying value of non digital investments as of the report date. Investment management AUM is based on the cost basis of managed investments as reported by each underlying vehicle as of the report date. AUM further includes uncalled capital commitments, but excludes CLNY OP’s share of non wholly-owned real estate investment management platform’s AUM. The Company's calculations of AUM may differ from the calculations of other asset managers, and as a result, this measure may not be comparable to similar measures presented by other asset managers.</w:t>
      </w:r>
    </w:p>
    <w:p>
      <w:pPr>
        <w:spacing w:after="0" w:line="7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CLNY Operating Partnership (CLNY OP)</w:t>
      </w:r>
    </w:p>
    <w:p>
      <w:pPr>
        <w:spacing w:after="0" w:line="48" w:lineRule="exact"/>
        <w:rPr>
          <w:sz w:val="20"/>
          <w:szCs w:val="20"/>
          <w:color w:val="auto"/>
        </w:rPr>
      </w:pPr>
    </w:p>
    <w:p>
      <w:pPr>
        <w:ind w:right="240"/>
        <w:spacing w:after="0"/>
        <w:rPr>
          <w:sz w:val="20"/>
          <w:szCs w:val="20"/>
          <w:color w:val="auto"/>
        </w:rPr>
      </w:pPr>
      <w:r>
        <w:rPr>
          <w:rFonts w:ascii="Arial" w:cs="Arial" w:eastAsia="Arial" w:hAnsi="Arial"/>
          <w:sz w:val="11"/>
          <w:szCs w:val="11"/>
          <w:color w:val="auto"/>
        </w:rPr>
        <w:t>The operating partnership through which the Company conducts all of its activities and holds substantially all of its assets and liabilities. The Company is the sole managing member of, and directly owns approximately 90% of the common units in, CLNY OP. The remaining common units in CLNY OP are held primarily by current and former employees of the Company. Each common unit is redeemable at the election of the holder for cash equal to the then fair value of one share of the Company’s Class A common stock or, at the Company’s option, one share of the Company’s Class A common stock. CLNY OP share excludes noncontrolling interests in investment entities. Throughout this presentation, consolidated figures represent the interest of both the Company (and its subsidiary Colony Capital Operating Company or the “CLNY OP”) and noncontrolling interests. Figures labeled as CLNY OP share represent the Company’s pro-rata share.</w:t>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Digital Operating Earnings before Interest, Taxes, Depreciation and Amortization for Real Estate (EBITDAre) and Adjusted EBITDA</w:t>
      </w:r>
    </w:p>
    <w:p>
      <w:pPr>
        <w:spacing w:after="0" w:line="48" w:lineRule="exact"/>
        <w:rPr>
          <w:sz w:val="20"/>
          <w:szCs w:val="20"/>
          <w:color w:val="auto"/>
        </w:rPr>
      </w:pPr>
    </w:p>
    <w:p>
      <w:pPr>
        <w:ind w:right="60"/>
        <w:spacing w:after="0"/>
        <w:rPr>
          <w:sz w:val="20"/>
          <w:szCs w:val="20"/>
          <w:color w:val="auto"/>
        </w:rPr>
      </w:pPr>
      <w:r>
        <w:rPr>
          <w:rFonts w:ascii="Arial" w:cs="Arial" w:eastAsia="Arial" w:hAnsi="Arial"/>
          <w:sz w:val="11"/>
          <w:szCs w:val="11"/>
          <w:color w:val="auto"/>
        </w:rPr>
        <w:t>The Company calculates EBITDAre in accordance with the standards established by the National Association of Real Estate Investment Trusts, which defines EBITDAre as net income or loss calculated in accordance with GAAP, excluding interest, taxes, depreciation and amortization, gains or losses from the sale of depreciated property, and impairment of depreciated property. The Company calculates Adjusted EBITDA by adjusting EBITDAre for the effects of straight-line rental income/expense adjustments and amortization of acquired above- and below-market lease adjustments to rental income, equity-based compensation expense, restructuring and integration costs, transaction costs from unsuccessful deals and business combinations, litigation expense, the impact of other impairment charges, gains or losses from sales of undepreciated land, and gains or losses on early extinguishment of debt and hedging instruments. Revenues and corresponding costs related to the delivery of services that are not ongoing, such as installation services, are also excluded from Adjusted EBITDA. The Company uses EBITDAre and Adjusted EBITDA as supplemental measures of our performance because they eliminate depreciation, amortization, and the impact of the capital structure from its operating results. However, because EBITDAre and Adjusted EBITDA are calculated before recurring cash charges including interest expense and taxes and are not adjusted for capital expenditures or other recurring cash requirements, their utilization as a cash flow measurement is limited.</w:t>
      </w:r>
    </w:p>
    <w:p>
      <w:pPr>
        <w:spacing w:after="0" w:line="9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Fee-Earning Equity Under Management (FEEUM)</w:t>
      </w:r>
    </w:p>
    <w:p>
      <w:pPr>
        <w:spacing w:after="0" w:line="48"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Equity for which the Company and its affiliates provides investment management services and derives management fees and/or performance allocations. FEEUM generally represents the basis used to derive fees, which may be based on invested equity, stockholders’ equity, or fair value pursuant to the terms of each underlying investment management agreement. The Company's calculations of FEEUM may differ materially from the calculations of other asset managers, and as a result, this measure may not be comparable to similar measures presented by other asset managers.</w:t>
      </w:r>
    </w:p>
    <w:p>
      <w:pPr>
        <w:spacing w:after="0" w:line="9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Fee Related Earnings (FRE)</w:t>
      </w:r>
    </w:p>
    <w:p>
      <w:pPr>
        <w:spacing w:after="0" w:line="48" w:lineRule="exact"/>
        <w:rPr>
          <w:sz w:val="20"/>
          <w:szCs w:val="20"/>
          <w:color w:val="auto"/>
        </w:rPr>
      </w:pPr>
    </w:p>
    <w:p>
      <w:pPr>
        <w:jc w:val="both"/>
        <w:ind w:right="240"/>
        <w:spacing w:after="0" w:line="278" w:lineRule="auto"/>
        <w:rPr>
          <w:sz w:val="20"/>
          <w:szCs w:val="20"/>
          <w:color w:val="auto"/>
        </w:rPr>
      </w:pPr>
      <w:r>
        <w:rPr>
          <w:rFonts w:ascii="Arial" w:cs="Arial" w:eastAsia="Arial" w:hAnsi="Arial"/>
          <w:sz w:val="10"/>
          <w:szCs w:val="10"/>
          <w:color w:val="auto"/>
        </w:rPr>
        <w:t>The Company calculates FRE for its investment management business within the digital segment as base management fees, other service fee income, and other income inclusive of cost reimbursements, less compensation expense (excluding equity-based compensation), administrative expenses (excluding fund raising placement agent fee expenses), and other operating expenses related to the investment management business. The Company uses FRE as a supplemental performance measure as it may provide additional insight into the profitability of the overall digital investment management business. FRE is presented prior to the deduction for Wafra's 31.5% interest.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w:t>
      </w:r>
    </w:p>
    <w:p>
      <w:pPr>
        <w:sectPr>
          <w:pgSz w:w="11900" w:h="16838" w:orient="portrait"/>
          <w:cols w:equalWidth="0" w:num="1">
            <w:col w:w="11300"/>
          </w:cols>
          <w:pgMar w:left="300" w:top="1038"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819785</wp:posOffset>
            </wp:positionH>
            <wp:positionV relativeFrom="page">
              <wp:posOffset>197485</wp:posOffset>
            </wp:positionV>
            <wp:extent cx="1057275" cy="217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57275" cy="217170"/>
                    </a:xfrm>
                    <a:prstGeom prst="rect">
                      <a:avLst/>
                    </a:prstGeom>
                    <a:noFill/>
                  </pic:spPr>
                </pic:pic>
              </a:graphicData>
            </a:graphic>
          </wp:anchor>
        </w:drawing>
        <w:t>Funds From Operations (FFO) and Core Funds From Operations (Core FFO)</w:t>
      </w:r>
    </w:p>
    <w:p>
      <w:pPr>
        <w:spacing w:after="0" w:line="48" w:lineRule="exact"/>
        <w:rPr>
          <w:sz w:val="20"/>
          <w:szCs w:val="20"/>
          <w:color w:val="auto"/>
        </w:rPr>
      </w:pPr>
    </w:p>
    <w:p>
      <w:pPr>
        <w:ind w:right="100"/>
        <w:spacing w:after="0" w:line="241" w:lineRule="auto"/>
        <w:rPr>
          <w:sz w:val="20"/>
          <w:szCs w:val="20"/>
          <w:color w:val="auto"/>
        </w:rPr>
      </w:pPr>
      <w:r>
        <w:rPr>
          <w:rFonts w:ascii="Arial" w:cs="Arial" w:eastAsia="Arial" w:hAnsi="Arial"/>
          <w:sz w:val="11"/>
          <w:szCs w:val="11"/>
          <w:color w:val="auto"/>
        </w:rPr>
        <w:t>The Company calculates funds from operations (FFO) in accordance with standards established by the National Association of Real Estate Investment Trusts, which defines FFO as net income or loss calculated in accordance with GAAP, excluding (i) extraordinary items, as defined by GAAP; (ii) gains and losses from sales of depreciable real estate; (iii) impairment write-downs associated with depreciable real estate; (iv) gains and losses from a change in control in connection with interests in depreciable real estate or in-substance real estate, plus (v) real estate-related depreciation and amortization; and (vi) including similar adjustments for equity method investments. Included in FFO are gains and losses from sales of assets which are not depreciable real estate such as loans receivable, equity method investments, as well as equity and debt securities, as applicable.</w:t>
      </w:r>
    </w:p>
    <w:p>
      <w:pPr>
        <w:spacing w:after="0" w:line="32" w:lineRule="exact"/>
        <w:rPr>
          <w:sz w:val="20"/>
          <w:szCs w:val="20"/>
          <w:color w:val="auto"/>
        </w:rPr>
      </w:pPr>
    </w:p>
    <w:p>
      <w:pPr>
        <w:ind w:right="60"/>
        <w:spacing w:after="0" w:line="269" w:lineRule="auto"/>
        <w:rPr>
          <w:sz w:val="20"/>
          <w:szCs w:val="20"/>
          <w:color w:val="auto"/>
        </w:rPr>
      </w:pPr>
      <w:r>
        <w:rPr>
          <w:rFonts w:ascii="Arial" w:cs="Arial" w:eastAsia="Arial" w:hAnsi="Arial"/>
          <w:sz w:val="10"/>
          <w:szCs w:val="10"/>
          <w:color w:val="auto"/>
        </w:rPr>
        <w:t>The Company computes core funds from operations (Core FFO) by adjusting FFO for the following items, including the Company’s share of these items recognized by its unconsolidated partnerships and joint ventures: (i) equity-based compensation expense; (ii) effects of straight-line rent revenue and expense; (iii) amortization of acquired above- and below-market lease values; (iv) debt prepayment penalties and amortization of deferred financing costs and debt premiums and discounts; (v) non-real estate depreciation, amortization and impairment; (vi) restructuring and transaction-related charges; (vii) non-real estate loss (gain), fair value loss (gain) on interest rate and foreign currency hedges, and foreign currency remeasurements except realized gain and loss from the Digital Other segment; (viii) net unrealized carried interest; and (ix) deferred taxes and the tax effect on certain of the foregoing adjustments. The Company’s Core FFO from its interest in Colony Credit Real Estate (NYSE: CLNC) represented the cash dividends declared in the reported period. The Company excluded results from discontinued operations in its calculation of Core FFO and applied this exclusion to prior periods. Beginning with the first quarter 2021, the Company revised the computation of Core FFO and applied this revised computation methodology to prior periods presented.</w:t>
      </w:r>
    </w:p>
    <w:p>
      <w:pPr>
        <w:spacing w:after="0" w:line="19" w:lineRule="exact"/>
        <w:rPr>
          <w:sz w:val="20"/>
          <w:szCs w:val="20"/>
          <w:color w:val="auto"/>
        </w:rPr>
      </w:pPr>
    </w:p>
    <w:p>
      <w:pPr>
        <w:spacing w:after="0" w:line="245" w:lineRule="auto"/>
        <w:rPr>
          <w:sz w:val="20"/>
          <w:szCs w:val="20"/>
          <w:color w:val="auto"/>
        </w:rPr>
      </w:pPr>
      <w:r>
        <w:rPr>
          <w:rFonts w:ascii="Arial" w:cs="Arial" w:eastAsia="Arial" w:hAnsi="Arial"/>
          <w:sz w:val="11"/>
          <w:szCs w:val="11"/>
          <w:color w:val="auto"/>
        </w:rPr>
        <w:t>FFO and Core FFO should not be considered alternatives to GAAP net income as indications of operating performance, or to cash flows from operating activities as measures of liquidity, nor as indications of the availability of funds for our cash needs, including funds available to make distributions. FFO and Core FFO should not be used as supplements to or substitutes for cash flow from operating activities computed in accordance with GAAP.</w:t>
      </w:r>
    </w:p>
    <w:p>
      <w:pPr>
        <w:spacing w:after="0" w:line="30" w:lineRule="exact"/>
        <w:rPr>
          <w:sz w:val="20"/>
          <w:szCs w:val="20"/>
          <w:color w:val="auto"/>
        </w:rPr>
      </w:pPr>
    </w:p>
    <w:p>
      <w:pPr>
        <w:ind w:right="20"/>
        <w:spacing w:after="0"/>
        <w:rPr>
          <w:sz w:val="20"/>
          <w:szCs w:val="20"/>
          <w:color w:val="auto"/>
        </w:rPr>
      </w:pPr>
      <w:r>
        <w:rPr>
          <w:rFonts w:ascii="Arial" w:cs="Arial" w:eastAsia="Arial" w:hAnsi="Arial"/>
          <w:sz w:val="11"/>
          <w:szCs w:val="11"/>
          <w:color w:val="auto"/>
        </w:rPr>
        <w:t>The Company uses FFO and Core FFO as supplemental performance measures because, in excluding real estate depreciation and amortization and gains and losses, it provides a performance measure that captures trends in occupancy rates, rental rates, and operating costs, and such a measure is useful to investors as it excludes periodic gains and losses from sales of investments that are not representative of its ongoing operations. The Company also believes that, as widely recognized measures of the performance of REITs, FFO and Core FFO will be used by investors as a basis to compare its operating performance with that of other REITs. However, because FFO and Core FFO exclude depreciation and amortization and capture neither the changes in the value of the Company’s properties that resulted from use or market conditions nor the level of capital expenditures and leasing commissions necessary to maintain the operating performance of its properties, all of which have real economic effect and could materially impact the Company’s results from operations, the utility of FFO and Core FFO as measures of the Company’s performance is limited. FFO and Core FFO should be considered only as supplements to GAAP net income as a measure of the Company’s performance. Additionally, Core FFO excludes the impact of certain fair value fluctuations, which, if they were to be realized, could have a material impact on the Company’s operating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Net Operating Income (NOI)</w:t>
      </w:r>
    </w:p>
    <w:p>
      <w:pPr>
        <w:spacing w:after="0" w:line="48" w:lineRule="exact"/>
        <w:rPr>
          <w:sz w:val="20"/>
          <w:szCs w:val="20"/>
          <w:color w:val="auto"/>
        </w:rPr>
      </w:pPr>
    </w:p>
    <w:p>
      <w:pPr>
        <w:ind w:right="80"/>
        <w:spacing w:after="0" w:line="245" w:lineRule="auto"/>
        <w:rPr>
          <w:sz w:val="20"/>
          <w:szCs w:val="20"/>
          <w:color w:val="auto"/>
        </w:rPr>
      </w:pPr>
      <w:r>
        <w:rPr>
          <w:rFonts w:ascii="Arial" w:cs="Arial" w:eastAsia="Arial" w:hAnsi="Arial"/>
          <w:sz w:val="11"/>
          <w:szCs w:val="11"/>
          <w:color w:val="auto"/>
        </w:rPr>
        <w:t>NOI for our real estate segments represents total property and related income less property operating expenses, adjusted for the effects of (i) straight-line rental income adjustments; (ii) amortization of acquired above- and below-market lease adjustments to rental income; and (iii) other items such as adjustments for the Company’s share of NOI of unconsolidated ventures.</w:t>
      </w:r>
    </w:p>
    <w:p>
      <w:pPr>
        <w:spacing w:after="0" w:line="30" w:lineRule="exact"/>
        <w:rPr>
          <w:sz w:val="20"/>
          <w:szCs w:val="20"/>
          <w:color w:val="auto"/>
        </w:rPr>
      </w:pPr>
    </w:p>
    <w:p>
      <w:pPr>
        <w:ind w:right="40"/>
        <w:spacing w:after="0" w:line="242" w:lineRule="auto"/>
        <w:rPr>
          <w:sz w:val="20"/>
          <w:szCs w:val="20"/>
          <w:color w:val="auto"/>
        </w:rPr>
      </w:pPr>
      <w:r>
        <w:rPr>
          <w:rFonts w:ascii="Arial" w:cs="Arial" w:eastAsia="Arial" w:hAnsi="Arial"/>
          <w:sz w:val="11"/>
          <w:szCs w:val="11"/>
          <w:color w:val="auto"/>
        </w:rPr>
        <w:t>The Company believes that NOI is a useful measure of operating performance of its respective real estate portfolios as it is more closely linked to the direct results of operations at the property level. NOI also reflects actual rents received during the period after adjusting for the effects of straight-line rents and amortization of above- and below- market leases; therefore, a comparison of NOI across periods better reflects the trend in occupancy rates and rental rates of the Company’s properties.</w:t>
      </w:r>
    </w:p>
    <w:p>
      <w:pPr>
        <w:spacing w:after="0" w:line="31" w:lineRule="exact"/>
        <w:rPr>
          <w:sz w:val="20"/>
          <w:szCs w:val="20"/>
          <w:color w:val="auto"/>
        </w:rPr>
      </w:pPr>
    </w:p>
    <w:p>
      <w:pPr>
        <w:ind w:right="60"/>
        <w:spacing w:after="0"/>
        <w:rPr>
          <w:sz w:val="20"/>
          <w:szCs w:val="20"/>
          <w:color w:val="auto"/>
        </w:rPr>
      </w:pPr>
      <w:r>
        <w:rPr>
          <w:rFonts w:ascii="Arial" w:cs="Arial" w:eastAsia="Arial" w:hAnsi="Arial"/>
          <w:sz w:val="11"/>
          <w:szCs w:val="11"/>
          <w:color w:val="auto"/>
        </w:rPr>
        <w:t>NOI excludes historical cost depreciation and amortization, which are based on different useful life estimates depending on the age of the properties, as well as adjust for the effects of real estate impairment and gains or losses on sales of depreciated properties, which eliminate differences arising from investment and disposition decisions. This allows for comparability of operating performance of the Company’s properties period over period and also against the results of other equity REITs in the same sectors. Additionally, by excluding corporate level expenses or benefits such as interest expense, any gain or loss on early extinguishment of debt and income taxes, which are incurred by the parent entity and are not directly linked to the operating performance of the Company’s properties, NOI provides a measure of operating performance independent of the Company’s capital structure and indebtedness. However, the exclusion of these items as well as others, such as capital expenditures and leasing costs, which are necessary to maintain the operating performance of the Company’s properties, and transaction costs and administrative costs, may limit the usefulness of NOI. NOI may fail to capture significant trends in these components of U.S. GAAP net income (loss) which further limits its usefulness.</w:t>
      </w:r>
    </w:p>
    <w:p>
      <w:pPr>
        <w:spacing w:after="0" w:line="33" w:lineRule="exact"/>
        <w:rPr>
          <w:sz w:val="20"/>
          <w:szCs w:val="20"/>
          <w:color w:val="auto"/>
        </w:rPr>
      </w:pPr>
    </w:p>
    <w:p>
      <w:pPr>
        <w:ind w:right="100"/>
        <w:spacing w:after="0" w:line="242" w:lineRule="auto"/>
        <w:rPr>
          <w:sz w:val="20"/>
          <w:szCs w:val="20"/>
          <w:color w:val="auto"/>
        </w:rPr>
      </w:pPr>
      <w:r>
        <w:rPr>
          <w:rFonts w:ascii="Arial" w:cs="Arial" w:eastAsia="Arial" w:hAnsi="Arial"/>
          <w:sz w:val="11"/>
          <w:szCs w:val="11"/>
          <w:color w:val="auto"/>
        </w:rPr>
        <w:t>NOI should not be considered as an alternative to net income (loss), determined in accordance with U.S. GAAP, as an indicator of operating performance. In addition, the Company’s methodology for calculating NOI involves subjective judgment and discretion and may differ from the methodologies used by other comparable companies, including other REITs, when calculating the same or similar supplemental financial measures and may not be comparable with other companies.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(FINANCIAL TABLES FOLLOW)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w:t>
      </w:r>
    </w:p>
    <w:p>
      <w:pPr>
        <w:sectPr>
          <w:pgSz w:w="11900" w:h="16838" w:orient="portrait"/>
          <w:cols w:equalWidth="0" w:num="1">
            <w:col w:w="11300"/>
          </w:cols>
          <w:pgMar w:left="300" w:top="1038" w:right="299" w:bottom="1440" w:gutter="0" w:footer="0" w:header="0"/>
        </w:sectPr>
      </w:pPr>
    </w:p>
    <w:bookmarkStart w:id="9" w:name="page10"/>
    <w:bookmarkEnd w:id="9"/>
    <w:p>
      <w:pPr>
        <w:ind w:left="470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819785</wp:posOffset>
            </wp:positionH>
            <wp:positionV relativeFrom="page">
              <wp:posOffset>197485</wp:posOffset>
            </wp:positionV>
            <wp:extent cx="1057275" cy="217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57275" cy="217170"/>
                    </a:xfrm>
                    <a:prstGeom prst="rect">
                      <a:avLst/>
                    </a:prstGeom>
                    <a:noFill/>
                  </pic:spPr>
                </pic:pic>
              </a:graphicData>
            </a:graphic>
          </wp:anchor>
        </w:drawing>
        <w:t>CONSOLIDATED BALANCE SHEETS</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1"/>
          <w:szCs w:val="11"/>
          <w:b w:val="1"/>
          <w:bCs w:val="1"/>
          <w:color w:val="auto"/>
        </w:rPr>
        <w:t>(In thousands, except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7480" w:type="dxa"/>
            <w:vAlign w:val="bottom"/>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March 31, 2021</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429"/>
              <w:spacing w:after="0"/>
              <w:rPr>
                <w:sz w:val="20"/>
                <w:szCs w:val="20"/>
                <w:color w:val="auto"/>
              </w:rPr>
            </w:pPr>
            <w:r>
              <w:rPr>
                <w:rFonts w:ascii="Arial" w:cs="Arial" w:eastAsia="Arial" w:hAnsi="Arial"/>
                <w:sz w:val="8"/>
                <w:szCs w:val="8"/>
                <w:b w:val="1"/>
                <w:bCs w:val="1"/>
                <w:color w:val="auto"/>
              </w:rPr>
              <w:t>December 31, 2020</w:t>
            </w:r>
          </w:p>
        </w:tc>
      </w:tr>
      <w:tr>
        <w:trPr>
          <w:trHeight w:val="106"/>
        </w:trPr>
        <w:tc>
          <w:tcPr>
            <w:tcW w:w="7480" w:type="dxa"/>
            <w:vAlign w:val="bottom"/>
          </w:tcPr>
          <w:p>
            <w:pPr>
              <w:spacing w:after="0"/>
              <w:rPr>
                <w:sz w:val="9"/>
                <w:szCs w:val="9"/>
                <w:color w:val="auto"/>
              </w:rPr>
            </w:pPr>
          </w:p>
        </w:tc>
        <w:tc>
          <w:tcPr>
            <w:tcW w:w="1140" w:type="dxa"/>
            <w:vAlign w:val="bottom"/>
          </w:tcPr>
          <w:p>
            <w:pPr>
              <w:jc w:val="right"/>
              <w:ind w:right="32"/>
              <w:spacing w:after="0"/>
              <w:rPr>
                <w:sz w:val="20"/>
                <w:szCs w:val="20"/>
                <w:color w:val="auto"/>
              </w:rPr>
            </w:pPr>
            <w:r>
              <w:rPr>
                <w:rFonts w:ascii="Arial" w:cs="Arial" w:eastAsia="Arial" w:hAnsi="Arial"/>
                <w:sz w:val="8"/>
                <w:szCs w:val="8"/>
                <w:color w:val="auto"/>
              </w:rPr>
              <w:t>(unaudited)</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41"/>
        </w:trPr>
        <w:tc>
          <w:tcPr>
            <w:tcW w:w="7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6"/>
        </w:trPr>
        <w:tc>
          <w:tcPr>
            <w:tcW w:w="7480" w:type="dxa"/>
            <w:vAlign w:val="bottom"/>
          </w:tcPr>
          <w:p>
            <w:pPr>
              <w:ind w:left="140"/>
              <w:spacing w:after="0"/>
              <w:rPr>
                <w:sz w:val="20"/>
                <w:szCs w:val="20"/>
                <w:color w:val="auto"/>
              </w:rPr>
            </w:pPr>
            <w:r>
              <w:rPr>
                <w:rFonts w:ascii="Arial" w:cs="Arial" w:eastAsia="Arial" w:hAnsi="Arial"/>
                <w:sz w:val="10"/>
                <w:szCs w:val="10"/>
                <w:color w:val="auto"/>
              </w:rPr>
              <w:t>Cash and cash equivalents</w:t>
            </w:r>
          </w:p>
        </w:tc>
        <w:tc>
          <w:tcPr>
            <w:tcW w:w="1140" w:type="dxa"/>
            <w:vAlign w:val="bottom"/>
          </w:tcPr>
          <w:p>
            <w:pPr>
              <w:jc w:val="right"/>
              <w:ind w:right="103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788,361</w:t>
            </w:r>
          </w:p>
        </w:tc>
        <w:tc>
          <w:tcPr>
            <w:tcW w:w="100" w:type="dxa"/>
            <w:vAlign w:val="bottom"/>
          </w:tcPr>
          <w:p>
            <w:pPr>
              <w:spacing w:after="0"/>
              <w:rPr>
                <w:sz w:val="12"/>
                <w:szCs w:val="12"/>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703,544</w:t>
            </w:r>
          </w:p>
        </w:tc>
      </w:tr>
      <w:tr>
        <w:trPr>
          <w:trHeight w:val="143"/>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Restricted cash</w:t>
            </w: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125,959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114,952</w:t>
            </w:r>
          </w:p>
        </w:tc>
      </w:tr>
      <w:tr>
        <w:trPr>
          <w:trHeight w:val="132"/>
        </w:trPr>
        <w:tc>
          <w:tcPr>
            <w:tcW w:w="7480" w:type="dxa"/>
            <w:vAlign w:val="bottom"/>
          </w:tcPr>
          <w:p>
            <w:pPr>
              <w:ind w:left="140"/>
              <w:spacing w:after="0"/>
              <w:rPr>
                <w:sz w:val="20"/>
                <w:szCs w:val="20"/>
                <w:color w:val="auto"/>
              </w:rPr>
            </w:pPr>
            <w:r>
              <w:rPr>
                <w:rFonts w:ascii="Arial" w:cs="Arial" w:eastAsia="Arial" w:hAnsi="Arial"/>
                <w:sz w:val="10"/>
                <w:szCs w:val="10"/>
                <w:color w:val="auto"/>
              </w:rPr>
              <w:t>Real estate, net</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7,702,711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7,809,964</w:t>
            </w:r>
          </w:p>
        </w:tc>
      </w:tr>
      <w:tr>
        <w:trPr>
          <w:trHeight w:val="138"/>
        </w:trPr>
        <w:tc>
          <w:tcPr>
            <w:tcW w:w="7480" w:type="dxa"/>
            <w:vAlign w:val="bottom"/>
            <w:shd w:val="clear" w:color="auto" w:fill="CCEEFF"/>
          </w:tcPr>
          <w:p>
            <w:pPr>
              <w:ind w:left="260"/>
              <w:spacing w:after="0"/>
              <w:rPr>
                <w:sz w:val="20"/>
                <w:szCs w:val="20"/>
                <w:color w:val="auto"/>
              </w:rPr>
            </w:pPr>
            <w:r>
              <w:rPr>
                <w:rFonts w:ascii="Arial" w:cs="Arial" w:eastAsia="Arial" w:hAnsi="Arial"/>
                <w:sz w:val="10"/>
                <w:szCs w:val="10"/>
                <w:color w:val="auto"/>
              </w:rPr>
              <w:t>Loans receivable</w:t>
            </w: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85,272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84,030</w:t>
            </w:r>
          </w:p>
        </w:tc>
      </w:tr>
      <w:tr>
        <w:trPr>
          <w:trHeight w:val="132"/>
        </w:trPr>
        <w:tc>
          <w:tcPr>
            <w:tcW w:w="7480" w:type="dxa"/>
            <w:vAlign w:val="bottom"/>
          </w:tcPr>
          <w:p>
            <w:pPr>
              <w:ind w:left="260"/>
              <w:spacing w:after="0"/>
              <w:rPr>
                <w:sz w:val="20"/>
                <w:szCs w:val="20"/>
                <w:color w:val="auto"/>
              </w:rPr>
            </w:pPr>
            <w:r>
              <w:rPr>
                <w:rFonts w:ascii="Arial" w:cs="Arial" w:eastAsia="Arial" w:hAnsi="Arial"/>
                <w:sz w:val="10"/>
                <w:szCs w:val="10"/>
                <w:color w:val="auto"/>
              </w:rPr>
              <w:t>Equity and debt investments</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777,819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876,703</w:t>
            </w:r>
          </w:p>
        </w:tc>
      </w:tr>
      <w:tr>
        <w:trPr>
          <w:trHeight w:val="138"/>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Goodwill</w:t>
            </w: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761,368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761,368</w:t>
            </w:r>
          </w:p>
        </w:tc>
      </w:tr>
      <w:tr>
        <w:trPr>
          <w:trHeight w:val="132"/>
        </w:trPr>
        <w:tc>
          <w:tcPr>
            <w:tcW w:w="7480" w:type="dxa"/>
            <w:vAlign w:val="bottom"/>
          </w:tcPr>
          <w:p>
            <w:pPr>
              <w:ind w:left="140"/>
              <w:spacing w:after="0"/>
              <w:rPr>
                <w:sz w:val="20"/>
                <w:szCs w:val="20"/>
                <w:color w:val="auto"/>
              </w:rPr>
            </w:pPr>
            <w:r>
              <w:rPr>
                <w:rFonts w:ascii="Arial" w:cs="Arial" w:eastAsia="Arial" w:hAnsi="Arial"/>
                <w:sz w:val="10"/>
                <w:szCs w:val="10"/>
                <w:color w:val="auto"/>
              </w:rPr>
              <w:t>Deferred leasing costs and intangible assets, net</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1,392,528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1,467,725</w:t>
            </w:r>
          </w:p>
        </w:tc>
      </w:tr>
      <w:tr>
        <w:trPr>
          <w:trHeight w:val="138"/>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Assets held for disposition</w:t>
            </w: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4,094,657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7,426,268</w:t>
            </w:r>
          </w:p>
        </w:tc>
      </w:tr>
      <w:tr>
        <w:trPr>
          <w:trHeight w:val="132"/>
        </w:trPr>
        <w:tc>
          <w:tcPr>
            <w:tcW w:w="7480" w:type="dxa"/>
            <w:vAlign w:val="bottom"/>
          </w:tcPr>
          <w:p>
            <w:pPr>
              <w:ind w:left="140"/>
              <w:spacing w:after="0"/>
              <w:rPr>
                <w:sz w:val="20"/>
                <w:szCs w:val="20"/>
                <w:color w:val="auto"/>
              </w:rPr>
            </w:pPr>
            <w:r>
              <w:rPr>
                <w:rFonts w:ascii="Arial" w:cs="Arial" w:eastAsia="Arial" w:hAnsi="Arial"/>
                <w:sz w:val="10"/>
                <w:szCs w:val="10"/>
                <w:color w:val="auto"/>
              </w:rPr>
              <w:t>Other assets</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834,318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886,817</w:t>
            </w:r>
          </w:p>
        </w:tc>
      </w:tr>
      <w:tr>
        <w:trPr>
          <w:trHeight w:val="138"/>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Due from affiliates</w:t>
            </w:r>
          </w:p>
        </w:tc>
        <w:tc>
          <w:tcPr>
            <w:tcW w:w="1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62,257</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69,189</w:t>
            </w:r>
          </w:p>
        </w:tc>
      </w:tr>
      <w:tr>
        <w:trPr>
          <w:trHeight w:val="142"/>
        </w:trPr>
        <w:tc>
          <w:tcPr>
            <w:tcW w:w="74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Total assets</w:t>
            </w: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9"/>
              </w:rPr>
              <w:t>16,625,250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20,200,560</w:t>
            </w:r>
          </w:p>
        </w:tc>
      </w:tr>
      <w:tr>
        <w:trPr>
          <w:trHeight w:val="115"/>
        </w:trPr>
        <w:tc>
          <w:tcPr>
            <w:tcW w:w="7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Liabilities</w:t>
            </w:r>
          </w:p>
        </w:tc>
        <w:tc>
          <w:tcPr>
            <w:tcW w:w="1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132"/>
        </w:trPr>
        <w:tc>
          <w:tcPr>
            <w:tcW w:w="7480" w:type="dxa"/>
            <w:vAlign w:val="bottom"/>
          </w:tcPr>
          <w:p>
            <w:pPr>
              <w:ind w:left="140"/>
              <w:spacing w:after="0"/>
              <w:rPr>
                <w:sz w:val="20"/>
                <w:szCs w:val="20"/>
                <w:color w:val="auto"/>
              </w:rPr>
            </w:pPr>
            <w:r>
              <w:rPr>
                <w:rFonts w:ascii="Arial" w:cs="Arial" w:eastAsia="Arial" w:hAnsi="Arial"/>
                <w:sz w:val="10"/>
                <w:szCs w:val="10"/>
                <w:color w:val="auto"/>
              </w:rPr>
              <w:t>Debt, net</w:t>
            </w:r>
          </w:p>
        </w:tc>
        <w:tc>
          <w:tcPr>
            <w:tcW w:w="1140" w:type="dxa"/>
            <w:vAlign w:val="bottom"/>
          </w:tcPr>
          <w:p>
            <w:pPr>
              <w:jc w:val="right"/>
              <w:ind w:right="103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6,877,291</w:t>
            </w:r>
          </w:p>
        </w:tc>
        <w:tc>
          <w:tcPr>
            <w:tcW w:w="100" w:type="dxa"/>
            <w:vAlign w:val="bottom"/>
          </w:tcPr>
          <w:p>
            <w:pPr>
              <w:spacing w:after="0"/>
              <w:rPr>
                <w:sz w:val="11"/>
                <w:szCs w:val="11"/>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6,872,350</w:t>
            </w:r>
          </w:p>
        </w:tc>
      </w:tr>
      <w:tr>
        <w:trPr>
          <w:trHeight w:val="138"/>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Accrued and other liabilities</w:t>
            </w: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1,036,218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1,193,601</w:t>
            </w:r>
          </w:p>
        </w:tc>
      </w:tr>
      <w:tr>
        <w:trPr>
          <w:trHeight w:val="132"/>
        </w:trPr>
        <w:tc>
          <w:tcPr>
            <w:tcW w:w="7480" w:type="dxa"/>
            <w:vAlign w:val="bottom"/>
          </w:tcPr>
          <w:p>
            <w:pPr>
              <w:ind w:left="140"/>
              <w:spacing w:after="0"/>
              <w:rPr>
                <w:sz w:val="20"/>
                <w:szCs w:val="20"/>
                <w:color w:val="auto"/>
              </w:rPr>
            </w:pPr>
            <w:r>
              <w:rPr>
                <w:rFonts w:ascii="Arial" w:cs="Arial" w:eastAsia="Arial" w:hAnsi="Arial"/>
                <w:sz w:val="10"/>
                <w:szCs w:val="10"/>
                <w:color w:val="auto"/>
              </w:rPr>
              <w:t>Intangible liabilities, net</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89,915</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93,852</w:t>
            </w:r>
          </w:p>
        </w:tc>
      </w:tr>
      <w:tr>
        <w:trPr>
          <w:trHeight w:val="138"/>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Liabilities related to assets held for disposition</w:t>
            </w: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1,936,643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4,731,772</w:t>
            </w:r>
          </w:p>
        </w:tc>
      </w:tr>
      <w:tr>
        <w:trPr>
          <w:trHeight w:val="132"/>
        </w:trPr>
        <w:tc>
          <w:tcPr>
            <w:tcW w:w="7480" w:type="dxa"/>
            <w:vAlign w:val="bottom"/>
          </w:tcPr>
          <w:p>
            <w:pPr>
              <w:ind w:left="140"/>
              <w:spacing w:after="0"/>
              <w:rPr>
                <w:sz w:val="20"/>
                <w:szCs w:val="20"/>
                <w:color w:val="auto"/>
              </w:rPr>
            </w:pPr>
            <w:r>
              <w:rPr>
                <w:rFonts w:ascii="Arial" w:cs="Arial" w:eastAsia="Arial" w:hAnsi="Arial"/>
                <w:sz w:val="10"/>
                <w:szCs w:val="10"/>
                <w:color w:val="auto"/>
              </w:rPr>
              <w:t>Due to affiliates</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408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601</w:t>
            </w:r>
          </w:p>
        </w:tc>
      </w:tr>
      <w:tr>
        <w:trPr>
          <w:trHeight w:val="138"/>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Dividends and distributions payable</w:t>
            </w:r>
          </w:p>
        </w:tc>
        <w:tc>
          <w:tcPr>
            <w:tcW w:w="1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18,516</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18,516</w:t>
            </w:r>
          </w:p>
        </w:tc>
      </w:tr>
      <w:tr>
        <w:trPr>
          <w:trHeight w:val="121"/>
        </w:trPr>
        <w:tc>
          <w:tcPr>
            <w:tcW w:w="74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Total liabilities</w:t>
            </w:r>
          </w:p>
        </w:tc>
        <w:tc>
          <w:tcPr>
            <w:tcW w:w="1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9,958,991</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12,910,692</w:t>
            </w:r>
          </w:p>
        </w:tc>
      </w:tr>
      <w:tr>
        <w:trPr>
          <w:trHeight w:val="118"/>
        </w:trPr>
        <w:tc>
          <w:tcPr>
            <w:tcW w:w="7480" w:type="dxa"/>
            <w:vAlign w:val="bottom"/>
            <w:shd w:val="clear" w:color="auto" w:fill="CCEEFF"/>
          </w:tcPr>
          <w:p>
            <w:pPr>
              <w:spacing w:after="0" w:line="112" w:lineRule="exact"/>
              <w:rPr>
                <w:sz w:val="20"/>
                <w:szCs w:val="20"/>
                <w:color w:val="auto"/>
              </w:rPr>
            </w:pPr>
            <w:r>
              <w:rPr>
                <w:rFonts w:ascii="Arial" w:cs="Arial" w:eastAsia="Arial" w:hAnsi="Arial"/>
                <w:sz w:val="10"/>
                <w:szCs w:val="10"/>
                <w:color w:val="auto"/>
              </w:rPr>
              <w:t>Commitments and contingencies</w:t>
            </w:r>
          </w:p>
        </w:tc>
        <w:tc>
          <w:tcPr>
            <w:tcW w:w="1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135"/>
        </w:trPr>
        <w:tc>
          <w:tcPr>
            <w:tcW w:w="7480" w:type="dxa"/>
            <w:vAlign w:val="bottom"/>
          </w:tcPr>
          <w:p>
            <w:pPr>
              <w:spacing w:after="0"/>
              <w:rPr>
                <w:sz w:val="20"/>
                <w:szCs w:val="20"/>
                <w:color w:val="auto"/>
              </w:rPr>
            </w:pPr>
            <w:r>
              <w:rPr>
                <w:rFonts w:ascii="Arial" w:cs="Arial" w:eastAsia="Arial" w:hAnsi="Arial"/>
                <w:sz w:val="10"/>
                <w:szCs w:val="10"/>
                <w:b w:val="1"/>
                <w:bCs w:val="1"/>
                <w:color w:val="auto"/>
              </w:rPr>
              <w:t>Redeemable noncontrolling interests</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315,922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305,278</w:t>
            </w:r>
          </w:p>
        </w:tc>
      </w:tr>
      <w:tr>
        <w:trPr>
          <w:trHeight w:val="135"/>
        </w:trPr>
        <w:tc>
          <w:tcPr>
            <w:tcW w:w="7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Equity</w:t>
            </w:r>
          </w:p>
        </w:tc>
        <w:tc>
          <w:tcPr>
            <w:tcW w:w="1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132"/>
        </w:trPr>
        <w:tc>
          <w:tcPr>
            <w:tcW w:w="7480" w:type="dxa"/>
            <w:vAlign w:val="bottom"/>
          </w:tcPr>
          <w:p>
            <w:pPr>
              <w:spacing w:after="0"/>
              <w:rPr>
                <w:sz w:val="20"/>
                <w:szCs w:val="20"/>
                <w:color w:val="auto"/>
              </w:rPr>
            </w:pPr>
            <w:r>
              <w:rPr>
                <w:rFonts w:ascii="Arial" w:cs="Arial" w:eastAsia="Arial" w:hAnsi="Arial"/>
                <w:sz w:val="10"/>
                <w:szCs w:val="10"/>
                <w:color w:val="auto"/>
              </w:rPr>
              <w:t>Stockholders’ equity:</w:t>
            </w:r>
          </w:p>
        </w:tc>
        <w:tc>
          <w:tcPr>
            <w:tcW w:w="1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38"/>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Preferred stock, $0.01 par value per share; $1,033,750 liquidation preference; 250,000 shares authorized; 41,350 shares issued and outstanding</w:t>
            </w: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999,490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999,490</w:t>
            </w:r>
          </w:p>
        </w:tc>
      </w:tr>
      <w:tr>
        <w:trPr>
          <w:trHeight w:val="132"/>
        </w:trPr>
        <w:tc>
          <w:tcPr>
            <w:tcW w:w="7480" w:type="dxa"/>
            <w:vAlign w:val="bottom"/>
          </w:tcPr>
          <w:p>
            <w:pPr>
              <w:ind w:left="140"/>
              <w:spacing w:after="0"/>
              <w:rPr>
                <w:sz w:val="20"/>
                <w:szCs w:val="20"/>
                <w:color w:val="auto"/>
              </w:rPr>
            </w:pPr>
            <w:r>
              <w:rPr>
                <w:rFonts w:ascii="Arial" w:cs="Arial" w:eastAsia="Arial" w:hAnsi="Arial"/>
                <w:sz w:val="10"/>
                <w:szCs w:val="10"/>
                <w:color w:val="auto"/>
              </w:rPr>
              <w:t>Common stock, $0.01 par value per share</w:t>
            </w:r>
          </w:p>
        </w:tc>
        <w:tc>
          <w:tcPr>
            <w:tcW w:w="1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38"/>
        </w:trPr>
        <w:tc>
          <w:tcPr>
            <w:tcW w:w="7480" w:type="dxa"/>
            <w:vAlign w:val="bottom"/>
            <w:shd w:val="clear" w:color="auto" w:fill="CCEEFF"/>
          </w:tcPr>
          <w:p>
            <w:pPr>
              <w:ind w:left="300"/>
              <w:spacing w:after="0"/>
              <w:rPr>
                <w:sz w:val="20"/>
                <w:szCs w:val="20"/>
                <w:color w:val="auto"/>
              </w:rPr>
            </w:pPr>
            <w:r>
              <w:rPr>
                <w:rFonts w:ascii="Arial" w:cs="Arial" w:eastAsia="Arial" w:hAnsi="Arial"/>
                <w:sz w:val="10"/>
                <w:szCs w:val="10"/>
                <w:color w:val="auto"/>
              </w:rPr>
              <w:t>Class A, 949,000 shares authorized; 487,103 and 483,406 shares issued and outstanding, respectively</w:t>
            </w: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4,871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4,834</w:t>
            </w:r>
          </w:p>
        </w:tc>
      </w:tr>
      <w:tr>
        <w:trPr>
          <w:trHeight w:val="132"/>
        </w:trPr>
        <w:tc>
          <w:tcPr>
            <w:tcW w:w="7480" w:type="dxa"/>
            <w:vAlign w:val="bottom"/>
          </w:tcPr>
          <w:p>
            <w:pPr>
              <w:ind w:left="300"/>
              <w:spacing w:after="0"/>
              <w:rPr>
                <w:sz w:val="20"/>
                <w:szCs w:val="20"/>
                <w:color w:val="auto"/>
              </w:rPr>
            </w:pPr>
            <w:r>
              <w:rPr>
                <w:rFonts w:ascii="Arial" w:cs="Arial" w:eastAsia="Arial" w:hAnsi="Arial"/>
                <w:sz w:val="10"/>
                <w:szCs w:val="10"/>
                <w:color w:val="auto"/>
              </w:rPr>
              <w:t>Class B, 1,000 shares authorized; 734 shares issued and outstanding</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7</w:t>
            </w:r>
          </w:p>
        </w:tc>
      </w:tr>
      <w:tr>
        <w:trPr>
          <w:trHeight w:val="138"/>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Additional paid-in capital</w:t>
            </w: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7,576,873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7,570,473</w:t>
            </w:r>
          </w:p>
        </w:tc>
      </w:tr>
      <w:tr>
        <w:trPr>
          <w:trHeight w:val="132"/>
        </w:trPr>
        <w:tc>
          <w:tcPr>
            <w:tcW w:w="7480" w:type="dxa"/>
            <w:vAlign w:val="bottom"/>
          </w:tcPr>
          <w:p>
            <w:pPr>
              <w:ind w:left="140"/>
              <w:spacing w:after="0"/>
              <w:rPr>
                <w:sz w:val="20"/>
                <w:szCs w:val="20"/>
                <w:color w:val="auto"/>
              </w:rPr>
            </w:pPr>
            <w:r>
              <w:rPr>
                <w:rFonts w:ascii="Arial" w:cs="Arial" w:eastAsia="Arial" w:hAnsi="Arial"/>
                <w:sz w:val="10"/>
                <w:szCs w:val="10"/>
                <w:color w:val="auto"/>
              </w:rPr>
              <w:t>Accumulated deficit</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(6,460,262)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(6,195,456)</w:t>
            </w:r>
          </w:p>
        </w:tc>
      </w:tr>
      <w:tr>
        <w:trPr>
          <w:trHeight w:val="138"/>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Accumulated other comprehensive income</w:t>
            </w:r>
          </w:p>
        </w:tc>
        <w:tc>
          <w:tcPr>
            <w:tcW w:w="1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101,056</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122,123</w:t>
            </w:r>
          </w:p>
        </w:tc>
      </w:tr>
      <w:tr>
        <w:trPr>
          <w:trHeight w:val="121"/>
        </w:trPr>
        <w:tc>
          <w:tcPr>
            <w:tcW w:w="7480" w:type="dxa"/>
            <w:vAlign w:val="bottom"/>
          </w:tcPr>
          <w:p>
            <w:pPr>
              <w:ind w:left="440"/>
              <w:spacing w:after="0" w:line="109" w:lineRule="exact"/>
              <w:rPr>
                <w:sz w:val="20"/>
                <w:szCs w:val="20"/>
                <w:color w:val="auto"/>
              </w:rPr>
            </w:pPr>
            <w:r>
              <w:rPr>
                <w:rFonts w:ascii="Arial" w:cs="Arial" w:eastAsia="Arial" w:hAnsi="Arial"/>
                <w:sz w:val="10"/>
                <w:szCs w:val="10"/>
                <w:color w:val="auto"/>
              </w:rPr>
              <w:t>Total stockholders’ equity</w:t>
            </w:r>
          </w:p>
        </w:tc>
        <w:tc>
          <w:tcPr>
            <w:tcW w:w="1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2,222,035</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2,501,471</w:t>
            </w:r>
          </w:p>
        </w:tc>
      </w:tr>
      <w:tr>
        <w:trPr>
          <w:trHeight w:val="138"/>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Noncontrolling interests in investment entities</w:t>
            </w: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4,003,905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4,327,372</w:t>
            </w:r>
          </w:p>
        </w:tc>
      </w:tr>
      <w:tr>
        <w:trPr>
          <w:trHeight w:val="132"/>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Noncontrolling interests in Operating Company</w:t>
            </w:r>
          </w:p>
        </w:tc>
        <w:tc>
          <w:tcPr>
            <w:tcW w:w="1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124,397</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155,747</w:t>
            </w:r>
          </w:p>
        </w:tc>
      </w:tr>
      <w:tr>
        <w:trPr>
          <w:trHeight w:val="127"/>
        </w:trPr>
        <w:tc>
          <w:tcPr>
            <w:tcW w:w="7480" w:type="dxa"/>
            <w:vAlign w:val="bottom"/>
            <w:shd w:val="clear" w:color="auto" w:fill="CCEEFF"/>
          </w:tcPr>
          <w:p>
            <w:pPr>
              <w:spacing w:after="0" w:line="112" w:lineRule="exact"/>
              <w:rPr>
                <w:sz w:val="20"/>
                <w:szCs w:val="20"/>
                <w:color w:val="auto"/>
              </w:rPr>
            </w:pPr>
            <w:r>
              <w:rPr>
                <w:rFonts w:ascii="Arial" w:cs="Arial" w:eastAsia="Arial" w:hAnsi="Arial"/>
                <w:sz w:val="10"/>
                <w:szCs w:val="10"/>
                <w:color w:val="auto"/>
              </w:rPr>
              <w:t>Total equity</w:t>
            </w:r>
          </w:p>
        </w:tc>
        <w:tc>
          <w:tcPr>
            <w:tcW w:w="1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6,350,337</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6,984,590</w:t>
            </w:r>
          </w:p>
        </w:tc>
      </w:tr>
      <w:tr>
        <w:trPr>
          <w:trHeight w:val="121"/>
        </w:trPr>
        <w:tc>
          <w:tcPr>
            <w:tcW w:w="7480" w:type="dxa"/>
            <w:vAlign w:val="bottom"/>
          </w:tcPr>
          <w:p>
            <w:pPr>
              <w:spacing w:after="0"/>
              <w:rPr>
                <w:sz w:val="20"/>
                <w:szCs w:val="20"/>
                <w:color w:val="auto"/>
              </w:rPr>
            </w:pPr>
            <w:r>
              <w:rPr>
                <w:rFonts w:ascii="Arial" w:cs="Arial" w:eastAsia="Arial" w:hAnsi="Arial"/>
                <w:sz w:val="10"/>
                <w:szCs w:val="10"/>
                <w:b w:val="1"/>
                <w:bCs w:val="1"/>
                <w:color w:val="auto"/>
              </w:rPr>
              <w:t>Total liabilities, redeemable noncontrolling interests and equity</w:t>
            </w: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9"/>
              </w:rPr>
              <w:t>16,625,250</w:t>
            </w:r>
          </w:p>
        </w:tc>
        <w:tc>
          <w:tcPr>
            <w:tcW w:w="10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20,200,560</w:t>
            </w:r>
          </w:p>
        </w:tc>
      </w:tr>
      <w:tr>
        <w:trPr>
          <w:trHeight w:val="20"/>
        </w:trPr>
        <w:tc>
          <w:tcPr>
            <w:tcW w:w="7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79"/>
        <w:spacing w:after="0"/>
        <w:rPr>
          <w:sz w:val="20"/>
          <w:szCs w:val="20"/>
          <w:color w:val="auto"/>
        </w:rPr>
      </w:pPr>
      <w:r>
        <w:rPr>
          <w:rFonts w:ascii="Arial" w:cs="Arial" w:eastAsia="Arial" w:hAnsi="Arial"/>
          <w:sz w:val="11"/>
          <w:szCs w:val="11"/>
          <w:color w:val="auto"/>
        </w:rPr>
        <w:t>7</w:t>
      </w:r>
    </w:p>
    <w:p>
      <w:pPr>
        <w:sectPr>
          <w:pgSz w:w="11900" w:h="16838" w:orient="portrait"/>
          <w:cols w:equalWidth="0" w:num="1">
            <w:col w:w="11000"/>
          </w:cols>
          <w:pgMar w:left="300" w:top="1038" w:right="5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819785</wp:posOffset>
            </wp:positionH>
            <wp:positionV relativeFrom="page">
              <wp:posOffset>197485</wp:posOffset>
            </wp:positionV>
            <wp:extent cx="1057275" cy="217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57275" cy="217170"/>
                    </a:xfrm>
                    <a:prstGeom prst="rect">
                      <a:avLst/>
                    </a:prstGeom>
                    <a:noFill/>
                  </pic:spPr>
                </pic:pic>
              </a:graphicData>
            </a:graphic>
          </wp:anchor>
        </w:drawing>
        <w:t>CONSOLIDATED STATEMENTS OF OPERATIONS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(In thousands, except per share data)</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3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Three Months Ended March 31,</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8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69"/>
              <w:spacing w:after="0"/>
              <w:rPr>
                <w:sz w:val="20"/>
                <w:szCs w:val="20"/>
                <w:color w:val="auto"/>
              </w:rPr>
            </w:pPr>
            <w:r>
              <w:rPr>
                <w:rFonts w:ascii="Arial" w:cs="Arial" w:eastAsia="Arial" w:hAnsi="Arial"/>
                <w:sz w:val="8"/>
                <w:szCs w:val="8"/>
                <w:b w:val="1"/>
                <w:bCs w:val="1"/>
                <w:color w:val="auto"/>
              </w:rPr>
              <w:t>2021</w:t>
            </w:r>
          </w:p>
        </w:tc>
        <w:tc>
          <w:tcPr>
            <w:tcW w:w="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549"/>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9"/>
                <w:szCs w:val="9"/>
                <w:color w:val="auto"/>
              </w:rPr>
            </w:pPr>
          </w:p>
        </w:tc>
      </w:tr>
      <w:tr>
        <w:trPr>
          <w:trHeight w:val="104"/>
        </w:trPr>
        <w:tc>
          <w:tcPr>
            <w:tcW w:w="8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ind w:left="220"/>
              <w:spacing w:after="0"/>
              <w:rPr>
                <w:sz w:val="20"/>
                <w:szCs w:val="20"/>
                <w:color w:val="auto"/>
              </w:rPr>
            </w:pPr>
            <w:r>
              <w:rPr>
                <w:rFonts w:ascii="Arial" w:cs="Arial" w:eastAsia="Arial" w:hAnsi="Arial"/>
                <w:sz w:val="8"/>
                <w:szCs w:val="8"/>
                <w:color w:val="auto"/>
              </w:rPr>
              <w:t>(unaudited)</w:t>
            </w: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1"/>
        </w:trPr>
        <w:tc>
          <w:tcPr>
            <w:tcW w:w="83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Revenues</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2"/>
        </w:trPr>
        <w:tc>
          <w:tcPr>
            <w:tcW w:w="8300" w:type="dxa"/>
            <w:vAlign w:val="bottom"/>
          </w:tcPr>
          <w:p>
            <w:pPr>
              <w:ind w:left="140"/>
              <w:spacing w:after="0"/>
              <w:rPr>
                <w:sz w:val="20"/>
                <w:szCs w:val="20"/>
                <w:color w:val="auto"/>
              </w:rPr>
            </w:pPr>
            <w:r>
              <w:rPr>
                <w:rFonts w:ascii="Arial" w:cs="Arial" w:eastAsia="Arial" w:hAnsi="Arial"/>
                <w:sz w:val="10"/>
                <w:szCs w:val="10"/>
                <w:color w:val="auto"/>
              </w:rPr>
              <w:t>Property operating income</w:t>
            </w:r>
          </w:p>
        </w:tc>
        <w:tc>
          <w:tcPr>
            <w:tcW w:w="280" w:type="dxa"/>
            <w:vAlign w:val="bottom"/>
          </w:tcPr>
          <w:p>
            <w:pPr>
              <w:jc w:val="right"/>
              <w:ind w:right="148"/>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9"/>
              <w:spacing w:after="0"/>
              <w:rPr>
                <w:sz w:val="20"/>
                <w:szCs w:val="20"/>
                <w:color w:val="auto"/>
              </w:rPr>
            </w:pPr>
            <w:r>
              <w:rPr>
                <w:rFonts w:ascii="Arial" w:cs="Arial" w:eastAsia="Arial" w:hAnsi="Arial"/>
                <w:sz w:val="10"/>
                <w:szCs w:val="10"/>
                <w:color w:val="auto"/>
              </w:rPr>
              <w:t>275,216</w:t>
            </w:r>
          </w:p>
        </w:tc>
        <w:tc>
          <w:tcPr>
            <w:tcW w:w="80" w:type="dxa"/>
            <w:vAlign w:val="bottom"/>
          </w:tcPr>
          <w:p>
            <w:pPr>
              <w:spacing w:after="0"/>
              <w:rPr>
                <w:sz w:val="11"/>
                <w:szCs w:val="11"/>
                <w:color w:val="auto"/>
              </w:rPr>
            </w:pPr>
          </w:p>
        </w:tc>
        <w:tc>
          <w:tcPr>
            <w:tcW w:w="600" w:type="dxa"/>
            <w:vAlign w:val="bottom"/>
          </w:tcPr>
          <w:p>
            <w:pPr>
              <w:jc w:val="right"/>
              <w:ind w:right="468"/>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183,953</w:t>
            </w:r>
          </w:p>
        </w:tc>
        <w:tc>
          <w:tcPr>
            <w:tcW w:w="100" w:type="dxa"/>
            <w:vAlign w:val="bottom"/>
          </w:tcPr>
          <w:p>
            <w:pPr>
              <w:spacing w:after="0"/>
              <w:rPr>
                <w:sz w:val="11"/>
                <w:szCs w:val="11"/>
                <w:color w:val="auto"/>
              </w:rPr>
            </w:pPr>
          </w:p>
        </w:tc>
      </w:tr>
      <w:tr>
        <w:trPr>
          <w:trHeight w:val="138"/>
        </w:trPr>
        <w:tc>
          <w:tcPr>
            <w:tcW w:w="83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Interest income</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2,676</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2,607</w:t>
            </w:r>
          </w:p>
        </w:tc>
        <w:tc>
          <w:tcPr>
            <w:tcW w:w="100" w:type="dxa"/>
            <w:vAlign w:val="bottom"/>
            <w:shd w:val="clear" w:color="auto" w:fill="CCEEFF"/>
          </w:tcPr>
          <w:p>
            <w:pPr>
              <w:spacing w:after="0"/>
              <w:rPr>
                <w:sz w:val="12"/>
                <w:szCs w:val="12"/>
                <w:color w:val="auto"/>
              </w:rPr>
            </w:pPr>
          </w:p>
        </w:tc>
      </w:tr>
      <w:tr>
        <w:trPr>
          <w:trHeight w:val="132"/>
        </w:trPr>
        <w:tc>
          <w:tcPr>
            <w:tcW w:w="8300" w:type="dxa"/>
            <w:vAlign w:val="bottom"/>
          </w:tcPr>
          <w:p>
            <w:pPr>
              <w:ind w:left="140"/>
              <w:spacing w:after="0"/>
              <w:rPr>
                <w:sz w:val="20"/>
                <w:szCs w:val="20"/>
                <w:color w:val="auto"/>
              </w:rPr>
            </w:pPr>
            <w:r>
              <w:rPr>
                <w:rFonts w:ascii="Arial" w:cs="Arial" w:eastAsia="Arial" w:hAnsi="Arial"/>
                <w:sz w:val="10"/>
                <w:szCs w:val="10"/>
                <w:color w:val="auto"/>
              </w:rPr>
              <w:t>Fee income</w:t>
            </w:r>
          </w:p>
        </w:tc>
        <w:tc>
          <w:tcPr>
            <w:tcW w:w="28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Arial" w:cs="Arial" w:eastAsia="Arial" w:hAnsi="Arial"/>
                <w:sz w:val="10"/>
                <w:szCs w:val="10"/>
                <w:color w:val="auto"/>
              </w:rPr>
              <w:t>33,679</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25,128</w:t>
            </w:r>
          </w:p>
        </w:tc>
        <w:tc>
          <w:tcPr>
            <w:tcW w:w="100" w:type="dxa"/>
            <w:vAlign w:val="bottom"/>
          </w:tcPr>
          <w:p>
            <w:pPr>
              <w:spacing w:after="0"/>
              <w:rPr>
                <w:sz w:val="11"/>
                <w:szCs w:val="11"/>
                <w:color w:val="auto"/>
              </w:rPr>
            </w:pPr>
          </w:p>
        </w:tc>
      </w:tr>
      <w:tr>
        <w:trPr>
          <w:trHeight w:val="138"/>
        </w:trPr>
        <w:tc>
          <w:tcPr>
            <w:tcW w:w="83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Other income</w:t>
            </w:r>
          </w:p>
        </w:tc>
        <w:tc>
          <w:tcPr>
            <w:tcW w:w="2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4,133</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5,525</w:t>
            </w:r>
          </w:p>
        </w:tc>
        <w:tc>
          <w:tcPr>
            <w:tcW w:w="100" w:type="dxa"/>
            <w:vAlign w:val="bottom"/>
            <w:shd w:val="clear" w:color="auto" w:fill="CCEEFF"/>
          </w:tcPr>
          <w:p>
            <w:pPr>
              <w:spacing w:after="0"/>
              <w:rPr>
                <w:sz w:val="12"/>
                <w:szCs w:val="12"/>
                <w:color w:val="auto"/>
              </w:rPr>
            </w:pPr>
          </w:p>
        </w:tc>
      </w:tr>
      <w:tr>
        <w:trPr>
          <w:trHeight w:val="121"/>
        </w:trPr>
        <w:tc>
          <w:tcPr>
            <w:tcW w:w="8300" w:type="dxa"/>
            <w:vAlign w:val="bottom"/>
            <w:tcBorders>
              <w:bottom w:val="single" w:sz="8" w:color="CCEEFF"/>
            </w:tcBorders>
          </w:tcPr>
          <w:p>
            <w:pPr>
              <w:ind w:left="440"/>
              <w:spacing w:after="0"/>
              <w:rPr>
                <w:sz w:val="20"/>
                <w:szCs w:val="20"/>
                <w:color w:val="auto"/>
              </w:rPr>
            </w:pPr>
            <w:r>
              <w:rPr>
                <w:rFonts w:ascii="Arial" w:cs="Arial" w:eastAsia="Arial" w:hAnsi="Arial"/>
                <w:sz w:val="10"/>
                <w:szCs w:val="10"/>
                <w:b w:val="1"/>
                <w:bCs w:val="1"/>
                <w:color w:val="auto"/>
              </w:rPr>
              <w:t>Total revenues</w:t>
            </w: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315,704</w:t>
            </w:r>
          </w:p>
        </w:tc>
        <w:tc>
          <w:tcPr>
            <w:tcW w:w="8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217,213</w:t>
            </w:r>
          </w:p>
        </w:tc>
        <w:tc>
          <w:tcPr>
            <w:tcW w:w="100" w:type="dxa"/>
            <w:vAlign w:val="bottom"/>
            <w:tcBorders>
              <w:bottom w:val="single" w:sz="8" w:color="CCEEFF"/>
            </w:tcBorders>
          </w:tcPr>
          <w:p>
            <w:pPr>
              <w:spacing w:after="0"/>
              <w:rPr>
                <w:sz w:val="10"/>
                <w:szCs w:val="10"/>
                <w:color w:val="auto"/>
              </w:rPr>
            </w:pPr>
          </w:p>
        </w:tc>
      </w:tr>
      <w:tr>
        <w:trPr>
          <w:trHeight w:val="118"/>
        </w:trPr>
        <w:tc>
          <w:tcPr>
            <w:tcW w:w="83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Expenses</w:t>
            </w:r>
          </w:p>
        </w:tc>
        <w:tc>
          <w:tcPr>
            <w:tcW w:w="2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2"/>
        </w:trPr>
        <w:tc>
          <w:tcPr>
            <w:tcW w:w="8300" w:type="dxa"/>
            <w:vAlign w:val="bottom"/>
          </w:tcPr>
          <w:p>
            <w:pPr>
              <w:ind w:left="240"/>
              <w:spacing w:after="0"/>
              <w:rPr>
                <w:sz w:val="20"/>
                <w:szCs w:val="20"/>
                <w:color w:val="auto"/>
              </w:rPr>
            </w:pPr>
            <w:r>
              <w:rPr>
                <w:rFonts w:ascii="Arial" w:cs="Arial" w:eastAsia="Arial" w:hAnsi="Arial"/>
                <w:sz w:val="10"/>
                <w:szCs w:val="10"/>
                <w:color w:val="auto"/>
              </w:rPr>
              <w:t>Property operating expense</w:t>
            </w:r>
          </w:p>
        </w:tc>
        <w:tc>
          <w:tcPr>
            <w:tcW w:w="28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Arial" w:cs="Arial" w:eastAsia="Arial" w:hAnsi="Arial"/>
                <w:sz w:val="10"/>
                <w:szCs w:val="10"/>
                <w:color w:val="auto"/>
              </w:rPr>
              <w:t>132,264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83,477</w:t>
            </w:r>
          </w:p>
        </w:tc>
        <w:tc>
          <w:tcPr>
            <w:tcW w:w="100" w:type="dxa"/>
            <w:vAlign w:val="bottom"/>
          </w:tcPr>
          <w:p>
            <w:pPr>
              <w:spacing w:after="0"/>
              <w:rPr>
                <w:sz w:val="11"/>
                <w:szCs w:val="11"/>
                <w:color w:val="auto"/>
              </w:rPr>
            </w:pPr>
          </w:p>
        </w:tc>
      </w:tr>
      <w:tr>
        <w:trPr>
          <w:trHeight w:val="138"/>
        </w:trPr>
        <w:tc>
          <w:tcPr>
            <w:tcW w:w="83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Interest expense</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72,485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63,441</w:t>
            </w:r>
          </w:p>
        </w:tc>
        <w:tc>
          <w:tcPr>
            <w:tcW w:w="100" w:type="dxa"/>
            <w:vAlign w:val="bottom"/>
            <w:shd w:val="clear" w:color="auto" w:fill="CCEEFF"/>
          </w:tcPr>
          <w:p>
            <w:pPr>
              <w:spacing w:after="0"/>
              <w:rPr>
                <w:sz w:val="12"/>
                <w:szCs w:val="12"/>
                <w:color w:val="auto"/>
              </w:rPr>
            </w:pPr>
          </w:p>
        </w:tc>
      </w:tr>
      <w:tr>
        <w:trPr>
          <w:trHeight w:val="132"/>
        </w:trPr>
        <w:tc>
          <w:tcPr>
            <w:tcW w:w="8300" w:type="dxa"/>
            <w:vAlign w:val="bottom"/>
          </w:tcPr>
          <w:p>
            <w:pPr>
              <w:ind w:left="140"/>
              <w:spacing w:after="0"/>
              <w:rPr>
                <w:sz w:val="20"/>
                <w:szCs w:val="20"/>
                <w:color w:val="auto"/>
              </w:rPr>
            </w:pPr>
            <w:r>
              <w:rPr>
                <w:rFonts w:ascii="Arial" w:cs="Arial" w:eastAsia="Arial" w:hAnsi="Arial"/>
                <w:sz w:val="10"/>
                <w:szCs w:val="10"/>
                <w:color w:val="auto"/>
              </w:rPr>
              <w:t>Investment and servicing expense</w:t>
            </w:r>
          </w:p>
        </w:tc>
        <w:tc>
          <w:tcPr>
            <w:tcW w:w="28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Arial" w:cs="Arial" w:eastAsia="Arial" w:hAnsi="Arial"/>
                <w:sz w:val="10"/>
                <w:szCs w:val="10"/>
                <w:color w:val="auto"/>
              </w:rPr>
              <w:t>8,108</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5,732</w:t>
            </w:r>
          </w:p>
        </w:tc>
        <w:tc>
          <w:tcPr>
            <w:tcW w:w="100" w:type="dxa"/>
            <w:vAlign w:val="bottom"/>
          </w:tcPr>
          <w:p>
            <w:pPr>
              <w:spacing w:after="0"/>
              <w:rPr>
                <w:sz w:val="11"/>
                <w:szCs w:val="11"/>
                <w:color w:val="auto"/>
              </w:rPr>
            </w:pPr>
          </w:p>
        </w:tc>
      </w:tr>
      <w:tr>
        <w:trPr>
          <w:trHeight w:val="138"/>
        </w:trPr>
        <w:tc>
          <w:tcPr>
            <w:tcW w:w="83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Transaction costs</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2,685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596</w:t>
            </w:r>
          </w:p>
        </w:tc>
        <w:tc>
          <w:tcPr>
            <w:tcW w:w="100" w:type="dxa"/>
            <w:vAlign w:val="bottom"/>
            <w:shd w:val="clear" w:color="auto" w:fill="CCEEFF"/>
          </w:tcPr>
          <w:p>
            <w:pPr>
              <w:spacing w:after="0"/>
              <w:rPr>
                <w:sz w:val="12"/>
                <w:szCs w:val="12"/>
                <w:color w:val="auto"/>
              </w:rPr>
            </w:pPr>
          </w:p>
        </w:tc>
      </w:tr>
      <w:tr>
        <w:trPr>
          <w:trHeight w:val="132"/>
        </w:trPr>
        <w:tc>
          <w:tcPr>
            <w:tcW w:w="8300" w:type="dxa"/>
            <w:vAlign w:val="bottom"/>
          </w:tcPr>
          <w:p>
            <w:pPr>
              <w:ind w:left="240"/>
              <w:spacing w:after="0"/>
              <w:rPr>
                <w:sz w:val="20"/>
                <w:szCs w:val="20"/>
                <w:color w:val="auto"/>
              </w:rPr>
            </w:pPr>
            <w:r>
              <w:rPr>
                <w:rFonts w:ascii="Arial" w:cs="Arial" w:eastAsia="Arial" w:hAnsi="Arial"/>
                <w:sz w:val="10"/>
                <w:szCs w:val="10"/>
                <w:color w:val="auto"/>
              </w:rPr>
              <w:t>Depreciation and amortization</w:t>
            </w:r>
          </w:p>
        </w:tc>
        <w:tc>
          <w:tcPr>
            <w:tcW w:w="28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Arial" w:cs="Arial" w:eastAsia="Arial" w:hAnsi="Arial"/>
                <w:sz w:val="10"/>
                <w:szCs w:val="10"/>
                <w:color w:val="auto"/>
              </w:rPr>
              <w:t>170,967</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76,236</w:t>
            </w:r>
          </w:p>
        </w:tc>
        <w:tc>
          <w:tcPr>
            <w:tcW w:w="100" w:type="dxa"/>
            <w:vAlign w:val="bottom"/>
          </w:tcPr>
          <w:p>
            <w:pPr>
              <w:spacing w:after="0"/>
              <w:rPr>
                <w:sz w:val="11"/>
                <w:szCs w:val="11"/>
                <w:color w:val="auto"/>
              </w:rPr>
            </w:pPr>
          </w:p>
        </w:tc>
      </w:tr>
      <w:tr>
        <w:trPr>
          <w:trHeight w:val="138"/>
        </w:trPr>
        <w:tc>
          <w:tcPr>
            <w:tcW w:w="83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Impairment loss</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15,232</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48,532</w:t>
            </w:r>
          </w:p>
        </w:tc>
        <w:tc>
          <w:tcPr>
            <w:tcW w:w="100" w:type="dxa"/>
            <w:vAlign w:val="bottom"/>
            <w:shd w:val="clear" w:color="auto" w:fill="CCEEFF"/>
          </w:tcPr>
          <w:p>
            <w:pPr>
              <w:spacing w:after="0"/>
              <w:rPr>
                <w:sz w:val="12"/>
                <w:szCs w:val="12"/>
                <w:color w:val="auto"/>
              </w:rPr>
            </w:pPr>
          </w:p>
        </w:tc>
      </w:tr>
      <w:tr>
        <w:trPr>
          <w:trHeight w:val="132"/>
        </w:trPr>
        <w:tc>
          <w:tcPr>
            <w:tcW w:w="8300" w:type="dxa"/>
            <w:vAlign w:val="bottom"/>
          </w:tcPr>
          <w:p>
            <w:pPr>
              <w:ind w:left="240"/>
              <w:spacing w:after="0"/>
              <w:rPr>
                <w:sz w:val="20"/>
                <w:szCs w:val="20"/>
                <w:color w:val="auto"/>
              </w:rPr>
            </w:pPr>
            <w:r>
              <w:rPr>
                <w:rFonts w:ascii="Arial" w:cs="Arial" w:eastAsia="Arial" w:hAnsi="Arial"/>
                <w:sz w:val="10"/>
                <w:szCs w:val="10"/>
                <w:color w:val="auto"/>
              </w:rPr>
              <w:t>Compensation expense</w:t>
            </w: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8300" w:type="dxa"/>
            <w:vAlign w:val="bottom"/>
            <w:shd w:val="clear" w:color="auto" w:fill="CCEEFF"/>
          </w:tcPr>
          <w:p>
            <w:pPr>
              <w:ind w:left="400"/>
              <w:spacing w:after="0"/>
              <w:rPr>
                <w:sz w:val="20"/>
                <w:szCs w:val="20"/>
                <w:color w:val="auto"/>
              </w:rPr>
            </w:pPr>
            <w:r>
              <w:rPr>
                <w:rFonts w:ascii="Arial" w:cs="Arial" w:eastAsia="Arial" w:hAnsi="Arial"/>
                <w:sz w:val="10"/>
                <w:szCs w:val="10"/>
                <w:color w:val="auto"/>
              </w:rPr>
              <w:t>Cash and equity-based compensation</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83,419</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42,737</w:t>
            </w:r>
          </w:p>
        </w:tc>
        <w:tc>
          <w:tcPr>
            <w:tcW w:w="100" w:type="dxa"/>
            <w:vAlign w:val="bottom"/>
            <w:shd w:val="clear" w:color="auto" w:fill="CCEEFF"/>
          </w:tcPr>
          <w:p>
            <w:pPr>
              <w:spacing w:after="0"/>
              <w:rPr>
                <w:sz w:val="12"/>
                <w:szCs w:val="12"/>
                <w:color w:val="auto"/>
              </w:rPr>
            </w:pPr>
          </w:p>
        </w:tc>
      </w:tr>
      <w:tr>
        <w:trPr>
          <w:trHeight w:val="132"/>
        </w:trPr>
        <w:tc>
          <w:tcPr>
            <w:tcW w:w="8300" w:type="dxa"/>
            <w:vAlign w:val="bottom"/>
          </w:tcPr>
          <w:p>
            <w:pPr>
              <w:ind w:left="400"/>
              <w:spacing w:after="0"/>
              <w:rPr>
                <w:sz w:val="20"/>
                <w:szCs w:val="20"/>
                <w:color w:val="auto"/>
              </w:rPr>
            </w:pPr>
            <w:r>
              <w:rPr>
                <w:rFonts w:ascii="Arial" w:cs="Arial" w:eastAsia="Arial" w:hAnsi="Arial"/>
                <w:sz w:val="10"/>
                <w:szCs w:val="10"/>
                <w:color w:val="auto"/>
              </w:rPr>
              <w:t>Carried interest and incentive fee compensation</w:t>
            </w:r>
          </w:p>
        </w:tc>
        <w:tc>
          <w:tcPr>
            <w:tcW w:w="2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(33)</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r>
      <w:tr>
        <w:trPr>
          <w:trHeight w:val="138"/>
        </w:trPr>
        <w:tc>
          <w:tcPr>
            <w:tcW w:w="83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Administrative expenses</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18,957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29,558</w:t>
            </w:r>
          </w:p>
        </w:tc>
        <w:tc>
          <w:tcPr>
            <w:tcW w:w="100" w:type="dxa"/>
            <w:vAlign w:val="bottom"/>
            <w:shd w:val="clear" w:color="auto" w:fill="CCEEFF"/>
          </w:tcPr>
          <w:p>
            <w:pPr>
              <w:spacing w:after="0"/>
              <w:rPr>
                <w:sz w:val="12"/>
                <w:szCs w:val="12"/>
                <w:color w:val="auto"/>
              </w:rPr>
            </w:pPr>
          </w:p>
        </w:tc>
      </w:tr>
      <w:tr>
        <w:trPr>
          <w:trHeight w:val="132"/>
        </w:trPr>
        <w:tc>
          <w:tcPr>
            <w:tcW w:w="8300" w:type="dxa"/>
            <w:vAlign w:val="bottom"/>
          </w:tcPr>
          <w:p>
            <w:pPr>
              <w:ind w:left="140"/>
              <w:spacing w:after="0"/>
              <w:rPr>
                <w:sz w:val="20"/>
                <w:szCs w:val="20"/>
                <w:color w:val="auto"/>
              </w:rPr>
            </w:pPr>
            <w:r>
              <w:rPr>
                <w:rFonts w:ascii="Arial" w:cs="Arial" w:eastAsia="Arial" w:hAnsi="Arial"/>
                <w:sz w:val="10"/>
                <w:szCs w:val="10"/>
                <w:color w:val="auto"/>
              </w:rPr>
              <w:t>Settlement loss</w:t>
            </w:r>
          </w:p>
        </w:tc>
        <w:tc>
          <w:tcPr>
            <w:tcW w:w="280" w:type="dxa"/>
            <w:vAlign w:val="bottom"/>
          </w:tcPr>
          <w:p>
            <w:pPr>
              <w:spacing w:after="0"/>
              <w:rPr>
                <w:sz w:val="11"/>
                <w:szCs w:val="1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5,090</w:t>
            </w:r>
          </w:p>
        </w:tc>
        <w:tc>
          <w:tcPr>
            <w:tcW w:w="100" w:type="dxa"/>
            <w:vAlign w:val="bottom"/>
          </w:tcPr>
          <w:p>
            <w:pPr>
              <w:spacing w:after="0"/>
              <w:rPr>
                <w:sz w:val="11"/>
                <w:szCs w:val="11"/>
                <w:color w:val="auto"/>
              </w:rPr>
            </w:pPr>
          </w:p>
        </w:tc>
      </w:tr>
      <w:tr>
        <w:trPr>
          <w:trHeight w:val="127"/>
        </w:trPr>
        <w:tc>
          <w:tcPr>
            <w:tcW w:w="8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0"/>
                <w:szCs w:val="10"/>
                <w:b w:val="1"/>
                <w:bCs w:val="1"/>
                <w:color w:val="auto"/>
              </w:rPr>
              <w:t>Total expenses</w:t>
            </w: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504,084</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355,399</w:t>
            </w:r>
          </w:p>
        </w:tc>
        <w:tc>
          <w:tcPr>
            <w:tcW w:w="100" w:type="dxa"/>
            <w:vAlign w:val="bottom"/>
            <w:tcBorders>
              <w:top w:val="single" w:sz="8" w:color="CCEEFF"/>
            </w:tcBorders>
            <w:shd w:val="clear" w:color="auto" w:fill="CCEEFF"/>
          </w:tcPr>
          <w:p>
            <w:pPr>
              <w:spacing w:after="0"/>
              <w:rPr>
                <w:sz w:val="11"/>
                <w:szCs w:val="11"/>
                <w:color w:val="auto"/>
              </w:rPr>
            </w:pPr>
          </w:p>
        </w:tc>
      </w:tr>
      <w:tr>
        <w:trPr>
          <w:trHeight w:val="115"/>
        </w:trPr>
        <w:tc>
          <w:tcPr>
            <w:tcW w:w="8300" w:type="dxa"/>
            <w:vAlign w:val="bottom"/>
          </w:tcPr>
          <w:p>
            <w:pPr>
              <w:spacing w:after="0"/>
              <w:rPr>
                <w:sz w:val="20"/>
                <w:szCs w:val="20"/>
                <w:color w:val="auto"/>
              </w:rPr>
            </w:pPr>
            <w:r>
              <w:rPr>
                <w:rFonts w:ascii="Arial" w:cs="Arial" w:eastAsia="Arial" w:hAnsi="Arial"/>
                <w:sz w:val="10"/>
                <w:szCs w:val="10"/>
                <w:b w:val="1"/>
                <w:bCs w:val="1"/>
                <w:color w:val="auto"/>
              </w:rPr>
              <w:t>Other income (loss)</w:t>
            </w: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83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gain (loss), net</w:t>
            </w: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(8,714)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(9,703)</w:t>
            </w:r>
          </w:p>
        </w:tc>
        <w:tc>
          <w:tcPr>
            <w:tcW w:w="100" w:type="dxa"/>
            <w:vAlign w:val="bottom"/>
            <w:shd w:val="clear" w:color="auto" w:fill="CCEEFF"/>
          </w:tcPr>
          <w:p>
            <w:pPr>
              <w:spacing w:after="0"/>
              <w:rPr>
                <w:sz w:val="11"/>
                <w:szCs w:val="11"/>
                <w:color w:val="auto"/>
              </w:rPr>
            </w:pPr>
          </w:p>
        </w:tc>
      </w:tr>
      <w:tr>
        <w:trPr>
          <w:trHeight w:val="132"/>
        </w:trPr>
        <w:tc>
          <w:tcPr>
            <w:tcW w:w="8300" w:type="dxa"/>
            <w:vAlign w:val="bottom"/>
          </w:tcPr>
          <w:p>
            <w:pPr>
              <w:ind w:left="140"/>
              <w:spacing w:after="0"/>
              <w:rPr>
                <w:sz w:val="20"/>
                <w:szCs w:val="20"/>
                <w:color w:val="auto"/>
              </w:rPr>
            </w:pPr>
            <w:r>
              <w:rPr>
                <w:rFonts w:ascii="Arial" w:cs="Arial" w:eastAsia="Arial" w:hAnsi="Arial"/>
                <w:sz w:val="10"/>
                <w:szCs w:val="10"/>
                <w:color w:val="auto"/>
              </w:rPr>
              <w:t>Equity method earnings (losses)</w:t>
            </w:r>
          </w:p>
        </w:tc>
        <w:tc>
          <w:tcPr>
            <w:tcW w:w="2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(18,686)</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(11,879)</w:t>
            </w:r>
          </w:p>
        </w:tc>
        <w:tc>
          <w:tcPr>
            <w:tcW w:w="100" w:type="dxa"/>
            <w:vAlign w:val="bottom"/>
          </w:tcPr>
          <w:p>
            <w:pPr>
              <w:spacing w:after="0"/>
              <w:rPr>
                <w:sz w:val="11"/>
                <w:szCs w:val="11"/>
                <w:color w:val="auto"/>
              </w:rPr>
            </w:pPr>
          </w:p>
        </w:tc>
      </w:tr>
      <w:tr>
        <w:trPr>
          <w:trHeight w:val="138"/>
        </w:trPr>
        <w:tc>
          <w:tcPr>
            <w:tcW w:w="83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Equity method earnings (losses) - carried interest</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(222)</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r>
      <w:tr>
        <w:trPr>
          <w:trHeight w:val="121"/>
        </w:trPr>
        <w:tc>
          <w:tcPr>
            <w:tcW w:w="8300" w:type="dxa"/>
            <w:vAlign w:val="bottom"/>
          </w:tcPr>
          <w:p>
            <w:pPr>
              <w:spacing w:after="0"/>
              <w:rPr>
                <w:sz w:val="20"/>
                <w:szCs w:val="20"/>
                <w:color w:val="auto"/>
              </w:rPr>
            </w:pPr>
            <w:r>
              <w:rPr>
                <w:rFonts w:ascii="Arial" w:cs="Arial" w:eastAsia="Arial" w:hAnsi="Arial"/>
                <w:sz w:val="10"/>
                <w:szCs w:val="10"/>
                <w:b w:val="1"/>
                <w:bCs w:val="1"/>
                <w:color w:val="auto"/>
              </w:rPr>
              <w:t>Income (loss) before income taxes</w:t>
            </w:r>
          </w:p>
        </w:tc>
        <w:tc>
          <w:tcPr>
            <w:tcW w:w="2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(216,002)</w:t>
            </w: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(159,768)</w:t>
            </w:r>
          </w:p>
        </w:tc>
        <w:tc>
          <w:tcPr>
            <w:tcW w:w="100" w:type="dxa"/>
            <w:vAlign w:val="bottom"/>
          </w:tcPr>
          <w:p>
            <w:pPr>
              <w:spacing w:after="0"/>
              <w:rPr>
                <w:sz w:val="10"/>
                <w:szCs w:val="10"/>
                <w:color w:val="auto"/>
              </w:rPr>
            </w:pPr>
          </w:p>
        </w:tc>
      </w:tr>
      <w:tr>
        <w:trPr>
          <w:trHeight w:val="138"/>
        </w:trPr>
        <w:tc>
          <w:tcPr>
            <w:tcW w:w="83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tax benefit (expense)</w:t>
            </w:r>
          </w:p>
        </w:tc>
        <w:tc>
          <w:tcPr>
            <w:tcW w:w="2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25,825</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5,569</w:t>
            </w:r>
          </w:p>
        </w:tc>
        <w:tc>
          <w:tcPr>
            <w:tcW w:w="100" w:type="dxa"/>
            <w:vAlign w:val="bottom"/>
            <w:shd w:val="clear" w:color="auto" w:fill="CCEEFF"/>
          </w:tcPr>
          <w:p>
            <w:pPr>
              <w:spacing w:after="0"/>
              <w:rPr>
                <w:sz w:val="12"/>
                <w:szCs w:val="12"/>
                <w:color w:val="auto"/>
              </w:rPr>
            </w:pPr>
          </w:p>
        </w:tc>
      </w:tr>
      <w:tr>
        <w:trPr>
          <w:trHeight w:val="121"/>
        </w:trPr>
        <w:tc>
          <w:tcPr>
            <w:tcW w:w="8300" w:type="dxa"/>
            <w:vAlign w:val="bottom"/>
          </w:tcPr>
          <w:p>
            <w:pPr>
              <w:spacing w:after="0"/>
              <w:rPr>
                <w:sz w:val="20"/>
                <w:szCs w:val="20"/>
                <w:color w:val="auto"/>
              </w:rPr>
            </w:pPr>
            <w:r>
              <w:rPr>
                <w:rFonts w:ascii="Arial" w:cs="Arial" w:eastAsia="Arial" w:hAnsi="Arial"/>
                <w:sz w:val="10"/>
                <w:szCs w:val="10"/>
                <w:b w:val="1"/>
                <w:bCs w:val="1"/>
                <w:color w:val="auto"/>
              </w:rPr>
              <w:t>Income (loss) from continuing operations</w:t>
            </w:r>
          </w:p>
        </w:tc>
        <w:tc>
          <w:tcPr>
            <w:tcW w:w="28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(190,177)</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(154,199)</w:t>
            </w:r>
          </w:p>
        </w:tc>
        <w:tc>
          <w:tcPr>
            <w:tcW w:w="100" w:type="dxa"/>
            <w:vAlign w:val="bottom"/>
          </w:tcPr>
          <w:p>
            <w:pPr>
              <w:spacing w:after="0"/>
              <w:rPr>
                <w:sz w:val="10"/>
                <w:szCs w:val="10"/>
                <w:color w:val="auto"/>
              </w:rPr>
            </w:pPr>
          </w:p>
        </w:tc>
      </w:tr>
      <w:tr>
        <w:trPr>
          <w:trHeight w:val="138"/>
        </w:trPr>
        <w:tc>
          <w:tcPr>
            <w:tcW w:w="8300" w:type="dxa"/>
            <w:vAlign w:val="bottom"/>
            <w:shd w:val="clear" w:color="auto" w:fill="CCEEFF"/>
          </w:tcPr>
          <w:p>
            <w:pPr>
              <w:spacing w:after="0"/>
              <w:rPr>
                <w:sz w:val="20"/>
                <w:szCs w:val="20"/>
                <w:color w:val="auto"/>
              </w:rPr>
            </w:pPr>
            <w:r>
              <w:rPr>
                <w:rFonts w:ascii="Arial" w:cs="Arial" w:eastAsia="Arial" w:hAnsi="Arial"/>
                <w:sz w:val="10"/>
                <w:szCs w:val="10"/>
                <w:color w:val="auto"/>
              </w:rPr>
              <w:t>Income (loss) from discontinued operations</w:t>
            </w:r>
          </w:p>
        </w:tc>
        <w:tc>
          <w:tcPr>
            <w:tcW w:w="2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(437,422)</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(249,858)</w:t>
            </w:r>
          </w:p>
        </w:tc>
        <w:tc>
          <w:tcPr>
            <w:tcW w:w="100" w:type="dxa"/>
            <w:vAlign w:val="bottom"/>
            <w:shd w:val="clear" w:color="auto" w:fill="CCEEFF"/>
          </w:tcPr>
          <w:p>
            <w:pPr>
              <w:spacing w:after="0"/>
              <w:rPr>
                <w:sz w:val="12"/>
                <w:szCs w:val="12"/>
                <w:color w:val="auto"/>
              </w:rPr>
            </w:pPr>
          </w:p>
        </w:tc>
      </w:tr>
      <w:tr>
        <w:trPr>
          <w:trHeight w:val="121"/>
        </w:trPr>
        <w:tc>
          <w:tcPr>
            <w:tcW w:w="8300" w:type="dxa"/>
            <w:vAlign w:val="bottom"/>
          </w:tcPr>
          <w:p>
            <w:pPr>
              <w:spacing w:after="0"/>
              <w:rPr>
                <w:sz w:val="20"/>
                <w:szCs w:val="20"/>
                <w:color w:val="auto"/>
              </w:rPr>
            </w:pPr>
            <w:r>
              <w:rPr>
                <w:rFonts w:ascii="Arial" w:cs="Arial" w:eastAsia="Arial" w:hAnsi="Arial"/>
                <w:sz w:val="10"/>
                <w:szCs w:val="10"/>
                <w:b w:val="1"/>
                <w:bCs w:val="1"/>
                <w:color w:val="auto"/>
              </w:rPr>
              <w:t>Net income (loss)</w:t>
            </w:r>
          </w:p>
        </w:tc>
        <w:tc>
          <w:tcPr>
            <w:tcW w:w="28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(627,599)</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(404,057)</w:t>
            </w:r>
          </w:p>
        </w:tc>
        <w:tc>
          <w:tcPr>
            <w:tcW w:w="100" w:type="dxa"/>
            <w:vAlign w:val="bottom"/>
          </w:tcPr>
          <w:p>
            <w:pPr>
              <w:spacing w:after="0"/>
              <w:rPr>
                <w:sz w:val="10"/>
                <w:szCs w:val="10"/>
                <w:color w:val="auto"/>
              </w:rPr>
            </w:pPr>
          </w:p>
        </w:tc>
      </w:tr>
      <w:tr>
        <w:trPr>
          <w:trHeight w:val="138"/>
        </w:trPr>
        <w:tc>
          <w:tcPr>
            <w:tcW w:w="8300" w:type="dxa"/>
            <w:vAlign w:val="bottom"/>
            <w:shd w:val="clear" w:color="auto" w:fill="CCEEFF"/>
          </w:tcPr>
          <w:p>
            <w:pPr>
              <w:spacing w:after="0"/>
              <w:rPr>
                <w:sz w:val="20"/>
                <w:szCs w:val="20"/>
                <w:color w:val="auto"/>
              </w:rPr>
            </w:pPr>
            <w:r>
              <w:rPr>
                <w:rFonts w:ascii="Arial" w:cs="Arial" w:eastAsia="Arial" w:hAnsi="Arial"/>
                <w:sz w:val="10"/>
                <w:szCs w:val="10"/>
                <w:color w:val="auto"/>
              </w:rPr>
              <w:t>Net income (loss) attributable to noncontrolling interests:</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2"/>
        </w:trPr>
        <w:tc>
          <w:tcPr>
            <w:tcW w:w="8300" w:type="dxa"/>
            <w:vAlign w:val="bottom"/>
          </w:tcPr>
          <w:p>
            <w:pPr>
              <w:ind w:left="140"/>
              <w:spacing w:after="0"/>
              <w:rPr>
                <w:sz w:val="20"/>
                <w:szCs w:val="20"/>
                <w:color w:val="auto"/>
              </w:rPr>
            </w:pPr>
            <w:r>
              <w:rPr>
                <w:rFonts w:ascii="Arial" w:cs="Arial" w:eastAsia="Arial" w:hAnsi="Arial"/>
                <w:sz w:val="10"/>
                <w:szCs w:val="10"/>
                <w:color w:val="auto"/>
              </w:rPr>
              <w:t>Redeemable noncontrolling interests</w:t>
            </w:r>
          </w:p>
        </w:tc>
        <w:tc>
          <w:tcPr>
            <w:tcW w:w="28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Arial" w:cs="Arial" w:eastAsia="Arial" w:hAnsi="Arial"/>
                <w:sz w:val="10"/>
                <w:szCs w:val="10"/>
                <w:color w:val="auto"/>
              </w:rPr>
              <w:t>2,449</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(548)</w:t>
            </w:r>
          </w:p>
        </w:tc>
        <w:tc>
          <w:tcPr>
            <w:tcW w:w="100" w:type="dxa"/>
            <w:vAlign w:val="bottom"/>
          </w:tcPr>
          <w:p>
            <w:pPr>
              <w:spacing w:after="0"/>
              <w:rPr>
                <w:sz w:val="11"/>
                <w:szCs w:val="11"/>
                <w:color w:val="auto"/>
              </w:rPr>
            </w:pPr>
          </w:p>
        </w:tc>
      </w:tr>
      <w:tr>
        <w:trPr>
          <w:trHeight w:val="138"/>
        </w:trPr>
        <w:tc>
          <w:tcPr>
            <w:tcW w:w="83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Investment entities</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(355,862)</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(21,749)</w:t>
            </w:r>
          </w:p>
        </w:tc>
        <w:tc>
          <w:tcPr>
            <w:tcW w:w="100" w:type="dxa"/>
            <w:vAlign w:val="bottom"/>
            <w:shd w:val="clear" w:color="auto" w:fill="CCEEFF"/>
          </w:tcPr>
          <w:p>
            <w:pPr>
              <w:spacing w:after="0"/>
              <w:rPr>
                <w:sz w:val="12"/>
                <w:szCs w:val="12"/>
                <w:color w:val="auto"/>
              </w:rPr>
            </w:pPr>
          </w:p>
        </w:tc>
      </w:tr>
      <w:tr>
        <w:trPr>
          <w:trHeight w:val="132"/>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Operating Company</w:t>
            </w: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(27,896)</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(39,601)</w:t>
            </w:r>
          </w:p>
        </w:tc>
        <w:tc>
          <w:tcPr>
            <w:tcW w:w="100" w:type="dxa"/>
            <w:vAlign w:val="bottom"/>
            <w:tcBorders>
              <w:bottom w:val="single" w:sz="8" w:color="CCEEFF"/>
            </w:tcBorders>
          </w:tcPr>
          <w:p>
            <w:pPr>
              <w:spacing w:after="0"/>
              <w:rPr>
                <w:sz w:val="11"/>
                <w:szCs w:val="11"/>
                <w:color w:val="auto"/>
              </w:rPr>
            </w:pPr>
          </w:p>
        </w:tc>
      </w:tr>
      <w:tr>
        <w:trPr>
          <w:trHeight w:val="127"/>
        </w:trPr>
        <w:tc>
          <w:tcPr>
            <w:tcW w:w="83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 (loss) attributable to Colony Capital, Inc.</w:t>
            </w: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(246,290)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(342,159)</w:t>
            </w:r>
          </w:p>
        </w:tc>
        <w:tc>
          <w:tcPr>
            <w:tcW w:w="100" w:type="dxa"/>
            <w:vAlign w:val="bottom"/>
            <w:shd w:val="clear" w:color="auto" w:fill="CCEEFF"/>
          </w:tcPr>
          <w:p>
            <w:pPr>
              <w:spacing w:after="0"/>
              <w:rPr>
                <w:sz w:val="11"/>
                <w:szCs w:val="11"/>
                <w:color w:val="auto"/>
              </w:rPr>
            </w:pPr>
          </w:p>
        </w:tc>
      </w:tr>
      <w:tr>
        <w:trPr>
          <w:trHeight w:val="132"/>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Preferred stock dividends</w:t>
            </w: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18,516</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19,474</w:t>
            </w:r>
          </w:p>
        </w:tc>
        <w:tc>
          <w:tcPr>
            <w:tcW w:w="100" w:type="dxa"/>
            <w:vAlign w:val="bottom"/>
            <w:tcBorders>
              <w:bottom w:val="single" w:sz="8" w:color="CCEEFF"/>
            </w:tcBorders>
          </w:tcPr>
          <w:p>
            <w:pPr>
              <w:spacing w:after="0"/>
              <w:rPr>
                <w:sz w:val="11"/>
                <w:szCs w:val="11"/>
                <w:color w:val="auto"/>
              </w:rPr>
            </w:pPr>
          </w:p>
        </w:tc>
      </w:tr>
      <w:tr>
        <w:trPr>
          <w:trHeight w:val="145"/>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Net income (loss) attributable to common stockholders</w:t>
            </w:r>
          </w:p>
        </w:tc>
        <w:tc>
          <w:tcPr>
            <w:tcW w:w="2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(264,806)</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(361,633)</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15"/>
        </w:trPr>
        <w:tc>
          <w:tcPr>
            <w:tcW w:w="8300" w:type="dxa"/>
            <w:vAlign w:val="bottom"/>
          </w:tcPr>
          <w:p>
            <w:pPr>
              <w:spacing w:after="0"/>
              <w:rPr>
                <w:sz w:val="20"/>
                <w:szCs w:val="20"/>
                <w:color w:val="auto"/>
              </w:rPr>
            </w:pPr>
            <w:r>
              <w:rPr>
                <w:rFonts w:ascii="Arial" w:cs="Arial" w:eastAsia="Arial" w:hAnsi="Arial"/>
                <w:sz w:val="10"/>
                <w:szCs w:val="10"/>
                <w:b w:val="1"/>
                <w:bCs w:val="1"/>
                <w:color w:val="auto"/>
              </w:rPr>
              <w:t>Loss per share—basic</w:t>
            </w: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1"/>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Loss from continuing operations per share—basic</w:t>
            </w:r>
          </w:p>
        </w:tc>
        <w:tc>
          <w:tcPr>
            <w:tcW w:w="2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(0.30)</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(0.28)</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153"/>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Net loss attributable to common stockholders per share—basic</w:t>
            </w:r>
          </w:p>
        </w:tc>
        <w:tc>
          <w:tcPr>
            <w:tcW w:w="28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(0.56)</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(0.76)</w:t>
            </w:r>
          </w:p>
        </w:tc>
        <w:tc>
          <w:tcPr>
            <w:tcW w:w="100" w:type="dxa"/>
            <w:vAlign w:val="bottom"/>
            <w:tcBorders>
              <w:bottom w:val="single" w:sz="8" w:color="CCEEFF"/>
            </w:tcBorders>
          </w:tcPr>
          <w:p>
            <w:pPr>
              <w:spacing w:after="0"/>
              <w:rPr>
                <w:sz w:val="13"/>
                <w:szCs w:val="13"/>
                <w:color w:val="auto"/>
              </w:rPr>
            </w:pPr>
          </w:p>
        </w:tc>
      </w:tr>
      <w:tr>
        <w:trPr>
          <w:trHeight w:val="115"/>
        </w:trPr>
        <w:tc>
          <w:tcPr>
            <w:tcW w:w="83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Loss per share—diluted</w:t>
            </w:r>
          </w:p>
        </w:tc>
        <w:tc>
          <w:tcPr>
            <w:tcW w:w="2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1"/>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Loss from continuing operations per share—diluted</w:t>
            </w:r>
          </w:p>
        </w:tc>
        <w:tc>
          <w:tcPr>
            <w:tcW w:w="28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(0.30)</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(0.28)</w:t>
            </w:r>
          </w:p>
        </w:tc>
        <w:tc>
          <w:tcPr>
            <w:tcW w:w="100" w:type="dxa"/>
            <w:vAlign w:val="bottom"/>
            <w:tcBorders>
              <w:bottom w:val="single" w:sz="8" w:color="CCEEFF"/>
            </w:tcBorders>
          </w:tcPr>
          <w:p>
            <w:pPr>
              <w:spacing w:after="0"/>
              <w:rPr>
                <w:sz w:val="13"/>
                <w:szCs w:val="13"/>
                <w:color w:val="auto"/>
              </w:rPr>
            </w:pPr>
          </w:p>
        </w:tc>
      </w:tr>
      <w:tr>
        <w:trPr>
          <w:trHeight w:val="153"/>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Net loss attributable to common stockholders per share—diluted</w:t>
            </w:r>
          </w:p>
        </w:tc>
        <w:tc>
          <w:tcPr>
            <w:tcW w:w="2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(0.56)</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(0.76)</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115"/>
        </w:trPr>
        <w:tc>
          <w:tcPr>
            <w:tcW w:w="8300" w:type="dxa"/>
            <w:vAlign w:val="bottom"/>
          </w:tcPr>
          <w:p>
            <w:pPr>
              <w:spacing w:after="0"/>
              <w:rPr>
                <w:sz w:val="20"/>
                <w:szCs w:val="20"/>
                <w:color w:val="auto"/>
              </w:rPr>
            </w:pPr>
            <w:r>
              <w:rPr>
                <w:rFonts w:ascii="Arial" w:cs="Arial" w:eastAsia="Arial" w:hAnsi="Arial"/>
                <w:sz w:val="10"/>
                <w:szCs w:val="10"/>
                <w:b w:val="1"/>
                <w:bCs w:val="1"/>
                <w:color w:val="auto"/>
              </w:rPr>
              <w:t>Weighted average number of shares</w:t>
            </w: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1"/>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Basic</w:t>
            </w:r>
          </w:p>
        </w:tc>
        <w:tc>
          <w:tcPr>
            <w:tcW w:w="2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474,899</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479,106</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132"/>
        </w:trPr>
        <w:tc>
          <w:tcPr>
            <w:tcW w:w="8300" w:type="dxa"/>
            <w:vAlign w:val="bottom"/>
          </w:tcPr>
          <w:p>
            <w:pPr>
              <w:ind w:left="140"/>
              <w:spacing w:after="0"/>
              <w:rPr>
                <w:sz w:val="20"/>
                <w:szCs w:val="20"/>
                <w:color w:val="auto"/>
              </w:rPr>
            </w:pPr>
            <w:r>
              <w:rPr>
                <w:rFonts w:ascii="Arial" w:cs="Arial" w:eastAsia="Arial" w:hAnsi="Arial"/>
                <w:sz w:val="10"/>
                <w:szCs w:val="10"/>
                <w:color w:val="auto"/>
              </w:rPr>
              <w:t>Diluted</w:t>
            </w: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474,899</w:t>
            </w: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479,106</w:t>
            </w:r>
          </w:p>
        </w:tc>
        <w:tc>
          <w:tcPr>
            <w:tcW w:w="100" w:type="dxa"/>
            <w:vAlign w:val="bottom"/>
          </w:tcPr>
          <w:p>
            <w:pPr>
              <w:spacing w:after="0"/>
              <w:rPr>
                <w:sz w:val="11"/>
                <w:szCs w:val="11"/>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8</w:t>
      </w:r>
    </w:p>
    <w:p>
      <w:pPr>
        <w:sectPr>
          <w:pgSz w:w="11900" w:h="16838" w:orient="portrait"/>
          <w:cols w:equalWidth="0" w:num="1">
            <w:col w:w="11300"/>
          </w:cols>
          <w:pgMar w:left="300" w:top="930" w:right="299" w:bottom="1440" w:gutter="0" w:footer="0" w:header="0"/>
        </w:sectPr>
      </w:pPr>
    </w:p>
    <w:bookmarkStart w:id="11" w:name="page12"/>
    <w:bookmarkEnd w:id="11"/>
    <w:p>
      <w:pPr>
        <w:jc w:val="center"/>
        <w:ind w:right="-7"/>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819785</wp:posOffset>
            </wp:positionH>
            <wp:positionV relativeFrom="page">
              <wp:posOffset>197485</wp:posOffset>
            </wp:positionV>
            <wp:extent cx="1057275" cy="217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57275" cy="217170"/>
                    </a:xfrm>
                    <a:prstGeom prst="rect">
                      <a:avLst/>
                    </a:prstGeom>
                    <a:noFill/>
                  </pic:spPr>
                </pic:pic>
              </a:graphicData>
            </a:graphic>
          </wp:anchor>
        </w:drawing>
        <w:t>FUNDS FROM OPERATIONS AND CORE FUNDS FROM OPERATIONS</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(In thousands, except per share data, unaudited)</w:t>
      </w:r>
    </w:p>
    <w:p>
      <w:pPr>
        <w:spacing w:after="0" w:line="65"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8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60" w:type="dxa"/>
            <w:vAlign w:val="bottom"/>
            <w:gridSpan w:val="5"/>
          </w:tcPr>
          <w:p>
            <w:pPr>
              <w:ind w:left="580"/>
              <w:spacing w:after="0"/>
              <w:rPr>
                <w:sz w:val="20"/>
                <w:szCs w:val="20"/>
                <w:color w:val="auto"/>
              </w:rPr>
            </w:pPr>
            <w:r>
              <w:rPr>
                <w:rFonts w:ascii="Arial" w:cs="Arial" w:eastAsia="Arial" w:hAnsi="Arial"/>
                <w:sz w:val="8"/>
                <w:szCs w:val="8"/>
                <w:b w:val="1"/>
                <w:bCs w:val="1"/>
                <w:color w:val="auto"/>
              </w:rPr>
              <w:t>Three Months Ended</w:t>
            </w:r>
          </w:p>
        </w:tc>
      </w:tr>
      <w:tr>
        <w:trPr>
          <w:trHeight w:val="108"/>
        </w:trPr>
        <w:tc>
          <w:tcPr>
            <w:tcW w:w="88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8"/>
                <w:szCs w:val="8"/>
                <w:b w:val="1"/>
                <w:bCs w:val="1"/>
                <w:color w:val="auto"/>
              </w:rPr>
              <w:t>March 31, 2021</w:t>
            </w:r>
          </w:p>
        </w:tc>
        <w:tc>
          <w:tcPr>
            <w:tcW w:w="1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211"/>
              <w:spacing w:after="0"/>
              <w:rPr>
                <w:sz w:val="20"/>
                <w:szCs w:val="20"/>
                <w:color w:val="auto"/>
              </w:rPr>
            </w:pPr>
            <w:r>
              <w:rPr>
                <w:rFonts w:ascii="Arial" w:cs="Arial" w:eastAsia="Arial" w:hAnsi="Arial"/>
                <w:sz w:val="8"/>
                <w:szCs w:val="8"/>
                <w:b w:val="1"/>
                <w:bCs w:val="1"/>
                <w:color w:val="auto"/>
              </w:rPr>
              <w:t>March 31, 2020</w:t>
            </w:r>
          </w:p>
        </w:tc>
        <w:tc>
          <w:tcPr>
            <w:tcW w:w="100" w:type="dxa"/>
            <w:vAlign w:val="bottom"/>
          </w:tcPr>
          <w:p>
            <w:pPr>
              <w:spacing w:after="0"/>
              <w:rPr>
                <w:sz w:val="9"/>
                <w:szCs w:val="9"/>
                <w:color w:val="auto"/>
              </w:rPr>
            </w:pPr>
          </w:p>
        </w:tc>
      </w:tr>
      <w:tr>
        <w:trPr>
          <w:trHeight w:val="119"/>
        </w:trPr>
        <w:tc>
          <w:tcPr>
            <w:tcW w:w="888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0"/>
                <w:szCs w:val="10"/>
                <w:color w:val="auto"/>
              </w:rPr>
              <w:t>Net loss attributable to common stockholders</w:t>
            </w:r>
          </w:p>
        </w:tc>
        <w:tc>
          <w:tcPr>
            <w:tcW w:w="1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(264,806)</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(361,633)</w:t>
            </w:r>
          </w:p>
        </w:tc>
        <w:tc>
          <w:tcPr>
            <w:tcW w:w="100" w:type="dxa"/>
            <w:vAlign w:val="bottom"/>
            <w:tcBorders>
              <w:top w:val="single" w:sz="8" w:color="CCEEFF"/>
            </w:tcBorders>
            <w:shd w:val="clear" w:color="auto" w:fill="CCEEFF"/>
          </w:tcPr>
          <w:p>
            <w:pPr>
              <w:spacing w:after="0"/>
              <w:rPr>
                <w:sz w:val="10"/>
                <w:szCs w:val="10"/>
                <w:color w:val="auto"/>
              </w:rPr>
            </w:pPr>
          </w:p>
        </w:tc>
      </w:tr>
      <w:tr>
        <w:trPr>
          <w:trHeight w:val="126"/>
        </w:trPr>
        <w:tc>
          <w:tcPr>
            <w:tcW w:w="8880" w:type="dxa"/>
            <w:vAlign w:val="bottom"/>
          </w:tcPr>
          <w:p>
            <w:pPr>
              <w:spacing w:after="0"/>
              <w:rPr>
                <w:sz w:val="20"/>
                <w:szCs w:val="20"/>
                <w:color w:val="auto"/>
              </w:rPr>
            </w:pPr>
            <w:r>
              <w:rPr>
                <w:rFonts w:ascii="Arial" w:cs="Arial" w:eastAsia="Arial" w:hAnsi="Arial"/>
                <w:sz w:val="10"/>
                <w:szCs w:val="10"/>
                <w:color w:val="auto"/>
              </w:rPr>
              <w:t>Adjustments for FFO attributable to common interests in Operating Company and common stockholders:</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6"/>
        </w:trPr>
        <w:tc>
          <w:tcPr>
            <w:tcW w:w="88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Net loss attributable to noncontrolling common interests in Operating Company</w:t>
            </w: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(27,896)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(39,601)</w:t>
            </w:r>
          </w:p>
        </w:tc>
        <w:tc>
          <w:tcPr>
            <w:tcW w:w="100" w:type="dxa"/>
            <w:vAlign w:val="bottom"/>
            <w:shd w:val="clear" w:color="auto" w:fill="CCEEFF"/>
          </w:tcPr>
          <w:p>
            <w:pPr>
              <w:spacing w:after="0"/>
              <w:rPr>
                <w:sz w:val="10"/>
                <w:szCs w:val="10"/>
                <w:color w:val="auto"/>
              </w:rPr>
            </w:pPr>
          </w:p>
        </w:tc>
      </w:tr>
      <w:tr>
        <w:trPr>
          <w:trHeight w:val="126"/>
        </w:trPr>
        <w:tc>
          <w:tcPr>
            <w:tcW w:w="8880" w:type="dxa"/>
            <w:vAlign w:val="bottom"/>
          </w:tcPr>
          <w:p>
            <w:pPr>
              <w:ind w:left="200"/>
              <w:spacing w:after="0"/>
              <w:rPr>
                <w:sz w:val="20"/>
                <w:szCs w:val="20"/>
                <w:color w:val="auto"/>
              </w:rPr>
            </w:pPr>
            <w:r>
              <w:rPr>
                <w:rFonts w:ascii="Arial" w:cs="Arial" w:eastAsia="Arial" w:hAnsi="Arial"/>
                <w:sz w:val="10"/>
                <w:szCs w:val="10"/>
                <w:color w:val="auto"/>
              </w:rPr>
              <w:t>Real estate depreciation and amortization</w:t>
            </w:r>
          </w:p>
        </w:tc>
        <w:tc>
          <w:tcPr>
            <w:tcW w:w="1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184,762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130,523</w:t>
            </w:r>
          </w:p>
        </w:tc>
        <w:tc>
          <w:tcPr>
            <w:tcW w:w="100" w:type="dxa"/>
            <w:vAlign w:val="bottom"/>
          </w:tcPr>
          <w:p>
            <w:pPr>
              <w:spacing w:after="0"/>
              <w:rPr>
                <w:sz w:val="10"/>
                <w:szCs w:val="10"/>
                <w:color w:val="auto"/>
              </w:rPr>
            </w:pPr>
          </w:p>
        </w:tc>
      </w:tr>
      <w:tr>
        <w:trPr>
          <w:trHeight w:val="126"/>
        </w:trPr>
        <w:tc>
          <w:tcPr>
            <w:tcW w:w="88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Impairment of real estate</w:t>
            </w: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106,077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308,268</w:t>
            </w:r>
          </w:p>
        </w:tc>
        <w:tc>
          <w:tcPr>
            <w:tcW w:w="100" w:type="dxa"/>
            <w:vAlign w:val="bottom"/>
            <w:shd w:val="clear" w:color="auto" w:fill="CCEEFF"/>
          </w:tcPr>
          <w:p>
            <w:pPr>
              <w:spacing w:after="0"/>
              <w:rPr>
                <w:sz w:val="10"/>
                <w:szCs w:val="10"/>
                <w:color w:val="auto"/>
              </w:rPr>
            </w:pPr>
          </w:p>
        </w:tc>
      </w:tr>
      <w:tr>
        <w:trPr>
          <w:trHeight w:val="126"/>
        </w:trPr>
        <w:tc>
          <w:tcPr>
            <w:tcW w:w="8880" w:type="dxa"/>
            <w:vAlign w:val="bottom"/>
          </w:tcPr>
          <w:p>
            <w:pPr>
              <w:ind w:left="200"/>
              <w:spacing w:after="0"/>
              <w:rPr>
                <w:sz w:val="20"/>
                <w:szCs w:val="20"/>
                <w:color w:val="auto"/>
              </w:rPr>
            </w:pPr>
            <w:r>
              <w:rPr>
                <w:rFonts w:ascii="Arial" w:cs="Arial" w:eastAsia="Arial" w:hAnsi="Arial"/>
                <w:sz w:val="10"/>
                <w:szCs w:val="10"/>
                <w:color w:val="auto"/>
              </w:rPr>
              <w:t>Loss (gain) from sales of real estate</w:t>
            </w:r>
          </w:p>
        </w:tc>
        <w:tc>
          <w:tcPr>
            <w:tcW w:w="1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(38,102)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(7,933)</w:t>
            </w:r>
          </w:p>
        </w:tc>
        <w:tc>
          <w:tcPr>
            <w:tcW w:w="100" w:type="dxa"/>
            <w:vAlign w:val="bottom"/>
          </w:tcPr>
          <w:p>
            <w:pPr>
              <w:spacing w:after="0"/>
              <w:rPr>
                <w:sz w:val="10"/>
                <w:szCs w:val="10"/>
                <w:color w:val="auto"/>
              </w:rPr>
            </w:pPr>
          </w:p>
        </w:tc>
      </w:tr>
      <w:tr>
        <w:trPr>
          <w:trHeight w:val="126"/>
        </w:trPr>
        <w:tc>
          <w:tcPr>
            <w:tcW w:w="88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Less: Adjustments attributable to noncontrolling interests in investment entities</w:t>
            </w:r>
          </w:p>
        </w:tc>
        <w:tc>
          <w:tcPr>
            <w:tcW w:w="16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(188,496)</w:t>
            </w:r>
          </w:p>
        </w:tc>
        <w:tc>
          <w:tcPr>
            <w:tcW w:w="1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(82,329)</w:t>
            </w:r>
          </w:p>
        </w:tc>
        <w:tc>
          <w:tcPr>
            <w:tcW w:w="100" w:type="dxa"/>
            <w:vAlign w:val="bottom"/>
            <w:shd w:val="clear" w:color="auto" w:fill="CCEEFF"/>
          </w:tcPr>
          <w:p>
            <w:pPr>
              <w:spacing w:after="0"/>
              <w:rPr>
                <w:sz w:val="10"/>
                <w:szCs w:val="10"/>
                <w:color w:val="auto"/>
              </w:rPr>
            </w:pPr>
          </w:p>
        </w:tc>
      </w:tr>
      <w:tr>
        <w:trPr>
          <w:trHeight w:val="190"/>
        </w:trPr>
        <w:tc>
          <w:tcPr>
            <w:tcW w:w="88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FFO attributable to common interests in Operating Company and common stockholders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(228,461)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(52,705)</w:t>
            </w:r>
          </w:p>
        </w:tc>
        <w:tc>
          <w:tcPr>
            <w:tcW w:w="100" w:type="dxa"/>
            <w:vAlign w:val="bottom"/>
            <w:tcBorders>
              <w:bottom w:val="single" w:sz="8" w:color="CCEEFF"/>
            </w:tcBorders>
          </w:tcPr>
          <w:p>
            <w:pPr>
              <w:spacing w:after="0"/>
              <w:rPr>
                <w:sz w:val="16"/>
                <w:szCs w:val="16"/>
                <w:color w:val="auto"/>
              </w:rPr>
            </w:pPr>
          </w:p>
        </w:tc>
      </w:tr>
      <w:tr>
        <w:trPr>
          <w:trHeight w:val="126"/>
        </w:trPr>
        <w:tc>
          <w:tcPr>
            <w:tcW w:w="8880" w:type="dxa"/>
            <w:vAlign w:val="bottom"/>
            <w:tcBorders>
              <w:top w:val="single" w:sz="8" w:color="CCEEFF"/>
            </w:tcBorders>
          </w:tcPr>
          <w:p>
            <w:pPr>
              <w:spacing w:after="0"/>
              <w:rPr>
                <w:sz w:val="20"/>
                <w:szCs w:val="20"/>
                <w:color w:val="auto"/>
              </w:rPr>
            </w:pPr>
            <w:r>
              <w:rPr>
                <w:rFonts w:ascii="Arial" w:cs="Arial" w:eastAsia="Arial" w:hAnsi="Arial"/>
                <w:sz w:val="10"/>
                <w:szCs w:val="10"/>
                <w:color w:val="auto"/>
              </w:rPr>
              <w:t>Additional adjustments for Core FFO attributable to common interests in Operating Company and common stockholders:</w:t>
            </w:r>
          </w:p>
        </w:tc>
        <w:tc>
          <w:tcPr>
            <w:tcW w:w="16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126"/>
        </w:trPr>
        <w:tc>
          <w:tcPr>
            <w:tcW w:w="8880" w:type="dxa"/>
            <w:vAlign w:val="bottom"/>
            <w:shd w:val="clear" w:color="auto" w:fill="CCEEFF"/>
          </w:tcPr>
          <w:p>
            <w:pPr>
              <w:ind w:left="160"/>
              <w:spacing w:after="0"/>
              <w:rPr>
                <w:sz w:val="20"/>
                <w:szCs w:val="20"/>
                <w:color w:val="auto"/>
              </w:rPr>
            </w:pPr>
            <w:r>
              <w:rPr>
                <w:rFonts w:ascii="Arial" w:cs="Arial" w:eastAsia="Arial" w:hAnsi="Arial"/>
                <w:sz w:val="10"/>
                <w:szCs w:val="10"/>
                <w:color w:val="auto"/>
              </w:rPr>
              <w:t>Adjustment to CLNC cash dividend</w:t>
            </w: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55,648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42,112</w:t>
            </w:r>
          </w:p>
        </w:tc>
        <w:tc>
          <w:tcPr>
            <w:tcW w:w="100" w:type="dxa"/>
            <w:vAlign w:val="bottom"/>
            <w:shd w:val="clear" w:color="auto" w:fill="CCEEFF"/>
          </w:tcPr>
          <w:p>
            <w:pPr>
              <w:spacing w:after="0"/>
              <w:rPr>
                <w:sz w:val="10"/>
                <w:szCs w:val="10"/>
                <w:color w:val="auto"/>
              </w:rPr>
            </w:pPr>
          </w:p>
        </w:tc>
      </w:tr>
      <w:tr>
        <w:trPr>
          <w:trHeight w:val="126"/>
        </w:trPr>
        <w:tc>
          <w:tcPr>
            <w:tcW w:w="8880" w:type="dxa"/>
            <w:vAlign w:val="bottom"/>
          </w:tcPr>
          <w:p>
            <w:pPr>
              <w:ind w:left="160"/>
              <w:spacing w:after="0"/>
              <w:rPr>
                <w:sz w:val="20"/>
                <w:szCs w:val="20"/>
                <w:color w:val="auto"/>
              </w:rPr>
            </w:pPr>
            <w:r>
              <w:rPr>
                <w:rFonts w:ascii="Arial" w:cs="Arial" w:eastAsia="Arial" w:hAnsi="Arial"/>
                <w:sz w:val="10"/>
                <w:szCs w:val="10"/>
                <w:color w:val="auto"/>
              </w:rPr>
              <w:t>Equity-based compensation expense</w:t>
            </w:r>
          </w:p>
        </w:tc>
        <w:tc>
          <w:tcPr>
            <w:tcW w:w="1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19,299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8,732</w:t>
            </w:r>
          </w:p>
        </w:tc>
        <w:tc>
          <w:tcPr>
            <w:tcW w:w="100" w:type="dxa"/>
            <w:vAlign w:val="bottom"/>
          </w:tcPr>
          <w:p>
            <w:pPr>
              <w:spacing w:after="0"/>
              <w:rPr>
                <w:sz w:val="10"/>
                <w:szCs w:val="10"/>
                <w:color w:val="auto"/>
              </w:rPr>
            </w:pPr>
          </w:p>
        </w:tc>
      </w:tr>
      <w:tr>
        <w:trPr>
          <w:trHeight w:val="126"/>
        </w:trPr>
        <w:tc>
          <w:tcPr>
            <w:tcW w:w="8880" w:type="dxa"/>
            <w:vAlign w:val="bottom"/>
            <w:shd w:val="clear" w:color="auto" w:fill="CCEEFF"/>
          </w:tcPr>
          <w:p>
            <w:pPr>
              <w:ind w:left="160"/>
              <w:spacing w:after="0"/>
              <w:rPr>
                <w:sz w:val="20"/>
                <w:szCs w:val="20"/>
                <w:color w:val="auto"/>
              </w:rPr>
            </w:pPr>
            <w:r>
              <w:rPr>
                <w:rFonts w:ascii="Arial" w:cs="Arial" w:eastAsia="Arial" w:hAnsi="Arial"/>
                <w:sz w:val="10"/>
                <w:szCs w:val="10"/>
                <w:color w:val="auto"/>
              </w:rPr>
              <w:t>Straight-line rent revenue and expense</w:t>
            </w: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17,225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(2,025)</w:t>
            </w:r>
          </w:p>
        </w:tc>
        <w:tc>
          <w:tcPr>
            <w:tcW w:w="100" w:type="dxa"/>
            <w:vAlign w:val="bottom"/>
            <w:shd w:val="clear" w:color="auto" w:fill="CCEEFF"/>
          </w:tcPr>
          <w:p>
            <w:pPr>
              <w:spacing w:after="0"/>
              <w:rPr>
                <w:sz w:val="10"/>
                <w:szCs w:val="10"/>
                <w:color w:val="auto"/>
              </w:rPr>
            </w:pPr>
          </w:p>
        </w:tc>
      </w:tr>
      <w:tr>
        <w:trPr>
          <w:trHeight w:val="126"/>
        </w:trPr>
        <w:tc>
          <w:tcPr>
            <w:tcW w:w="8880" w:type="dxa"/>
            <w:vAlign w:val="bottom"/>
          </w:tcPr>
          <w:p>
            <w:pPr>
              <w:ind w:left="160"/>
              <w:spacing w:after="0"/>
              <w:rPr>
                <w:sz w:val="20"/>
                <w:szCs w:val="20"/>
                <w:color w:val="auto"/>
              </w:rPr>
            </w:pPr>
            <w:r>
              <w:rPr>
                <w:rFonts w:ascii="Arial" w:cs="Arial" w:eastAsia="Arial" w:hAnsi="Arial"/>
                <w:sz w:val="10"/>
                <w:szCs w:val="10"/>
                <w:color w:val="auto"/>
              </w:rPr>
              <w:t>Amortization of acquired above- and below-market lease values, net</w:t>
            </w:r>
          </w:p>
        </w:tc>
        <w:tc>
          <w:tcPr>
            <w:tcW w:w="1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6,005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(3,519)</w:t>
            </w:r>
          </w:p>
        </w:tc>
        <w:tc>
          <w:tcPr>
            <w:tcW w:w="100" w:type="dxa"/>
            <w:vAlign w:val="bottom"/>
          </w:tcPr>
          <w:p>
            <w:pPr>
              <w:spacing w:after="0"/>
              <w:rPr>
                <w:sz w:val="10"/>
                <w:szCs w:val="10"/>
                <w:color w:val="auto"/>
              </w:rPr>
            </w:pPr>
          </w:p>
        </w:tc>
      </w:tr>
      <w:tr>
        <w:trPr>
          <w:trHeight w:val="126"/>
        </w:trPr>
        <w:tc>
          <w:tcPr>
            <w:tcW w:w="8880" w:type="dxa"/>
            <w:vAlign w:val="bottom"/>
            <w:shd w:val="clear" w:color="auto" w:fill="CCEEFF"/>
          </w:tcPr>
          <w:p>
            <w:pPr>
              <w:ind w:left="160"/>
              <w:spacing w:after="0"/>
              <w:rPr>
                <w:sz w:val="20"/>
                <w:szCs w:val="20"/>
                <w:color w:val="auto"/>
              </w:rPr>
            </w:pPr>
            <w:r>
              <w:rPr>
                <w:rFonts w:ascii="Arial" w:cs="Arial" w:eastAsia="Arial" w:hAnsi="Arial"/>
                <w:sz w:val="10"/>
                <w:szCs w:val="10"/>
                <w:color w:val="auto"/>
              </w:rPr>
              <w:t>Debt prepayment penalties and amortization of deferred financing costs and debt premiums and discounts</w:t>
            </w: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45,627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15,049</w:t>
            </w:r>
          </w:p>
        </w:tc>
        <w:tc>
          <w:tcPr>
            <w:tcW w:w="100" w:type="dxa"/>
            <w:vAlign w:val="bottom"/>
            <w:shd w:val="clear" w:color="auto" w:fill="CCEEFF"/>
          </w:tcPr>
          <w:p>
            <w:pPr>
              <w:spacing w:after="0"/>
              <w:rPr>
                <w:sz w:val="10"/>
                <w:szCs w:val="10"/>
                <w:color w:val="auto"/>
              </w:rPr>
            </w:pPr>
          </w:p>
        </w:tc>
      </w:tr>
      <w:tr>
        <w:trPr>
          <w:trHeight w:val="126"/>
        </w:trPr>
        <w:tc>
          <w:tcPr>
            <w:tcW w:w="8880" w:type="dxa"/>
            <w:vAlign w:val="bottom"/>
          </w:tcPr>
          <w:p>
            <w:pPr>
              <w:ind w:left="160"/>
              <w:spacing w:after="0"/>
              <w:rPr>
                <w:sz w:val="20"/>
                <w:szCs w:val="20"/>
                <w:color w:val="auto"/>
              </w:rPr>
            </w:pPr>
            <w:r>
              <w:rPr>
                <w:rFonts w:ascii="Arial" w:cs="Arial" w:eastAsia="Arial" w:hAnsi="Arial"/>
                <w:sz w:val="10"/>
                <w:szCs w:val="10"/>
                <w:color w:val="auto"/>
              </w:rPr>
              <w:t>Non-real estate fixed asset depreciation, amortization and impairment</w:t>
            </w:r>
          </w:p>
        </w:tc>
        <w:tc>
          <w:tcPr>
            <w:tcW w:w="1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20,563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92,230</w:t>
            </w:r>
          </w:p>
        </w:tc>
        <w:tc>
          <w:tcPr>
            <w:tcW w:w="100" w:type="dxa"/>
            <w:vAlign w:val="bottom"/>
          </w:tcPr>
          <w:p>
            <w:pPr>
              <w:spacing w:after="0"/>
              <w:rPr>
                <w:sz w:val="10"/>
                <w:szCs w:val="10"/>
                <w:color w:val="auto"/>
              </w:rPr>
            </w:pPr>
          </w:p>
        </w:tc>
      </w:tr>
      <w:tr>
        <w:trPr>
          <w:trHeight w:val="135"/>
        </w:trPr>
        <w:tc>
          <w:tcPr>
            <w:tcW w:w="8880" w:type="dxa"/>
            <w:vAlign w:val="bottom"/>
            <w:shd w:val="clear" w:color="auto" w:fill="CCEEFF"/>
          </w:tcPr>
          <w:p>
            <w:pPr>
              <w:ind w:left="160"/>
              <w:spacing w:after="0"/>
              <w:rPr>
                <w:sz w:val="20"/>
                <w:szCs w:val="20"/>
                <w:color w:val="auto"/>
              </w:rPr>
            </w:pPr>
            <w:r>
              <w:rPr>
                <w:rFonts w:ascii="Arial" w:cs="Arial" w:eastAsia="Arial" w:hAnsi="Arial"/>
                <w:sz w:val="10"/>
                <w:szCs w:val="10"/>
                <w:color w:val="auto"/>
              </w:rPr>
              <w:t>Restructuring and transaction-related charges</w:t>
            </w:r>
            <w:r>
              <w:rPr>
                <w:rFonts w:ascii="Arial" w:cs="Arial" w:eastAsia="Arial" w:hAnsi="Arial"/>
                <w:sz w:val="6"/>
                <w:szCs w:val="6"/>
                <w:color w:val="auto"/>
              </w:rPr>
              <w:t>(1)</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34,482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15,568</w:t>
            </w:r>
          </w:p>
        </w:tc>
        <w:tc>
          <w:tcPr>
            <w:tcW w:w="100" w:type="dxa"/>
            <w:vAlign w:val="bottom"/>
            <w:shd w:val="clear" w:color="auto" w:fill="CCEEFF"/>
          </w:tcPr>
          <w:p>
            <w:pPr>
              <w:spacing w:after="0"/>
              <w:rPr>
                <w:sz w:val="11"/>
                <w:szCs w:val="11"/>
                <w:color w:val="auto"/>
              </w:rPr>
            </w:pPr>
          </w:p>
        </w:tc>
      </w:tr>
      <w:tr>
        <w:trPr>
          <w:trHeight w:val="126"/>
        </w:trPr>
        <w:tc>
          <w:tcPr>
            <w:tcW w:w="8880" w:type="dxa"/>
            <w:vAlign w:val="bottom"/>
          </w:tcPr>
          <w:p>
            <w:pPr>
              <w:ind w:left="160"/>
              <w:spacing w:after="0"/>
              <w:rPr>
                <w:sz w:val="20"/>
                <w:szCs w:val="20"/>
                <w:color w:val="auto"/>
              </w:rPr>
            </w:pPr>
            <w:r>
              <w:rPr>
                <w:rFonts w:ascii="Arial" w:cs="Arial" w:eastAsia="Arial" w:hAnsi="Arial"/>
                <w:sz w:val="10"/>
                <w:szCs w:val="10"/>
                <w:color w:val="auto"/>
              </w:rPr>
              <w:t>Non-real estate (gains) losses, excluding realized gains or losses within the Digital Other segment</w:t>
            </w:r>
          </w:p>
        </w:tc>
        <w:tc>
          <w:tcPr>
            <w:tcW w:w="1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267,812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(117,739)</w:t>
            </w:r>
          </w:p>
        </w:tc>
        <w:tc>
          <w:tcPr>
            <w:tcW w:w="100" w:type="dxa"/>
            <w:vAlign w:val="bottom"/>
          </w:tcPr>
          <w:p>
            <w:pPr>
              <w:spacing w:after="0"/>
              <w:rPr>
                <w:sz w:val="10"/>
                <w:szCs w:val="10"/>
                <w:color w:val="auto"/>
              </w:rPr>
            </w:pPr>
          </w:p>
        </w:tc>
      </w:tr>
      <w:tr>
        <w:trPr>
          <w:trHeight w:val="126"/>
        </w:trPr>
        <w:tc>
          <w:tcPr>
            <w:tcW w:w="8880" w:type="dxa"/>
            <w:vAlign w:val="bottom"/>
            <w:shd w:val="clear" w:color="auto" w:fill="CCEEFF"/>
          </w:tcPr>
          <w:p>
            <w:pPr>
              <w:ind w:left="160"/>
              <w:spacing w:after="0"/>
              <w:rPr>
                <w:sz w:val="20"/>
                <w:szCs w:val="20"/>
                <w:color w:val="auto"/>
              </w:rPr>
            </w:pPr>
            <w:r>
              <w:rPr>
                <w:rFonts w:ascii="Arial" w:cs="Arial" w:eastAsia="Arial" w:hAnsi="Arial"/>
                <w:sz w:val="10"/>
                <w:szCs w:val="10"/>
                <w:color w:val="auto"/>
              </w:rPr>
              <w:t>Net unrealized carried interest</w:t>
            </w: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9,230</w:t>
            </w:r>
          </w:p>
        </w:tc>
        <w:tc>
          <w:tcPr>
            <w:tcW w:w="100" w:type="dxa"/>
            <w:vAlign w:val="bottom"/>
            <w:shd w:val="clear" w:color="auto" w:fill="CCEEFF"/>
          </w:tcPr>
          <w:p>
            <w:pPr>
              <w:spacing w:after="0"/>
              <w:rPr>
                <w:sz w:val="10"/>
                <w:szCs w:val="10"/>
                <w:color w:val="auto"/>
              </w:rPr>
            </w:pPr>
          </w:p>
        </w:tc>
      </w:tr>
      <w:tr>
        <w:trPr>
          <w:trHeight w:val="126"/>
        </w:trPr>
        <w:tc>
          <w:tcPr>
            <w:tcW w:w="8880" w:type="dxa"/>
            <w:vAlign w:val="bottom"/>
          </w:tcPr>
          <w:p>
            <w:pPr>
              <w:ind w:left="160"/>
              <w:spacing w:after="0"/>
              <w:rPr>
                <w:sz w:val="20"/>
                <w:szCs w:val="20"/>
                <w:color w:val="auto"/>
              </w:rPr>
            </w:pPr>
            <w:r>
              <w:rPr>
                <w:rFonts w:ascii="Arial" w:cs="Arial" w:eastAsia="Arial" w:hAnsi="Arial"/>
                <w:sz w:val="10"/>
                <w:szCs w:val="10"/>
                <w:color w:val="auto"/>
              </w:rPr>
              <w:t>Deferred taxes and tax effect on certain of the foregoing adjustments</w:t>
            </w:r>
          </w:p>
        </w:tc>
        <w:tc>
          <w:tcPr>
            <w:tcW w:w="1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(34,480)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(2,927)</w:t>
            </w:r>
          </w:p>
        </w:tc>
        <w:tc>
          <w:tcPr>
            <w:tcW w:w="100" w:type="dxa"/>
            <w:vAlign w:val="bottom"/>
          </w:tcPr>
          <w:p>
            <w:pPr>
              <w:spacing w:after="0"/>
              <w:rPr>
                <w:sz w:val="10"/>
                <w:szCs w:val="10"/>
                <w:color w:val="auto"/>
              </w:rPr>
            </w:pPr>
          </w:p>
        </w:tc>
      </w:tr>
      <w:tr>
        <w:trPr>
          <w:trHeight w:val="126"/>
        </w:trPr>
        <w:tc>
          <w:tcPr>
            <w:tcW w:w="8880" w:type="dxa"/>
            <w:vAlign w:val="bottom"/>
            <w:shd w:val="clear" w:color="auto" w:fill="CCEEFF"/>
          </w:tcPr>
          <w:p>
            <w:pPr>
              <w:ind w:left="160"/>
              <w:spacing w:after="0"/>
              <w:rPr>
                <w:sz w:val="20"/>
                <w:szCs w:val="20"/>
                <w:color w:val="auto"/>
              </w:rPr>
            </w:pPr>
            <w:r>
              <w:rPr>
                <w:rFonts w:ascii="Arial" w:cs="Arial" w:eastAsia="Arial" w:hAnsi="Arial"/>
                <w:sz w:val="10"/>
                <w:szCs w:val="10"/>
                <w:color w:val="auto"/>
              </w:rPr>
              <w:t>Less: Adjustments attributable to noncontrolling interests in investment entities</w:t>
            </w: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(217,706)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3,786</w:t>
            </w:r>
          </w:p>
        </w:tc>
        <w:tc>
          <w:tcPr>
            <w:tcW w:w="100" w:type="dxa"/>
            <w:vAlign w:val="bottom"/>
            <w:shd w:val="clear" w:color="auto" w:fill="CCEEFF"/>
          </w:tcPr>
          <w:p>
            <w:pPr>
              <w:spacing w:after="0"/>
              <w:rPr>
                <w:sz w:val="10"/>
                <w:szCs w:val="10"/>
                <w:color w:val="auto"/>
              </w:rPr>
            </w:pPr>
          </w:p>
        </w:tc>
      </w:tr>
      <w:tr>
        <w:trPr>
          <w:trHeight w:val="126"/>
        </w:trPr>
        <w:tc>
          <w:tcPr>
            <w:tcW w:w="8880" w:type="dxa"/>
            <w:vAlign w:val="bottom"/>
            <w:tcBorders>
              <w:bottom w:val="single" w:sz="8" w:color="CCEEFF"/>
            </w:tcBorders>
          </w:tcPr>
          <w:p>
            <w:pPr>
              <w:ind w:left="160"/>
              <w:spacing w:after="0"/>
              <w:rPr>
                <w:sz w:val="20"/>
                <w:szCs w:val="20"/>
                <w:color w:val="auto"/>
              </w:rPr>
            </w:pPr>
            <w:r>
              <w:rPr>
                <w:rFonts w:ascii="Arial" w:cs="Arial" w:eastAsia="Arial" w:hAnsi="Arial"/>
                <w:sz w:val="10"/>
                <w:szCs w:val="10"/>
                <w:color w:val="auto"/>
              </w:rPr>
              <w:t>Less: Core FFO from discontinued operations</w:t>
            </w: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17,854</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(19,856)</w:t>
            </w:r>
          </w:p>
        </w:tc>
        <w:tc>
          <w:tcPr>
            <w:tcW w:w="100" w:type="dxa"/>
            <w:vAlign w:val="bottom"/>
            <w:tcBorders>
              <w:bottom w:val="single" w:sz="8" w:color="CCEEFF"/>
            </w:tcBorders>
          </w:tcPr>
          <w:p>
            <w:pPr>
              <w:spacing w:after="0"/>
              <w:rPr>
                <w:sz w:val="10"/>
                <w:szCs w:val="10"/>
                <w:color w:val="auto"/>
              </w:rPr>
            </w:pPr>
          </w:p>
        </w:tc>
      </w:tr>
      <w:tr>
        <w:trPr>
          <w:trHeight w:val="131"/>
        </w:trPr>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Core FFO attributable to common interests in Operating Company and common stockholders</w:t>
            </w: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4,057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(12,064)</w:t>
            </w:r>
          </w:p>
        </w:tc>
        <w:tc>
          <w:tcPr>
            <w:tcW w:w="100" w:type="dxa"/>
            <w:vAlign w:val="bottom"/>
            <w:tcBorders>
              <w:bottom w:val="single" w:sz="8" w:color="CCEEFF"/>
            </w:tcBorders>
            <w:shd w:val="clear" w:color="auto" w:fill="CCEEFF"/>
          </w:tcPr>
          <w:p>
            <w:pPr>
              <w:spacing w:after="0"/>
              <w:rPr>
                <w:sz w:val="11"/>
                <w:szCs w:val="11"/>
                <w:color w:val="auto"/>
              </w:rPr>
            </w:pPr>
          </w:p>
        </w:tc>
      </w:tr>
      <w:tr>
        <w:trPr>
          <w:trHeight w:val="54"/>
        </w:trPr>
        <w:tc>
          <w:tcPr>
            <w:tcW w:w="8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46"/>
        </w:trPr>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Core FFO per common share / common OP unit</w:t>
            </w:r>
            <w:r>
              <w:rPr>
                <w:rFonts w:ascii="Arial" w:cs="Arial" w:eastAsia="Arial" w:hAnsi="Arial"/>
                <w:sz w:val="6"/>
                <w:szCs w:val="6"/>
                <w:color w:val="auto"/>
              </w:rPr>
              <w:t>(2)</w:t>
            </w: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(0.02)</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38"/>
        </w:trPr>
        <w:tc>
          <w:tcPr>
            <w:tcW w:w="88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Core FFO per common share / common OP unit—diluted</w:t>
            </w:r>
            <w:r>
              <w:rPr>
                <w:rFonts w:ascii="Arial" w:cs="Arial" w:eastAsia="Arial" w:hAnsi="Arial"/>
                <w:sz w:val="6"/>
                <w:szCs w:val="6"/>
                <w:color w:val="auto"/>
              </w:rPr>
              <w:t>(2)(3)(4)</w:t>
            </w: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0.01</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(0.02)</w:t>
            </w:r>
          </w:p>
        </w:tc>
        <w:tc>
          <w:tcPr>
            <w:tcW w:w="100" w:type="dxa"/>
            <w:vAlign w:val="bottom"/>
            <w:tcBorders>
              <w:bottom w:val="single" w:sz="8" w:color="CCEEFF"/>
            </w:tcBorders>
          </w:tcPr>
          <w:p>
            <w:pPr>
              <w:spacing w:after="0"/>
              <w:rPr>
                <w:sz w:val="12"/>
                <w:szCs w:val="12"/>
                <w:color w:val="auto"/>
              </w:rPr>
            </w:pPr>
          </w:p>
        </w:tc>
      </w:tr>
      <w:tr>
        <w:trPr>
          <w:trHeight w:val="146"/>
        </w:trPr>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Weighted average number of common OP units outstanding used for Core FFO per common share and OP unit</w:t>
            </w:r>
            <w:r>
              <w:rPr>
                <w:rFonts w:ascii="Arial" w:cs="Arial" w:eastAsia="Arial" w:hAnsi="Arial"/>
                <w:sz w:val="6"/>
                <w:szCs w:val="6"/>
                <w:color w:val="auto"/>
              </w:rPr>
              <w:t>(2)</w:t>
            </w: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537,033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540,441</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22"/>
        </w:trPr>
        <w:tc>
          <w:tcPr>
            <w:tcW w:w="8880" w:type="dxa"/>
            <w:vAlign w:val="bottom"/>
          </w:tcPr>
          <w:p>
            <w:pPr>
              <w:spacing w:after="0"/>
              <w:rPr>
                <w:sz w:val="20"/>
                <w:szCs w:val="20"/>
                <w:color w:val="auto"/>
              </w:rPr>
            </w:pPr>
            <w:r>
              <w:rPr>
                <w:rFonts w:ascii="Arial" w:cs="Arial" w:eastAsia="Arial" w:hAnsi="Arial"/>
                <w:sz w:val="10"/>
                <w:szCs w:val="10"/>
                <w:color w:val="auto"/>
              </w:rPr>
              <w:t xml:space="preserve">Weighted average number of common OP units outstanding used for Core FFO per common share and OP unit—diluted </w:t>
            </w:r>
            <w:r>
              <w:rPr>
                <w:rFonts w:ascii="Arial" w:cs="Arial" w:eastAsia="Arial" w:hAnsi="Arial"/>
                <w:sz w:val="6"/>
                <w:szCs w:val="6"/>
                <w:color w:val="auto"/>
              </w:rPr>
              <w:t>(2)(3)(4)</w:t>
            </w: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555,141</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540,441</w:t>
            </w:r>
          </w:p>
        </w:tc>
        <w:tc>
          <w:tcPr>
            <w:tcW w:w="100" w:type="dxa"/>
            <w:vAlign w:val="bottom"/>
          </w:tcPr>
          <w:p>
            <w:pPr>
              <w:spacing w:after="0"/>
              <w:rPr>
                <w:sz w:val="10"/>
                <w:szCs w:val="10"/>
                <w:color w:val="auto"/>
              </w:rPr>
            </w:pPr>
          </w:p>
        </w:tc>
      </w:tr>
      <w:tr>
        <w:trPr>
          <w:trHeight w:val="20"/>
        </w:trPr>
        <w:tc>
          <w:tcPr>
            <w:tcW w:w="8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2" w:lineRule="exact"/>
        <w:rPr>
          <w:sz w:val="20"/>
          <w:szCs w:val="20"/>
          <w:color w:val="auto"/>
        </w:rPr>
      </w:pPr>
    </w:p>
    <w:p>
      <w:pPr>
        <w:ind w:left="8"/>
        <w:spacing w:after="0"/>
        <w:rPr>
          <w:sz w:val="20"/>
          <w:szCs w:val="20"/>
          <w:color w:val="auto"/>
        </w:rPr>
      </w:pPr>
      <w:r>
        <w:rPr>
          <w:rFonts w:ascii="Arial" w:cs="Arial" w:eastAsia="Arial" w:hAnsi="Arial"/>
          <w:sz w:val="11"/>
          <w:szCs w:val="11"/>
          <w:color w:val="auto"/>
        </w:rPr>
        <w:t>__________</w:t>
      </w:r>
    </w:p>
    <w:p>
      <w:pPr>
        <w:ind w:left="208" w:right="280" w:hanging="208"/>
        <w:spacing w:after="0" w:line="250" w:lineRule="auto"/>
        <w:tabs>
          <w:tab w:leader="none" w:pos="127" w:val="left"/>
        </w:tabs>
        <w:numPr>
          <w:ilvl w:val="0"/>
          <w:numId w:val="9"/>
        </w:numPr>
        <w:rPr>
          <w:rFonts w:ascii="Arial" w:cs="Arial" w:eastAsia="Arial" w:hAnsi="Arial"/>
          <w:sz w:val="9"/>
          <w:szCs w:val="9"/>
          <w:color w:val="auto"/>
        </w:rPr>
      </w:pPr>
      <w:r>
        <w:rPr>
          <w:rFonts w:ascii="Arial" w:cs="Arial" w:eastAsia="Arial" w:hAnsi="Arial"/>
          <w:sz w:val="9"/>
          <w:szCs w:val="9"/>
          <w:color w:val="auto"/>
        </w:rPr>
        <w:t>Transaction-related costs primarily represent costs and charges incurred as a result of corporate restructuring and reorganization to implement the digital evolution. These costs and charges include severance, retention, relocation, transition, shareholder settlement and other related restructuring costs, which are not reflective of the Company’s core operating performance.</w:t>
      </w:r>
    </w:p>
    <w:p>
      <w:pPr>
        <w:ind w:left="128" w:hanging="128"/>
        <w:spacing w:after="0"/>
        <w:tabs>
          <w:tab w:leader="none" w:pos="128" w:val="left"/>
        </w:tabs>
        <w:numPr>
          <w:ilvl w:val="0"/>
          <w:numId w:val="9"/>
        </w:numPr>
        <w:rPr>
          <w:rFonts w:ascii="Arial" w:cs="Arial" w:eastAsia="Arial" w:hAnsi="Arial"/>
          <w:sz w:val="9"/>
          <w:szCs w:val="9"/>
          <w:color w:val="auto"/>
        </w:rPr>
      </w:pPr>
      <w:r>
        <w:rPr>
          <w:rFonts w:ascii="Arial" w:cs="Arial" w:eastAsia="Arial" w:hAnsi="Arial"/>
          <w:sz w:val="9"/>
          <w:szCs w:val="9"/>
          <w:color w:val="auto"/>
        </w:rPr>
        <w:t>Calculated based on weighted average shares outstanding including participating securities and assuming the exchange of all common OP units outstanding for common shares.</w:t>
      </w:r>
    </w:p>
    <w:p>
      <w:pPr>
        <w:spacing w:after="0" w:line="4" w:lineRule="exact"/>
        <w:rPr>
          <w:rFonts w:ascii="Arial" w:cs="Arial" w:eastAsia="Arial" w:hAnsi="Arial"/>
          <w:sz w:val="9"/>
          <w:szCs w:val="9"/>
          <w:color w:val="auto"/>
        </w:rPr>
      </w:pPr>
    </w:p>
    <w:p>
      <w:pPr>
        <w:ind w:left="208" w:right="40" w:hanging="208"/>
        <w:spacing w:after="0" w:line="250" w:lineRule="auto"/>
        <w:tabs>
          <w:tab w:leader="none" w:pos="127" w:val="left"/>
        </w:tabs>
        <w:numPr>
          <w:ilvl w:val="0"/>
          <w:numId w:val="9"/>
        </w:numPr>
        <w:rPr>
          <w:rFonts w:ascii="Arial" w:cs="Arial" w:eastAsia="Arial" w:hAnsi="Arial"/>
          <w:sz w:val="9"/>
          <w:szCs w:val="9"/>
          <w:color w:val="auto"/>
        </w:rPr>
      </w:pPr>
      <w:r>
        <w:rPr>
          <w:rFonts w:ascii="Arial" w:cs="Arial" w:eastAsia="Arial" w:hAnsi="Arial"/>
          <w:sz w:val="9"/>
          <w:szCs w:val="9"/>
          <w:color w:val="auto"/>
        </w:rPr>
        <w:t>For the three ended March 31, 2021 and March 31, 2020, excluded from the calculations of diluted Core FFO per share is the effect of adding back interest expense associated with convertible senior notes and weighted average dilutive common share equivalents for the assumed conversion of the convertible senior notes as the effect of including such interest expense and common share equivalents would be antidilutive.</w:t>
      </w:r>
    </w:p>
    <w:p>
      <w:pPr>
        <w:ind w:left="208" w:right="160" w:hanging="208"/>
        <w:spacing w:after="0" w:line="259" w:lineRule="auto"/>
        <w:tabs>
          <w:tab w:leader="none" w:pos="127" w:val="left"/>
        </w:tabs>
        <w:numPr>
          <w:ilvl w:val="0"/>
          <w:numId w:val="9"/>
        </w:numPr>
        <w:rPr>
          <w:rFonts w:ascii="Arial" w:cs="Arial" w:eastAsia="Arial" w:hAnsi="Arial"/>
          <w:sz w:val="9"/>
          <w:szCs w:val="9"/>
          <w:color w:val="auto"/>
        </w:rPr>
      </w:pPr>
      <w:r>
        <w:rPr>
          <w:rFonts w:ascii="Arial" w:cs="Arial" w:eastAsia="Arial" w:hAnsi="Arial"/>
          <w:sz w:val="9"/>
          <w:szCs w:val="9"/>
          <w:color w:val="auto"/>
        </w:rPr>
        <w:t>For the three months ended March 31, 2021, included in the calculation of diluted Core FFO per share are 18.1 million weighted average performance stock units, performance based restricted stock units and Wafra’s warrants, of which the issuance and/or vesting are subject to the performance of the Company's stock price or the achievement of certain Company specific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9</w:t>
      </w:r>
    </w:p>
    <w:p>
      <w:pPr>
        <w:sectPr>
          <w:pgSz w:w="11900" w:h="16838" w:orient="portrait"/>
          <w:cols w:equalWidth="0" w:num="1">
            <w:col w:w="11308"/>
          </w:cols>
          <w:pgMar w:left="292" w:top="930" w:right="29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819785</wp:posOffset>
            </wp:positionH>
            <wp:positionV relativeFrom="page">
              <wp:posOffset>197485</wp:posOffset>
            </wp:positionV>
            <wp:extent cx="1057275" cy="217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57275" cy="217170"/>
                    </a:xfrm>
                    <a:prstGeom prst="rect">
                      <a:avLst/>
                    </a:prstGeom>
                    <a:noFill/>
                  </pic:spPr>
                </pic:pic>
              </a:graphicData>
            </a:graphic>
          </wp:anchor>
        </w:drawing>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8"/>
          <w:szCs w:val="8"/>
          <w:color w:val="auto"/>
        </w:rPr>
        <w:t>Core FFO attributable to common interests in Operating Company and common stockholders</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0"/>
          <w:szCs w:val="10"/>
          <w:color w:val="auto"/>
        </w:rPr>
        <w:t>Adjustments:</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Less: Earnings of equity method investments</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Plus: Preferred dividends</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Plus: Core interest expense</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Plus: Core tax expense</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Plus: Non pro-rata allocation of income (loss) to NCI</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Plus: Placement fees</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Digital Operating installation services, restructuring, integration, and transaction costs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0"/>
          <w:szCs w:val="10"/>
          <w:b w:val="1"/>
          <w:bCs w:val="1"/>
          <w:color w:val="auto"/>
        </w:rPr>
        <w:t>Adjusted EBITDA (CLNY OP Share)</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1"/>
          <w:szCs w:val="11"/>
          <w:b w:val="1"/>
          <w:bCs w:val="1"/>
          <w:color w:val="auto"/>
        </w:rPr>
        <w:t>ADJUSTED EBITDA</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thousands, unaudited)</w:t>
      </w:r>
    </w:p>
    <w:p>
      <w:pPr>
        <w:spacing w:after="0" w:line="65" w:lineRule="exact"/>
        <w:rPr>
          <w:sz w:val="20"/>
          <w:szCs w:val="20"/>
          <w:color w:val="auto"/>
        </w:rPr>
      </w:pPr>
    </w:p>
    <w:tbl>
      <w:tblPr>
        <w:tblLayout w:type="fixed"/>
        <w:tblInd w:w="4320" w:type="dxa"/>
        <w:tblCellMar>
          <w:top w:w="0" w:type="dxa"/>
          <w:left w:w="0" w:type="dxa"/>
          <w:bottom w:w="0" w:type="dxa"/>
          <w:right w:w="0" w:type="dxa"/>
        </w:tblCellMar>
      </w:tblPr>
      <w:tr>
        <w:trPr>
          <w:trHeight w:val="116"/>
        </w:trPr>
        <w:tc>
          <w:tcPr>
            <w:tcW w:w="1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jc w:val="right"/>
              <w:ind w:right="233"/>
              <w:spacing w:after="0"/>
              <w:rPr>
                <w:sz w:val="20"/>
                <w:szCs w:val="20"/>
                <w:color w:val="auto"/>
              </w:rPr>
            </w:pPr>
            <w:r>
              <w:rPr>
                <w:rFonts w:ascii="Arial" w:cs="Arial" w:eastAsia="Arial" w:hAnsi="Arial"/>
                <w:sz w:val="8"/>
                <w:szCs w:val="8"/>
                <w:b w:val="1"/>
                <w:bCs w:val="1"/>
                <w:color w:val="auto"/>
              </w:rPr>
              <w:t>Three Months Ended March 31, 2021</w:t>
            </w:r>
          </w:p>
        </w:tc>
      </w:tr>
      <w:tr>
        <w:trPr>
          <w:trHeight w:val="122"/>
        </w:trPr>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840" w:type="dxa"/>
            <w:vAlign w:val="bottom"/>
          </w:tcPr>
          <w:p>
            <w:pPr>
              <w:jc w:val="right"/>
              <w:spacing w:after="0"/>
              <w:rPr>
                <w:sz w:val="20"/>
                <w:szCs w:val="20"/>
                <w:color w:val="auto"/>
              </w:rPr>
            </w:pPr>
            <w:r>
              <w:rPr>
                <w:rFonts w:ascii="Arial" w:cs="Arial" w:eastAsia="Arial" w:hAnsi="Arial"/>
                <w:sz w:val="10"/>
                <w:szCs w:val="10"/>
                <w:color w:val="auto"/>
              </w:rPr>
              <w:t>4,057</w:t>
            </w:r>
          </w:p>
        </w:tc>
      </w:tr>
      <w:tr>
        <w:trPr>
          <w:trHeight w:val="252"/>
        </w:trPr>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0"/>
                <w:szCs w:val="10"/>
                <w:color w:val="auto"/>
              </w:rPr>
              <w:t>(4,794)</w:t>
            </w:r>
          </w:p>
        </w:tc>
      </w:tr>
      <w:tr>
        <w:trPr>
          <w:trHeight w:val="126"/>
        </w:trPr>
        <w:tc>
          <w:tcPr>
            <w:tcW w:w="160" w:type="dxa"/>
            <w:vAlign w:val="bottom"/>
          </w:tcPr>
          <w:p>
            <w:pPr>
              <w:spacing w:after="0"/>
              <w:rPr>
                <w:sz w:val="10"/>
                <w:szCs w:val="10"/>
                <w:color w:val="auto"/>
              </w:rPr>
            </w:pPr>
          </w:p>
        </w:tc>
        <w:tc>
          <w:tcPr>
            <w:tcW w:w="1840" w:type="dxa"/>
            <w:vAlign w:val="bottom"/>
          </w:tcPr>
          <w:p>
            <w:pPr>
              <w:jc w:val="right"/>
              <w:spacing w:after="0"/>
              <w:rPr>
                <w:sz w:val="20"/>
                <w:szCs w:val="20"/>
                <w:color w:val="auto"/>
              </w:rPr>
            </w:pPr>
            <w:r>
              <w:rPr>
                <w:rFonts w:ascii="Arial" w:cs="Arial" w:eastAsia="Arial" w:hAnsi="Arial"/>
                <w:sz w:val="10"/>
                <w:szCs w:val="10"/>
                <w:color w:val="auto"/>
              </w:rPr>
              <w:t>18,516</w:t>
            </w:r>
          </w:p>
        </w:tc>
      </w:tr>
      <w:tr>
        <w:trPr>
          <w:trHeight w:val="126"/>
        </w:trPr>
        <w:tc>
          <w:tcPr>
            <w:tcW w:w="160" w:type="dxa"/>
            <w:vAlign w:val="bottom"/>
          </w:tcPr>
          <w:p>
            <w:pPr>
              <w:spacing w:after="0"/>
              <w:rPr>
                <w:sz w:val="10"/>
                <w:szCs w:val="10"/>
                <w:color w:val="auto"/>
              </w:rPr>
            </w:pPr>
          </w:p>
        </w:tc>
        <w:tc>
          <w:tcPr>
            <w:tcW w:w="1840" w:type="dxa"/>
            <w:vAlign w:val="bottom"/>
          </w:tcPr>
          <w:p>
            <w:pPr>
              <w:jc w:val="right"/>
              <w:spacing w:after="0"/>
              <w:rPr>
                <w:sz w:val="20"/>
                <w:szCs w:val="20"/>
                <w:color w:val="auto"/>
              </w:rPr>
            </w:pPr>
            <w:r>
              <w:rPr>
                <w:rFonts w:ascii="Arial" w:cs="Arial" w:eastAsia="Arial" w:hAnsi="Arial"/>
                <w:sz w:val="10"/>
                <w:szCs w:val="10"/>
                <w:color w:val="auto"/>
              </w:rPr>
              <w:t>34,351</w:t>
            </w:r>
          </w:p>
        </w:tc>
      </w:tr>
      <w:tr>
        <w:trPr>
          <w:trHeight w:val="126"/>
        </w:trPr>
        <w:tc>
          <w:tcPr>
            <w:tcW w:w="160" w:type="dxa"/>
            <w:vAlign w:val="bottom"/>
          </w:tcPr>
          <w:p>
            <w:pPr>
              <w:spacing w:after="0"/>
              <w:rPr>
                <w:sz w:val="10"/>
                <w:szCs w:val="10"/>
                <w:color w:val="auto"/>
              </w:rPr>
            </w:pPr>
          </w:p>
        </w:tc>
        <w:tc>
          <w:tcPr>
            <w:tcW w:w="1840" w:type="dxa"/>
            <w:vAlign w:val="bottom"/>
          </w:tcPr>
          <w:p>
            <w:pPr>
              <w:jc w:val="right"/>
              <w:spacing w:after="0"/>
              <w:rPr>
                <w:sz w:val="20"/>
                <w:szCs w:val="20"/>
                <w:color w:val="auto"/>
              </w:rPr>
            </w:pPr>
            <w:r>
              <w:rPr>
                <w:rFonts w:ascii="Arial" w:cs="Arial" w:eastAsia="Arial" w:hAnsi="Arial"/>
                <w:sz w:val="10"/>
                <w:szCs w:val="10"/>
                <w:color w:val="auto"/>
              </w:rPr>
              <w:t>2,048</w:t>
            </w:r>
          </w:p>
        </w:tc>
      </w:tr>
      <w:tr>
        <w:trPr>
          <w:trHeight w:val="126"/>
        </w:trPr>
        <w:tc>
          <w:tcPr>
            <w:tcW w:w="160" w:type="dxa"/>
            <w:vAlign w:val="bottom"/>
          </w:tcPr>
          <w:p>
            <w:pPr>
              <w:spacing w:after="0"/>
              <w:rPr>
                <w:sz w:val="10"/>
                <w:szCs w:val="10"/>
                <w:color w:val="auto"/>
              </w:rPr>
            </w:pPr>
          </w:p>
        </w:tc>
        <w:tc>
          <w:tcPr>
            <w:tcW w:w="1840" w:type="dxa"/>
            <w:vAlign w:val="bottom"/>
          </w:tcPr>
          <w:p>
            <w:pPr>
              <w:jc w:val="right"/>
              <w:spacing w:after="0"/>
              <w:rPr>
                <w:sz w:val="20"/>
                <w:szCs w:val="20"/>
                <w:color w:val="auto"/>
              </w:rPr>
            </w:pPr>
            <w:r>
              <w:rPr>
                <w:rFonts w:ascii="Arial" w:cs="Arial" w:eastAsia="Arial" w:hAnsi="Arial"/>
                <w:sz w:val="10"/>
                <w:szCs w:val="10"/>
                <w:color w:val="auto"/>
              </w:rPr>
              <w:t>1,415</w:t>
            </w:r>
          </w:p>
        </w:tc>
      </w:tr>
      <w:tr>
        <w:trPr>
          <w:trHeight w:val="126"/>
        </w:trPr>
        <w:tc>
          <w:tcPr>
            <w:tcW w:w="160" w:type="dxa"/>
            <w:vAlign w:val="bottom"/>
          </w:tcPr>
          <w:p>
            <w:pPr>
              <w:spacing w:after="0"/>
              <w:rPr>
                <w:sz w:val="10"/>
                <w:szCs w:val="10"/>
                <w:color w:val="auto"/>
              </w:rPr>
            </w:pPr>
          </w:p>
        </w:tc>
        <w:tc>
          <w:tcPr>
            <w:tcW w:w="1840" w:type="dxa"/>
            <w:vAlign w:val="bottom"/>
          </w:tcPr>
          <w:p>
            <w:pPr>
              <w:jc w:val="right"/>
              <w:spacing w:after="0"/>
              <w:rPr>
                <w:sz w:val="20"/>
                <w:szCs w:val="20"/>
                <w:color w:val="auto"/>
              </w:rPr>
            </w:pPr>
            <w:r>
              <w:rPr>
                <w:rFonts w:ascii="Arial" w:cs="Arial" w:eastAsia="Arial" w:hAnsi="Arial"/>
                <w:sz w:val="10"/>
                <w:szCs w:val="10"/>
                <w:color w:val="auto"/>
              </w:rPr>
              <w:t>40</w:t>
            </w:r>
          </w:p>
        </w:tc>
      </w:tr>
      <w:tr>
        <w:trPr>
          <w:trHeight w:val="125"/>
        </w:trPr>
        <w:tc>
          <w:tcPr>
            <w:tcW w:w="1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499</w:t>
            </w:r>
          </w:p>
        </w:tc>
      </w:tr>
      <w:tr>
        <w:trPr>
          <w:trHeight w:val="115"/>
        </w:trPr>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56,132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-833755</wp:posOffset>
            </wp:positionV>
            <wp:extent cx="7075170"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75170" cy="8572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-668020</wp:posOffset>
            </wp:positionV>
            <wp:extent cx="7075170" cy="800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5170" cy="80010"/>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-508000</wp:posOffset>
            </wp:positionV>
            <wp:extent cx="7075170" cy="80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5170" cy="80010"/>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-347980</wp:posOffset>
            </wp:positionV>
            <wp:extent cx="7075170" cy="80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5170" cy="80010"/>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-187960</wp:posOffset>
            </wp:positionV>
            <wp:extent cx="7075170" cy="80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5170" cy="800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320"/>
          </w:cols>
          <w:pgMar w:left="300" w:top="930" w:right="299" w:bottom="1440" w:gutter="0" w:footer="0" w:header="0"/>
        </w:sectPr>
      </w:pP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RECONCILIATION OF NET INCOME (LOSS) TO DIGITAL OPERATING ADJUSTED EBITDA</w:t>
      </w:r>
    </w:p>
    <w:p>
      <w:pPr>
        <w:spacing w:after="0" w:line="86" w:lineRule="exact"/>
        <w:rPr>
          <w:sz w:val="20"/>
          <w:szCs w:val="20"/>
          <w:color w:val="auto"/>
        </w:rPr>
      </w:pPr>
    </w:p>
    <w:tbl>
      <w:tblPr>
        <w:tblLayout w:type="fixed"/>
        <w:tblInd w:w="160" w:type="dxa"/>
        <w:tblCellMar>
          <w:top w:w="0" w:type="dxa"/>
          <w:left w:w="0" w:type="dxa"/>
          <w:bottom w:w="0" w:type="dxa"/>
          <w:right w:w="0" w:type="dxa"/>
        </w:tblCellMar>
      </w:tblPr>
      <w:tr>
        <w:trPr>
          <w:trHeight w:val="95"/>
        </w:trPr>
        <w:tc>
          <w:tcPr>
            <w:tcW w:w="9100" w:type="dxa"/>
            <w:vAlign w:val="bottom"/>
            <w:gridSpan w:val="2"/>
          </w:tcPr>
          <w:p>
            <w:pPr>
              <w:spacing w:after="0"/>
              <w:rPr>
                <w:sz w:val="20"/>
                <w:szCs w:val="20"/>
                <w:color w:val="auto"/>
              </w:rPr>
            </w:pPr>
            <w:r>
              <w:rPr>
                <w:rFonts w:ascii="Arial" w:cs="Arial" w:eastAsia="Arial" w:hAnsi="Arial"/>
                <w:sz w:val="8"/>
                <w:szCs w:val="8"/>
                <w:b w:val="1"/>
                <w:bCs w:val="1"/>
                <w:color w:val="auto"/>
              </w:rPr>
              <w:t>(In thousands)</w:t>
            </w:r>
          </w:p>
        </w:tc>
        <w:tc>
          <w:tcPr>
            <w:tcW w:w="180" w:type="dxa"/>
            <w:vAlign w:val="bottom"/>
          </w:tcPr>
          <w:p>
            <w:pPr>
              <w:spacing w:after="0"/>
              <w:rPr>
                <w:sz w:val="8"/>
                <w:szCs w:val="8"/>
                <w:color w:val="auto"/>
              </w:rPr>
            </w:pPr>
          </w:p>
        </w:tc>
        <w:tc>
          <w:tcPr>
            <w:tcW w:w="1860" w:type="dxa"/>
            <w:vAlign w:val="bottom"/>
          </w:tcPr>
          <w:p>
            <w:pPr>
              <w:jc w:val="right"/>
              <w:ind w:right="252"/>
              <w:spacing w:after="0"/>
              <w:rPr>
                <w:sz w:val="20"/>
                <w:szCs w:val="20"/>
                <w:color w:val="auto"/>
              </w:rPr>
            </w:pPr>
            <w:r>
              <w:rPr>
                <w:rFonts w:ascii="Arial" w:cs="Arial" w:eastAsia="Arial" w:hAnsi="Arial"/>
                <w:sz w:val="8"/>
                <w:szCs w:val="8"/>
                <w:b w:val="1"/>
                <w:bCs w:val="1"/>
                <w:color w:val="auto"/>
              </w:rPr>
              <w:t>Three Months Ended March 31, 2021</w:t>
            </w: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02"/>
        </w:trPr>
        <w:tc>
          <w:tcPr>
            <w:tcW w:w="9100" w:type="dxa"/>
            <w:vAlign w:val="bottom"/>
            <w:gridSpan w:val="2"/>
            <w:shd w:val="clear" w:color="auto" w:fill="CCEEFF"/>
          </w:tcPr>
          <w:p>
            <w:pPr>
              <w:spacing w:after="0" w:line="102" w:lineRule="exact"/>
              <w:rPr>
                <w:sz w:val="20"/>
                <w:szCs w:val="20"/>
                <w:color w:val="auto"/>
              </w:rPr>
            </w:pPr>
            <w:r>
              <w:rPr>
                <w:rFonts w:ascii="Arial" w:cs="Arial" w:eastAsia="Arial" w:hAnsi="Arial"/>
                <w:sz w:val="10"/>
                <w:szCs w:val="10"/>
                <w:color w:val="auto"/>
              </w:rPr>
              <w:t>Net income (loss) from continuing operations (Digital Operating)</w:t>
            </w:r>
          </w:p>
        </w:tc>
        <w:tc>
          <w:tcPr>
            <w:tcW w:w="180" w:type="dxa"/>
            <w:vAlign w:val="bottom"/>
            <w:shd w:val="clear" w:color="auto" w:fill="CCEEFF"/>
          </w:tcPr>
          <w:p>
            <w:pPr>
              <w:jc w:val="right"/>
              <w:ind w:right="72"/>
              <w:spacing w:after="0" w:line="102" w:lineRule="exact"/>
              <w:rPr>
                <w:sz w:val="20"/>
                <w:szCs w:val="20"/>
                <w:color w:val="auto"/>
              </w:rPr>
            </w:pPr>
            <w:r>
              <w:rPr>
                <w:rFonts w:ascii="Arial" w:cs="Arial" w:eastAsia="Arial" w:hAnsi="Arial"/>
                <w:sz w:val="10"/>
                <w:szCs w:val="10"/>
                <w:color w:val="auto"/>
                <w:w w:val="71"/>
              </w:rPr>
              <w:t>$</w:t>
            </w:r>
          </w:p>
        </w:tc>
        <w:tc>
          <w:tcPr>
            <w:tcW w:w="1860" w:type="dxa"/>
            <w:vAlign w:val="bottom"/>
            <w:shd w:val="clear" w:color="auto" w:fill="CCEEFF"/>
          </w:tcPr>
          <w:p>
            <w:pPr>
              <w:jc w:val="right"/>
              <w:ind w:right="52"/>
              <w:spacing w:after="0" w:line="102" w:lineRule="exact"/>
              <w:rPr>
                <w:sz w:val="20"/>
                <w:szCs w:val="20"/>
                <w:color w:val="auto"/>
              </w:rPr>
            </w:pPr>
            <w:r>
              <w:rPr>
                <w:rFonts w:ascii="Arial" w:cs="Arial" w:eastAsia="Arial" w:hAnsi="Arial"/>
                <w:sz w:val="10"/>
                <w:szCs w:val="10"/>
                <w:color w:val="auto"/>
              </w:rPr>
              <w:t>(62,844)</w:t>
            </w:r>
          </w:p>
        </w:tc>
      </w:tr>
      <w:tr>
        <w:trPr>
          <w:trHeight w:val="126"/>
        </w:trPr>
        <w:tc>
          <w:tcPr>
            <w:tcW w:w="9100" w:type="dxa"/>
            <w:vAlign w:val="bottom"/>
            <w:gridSpan w:val="2"/>
          </w:tcPr>
          <w:p>
            <w:pPr>
              <w:spacing w:after="0"/>
              <w:rPr>
                <w:sz w:val="20"/>
                <w:szCs w:val="20"/>
                <w:color w:val="auto"/>
              </w:rPr>
            </w:pPr>
            <w:r>
              <w:rPr>
                <w:rFonts w:ascii="Arial" w:cs="Arial" w:eastAsia="Arial" w:hAnsi="Arial"/>
                <w:sz w:val="10"/>
                <w:szCs w:val="10"/>
                <w:color w:val="auto"/>
              </w:rPr>
              <w:t>Adjustments:</w:t>
            </w:r>
          </w:p>
        </w:tc>
        <w:tc>
          <w:tcPr>
            <w:tcW w:w="18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126"/>
        </w:trPr>
        <w:tc>
          <w:tcPr>
            <w:tcW w:w="910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Interest expense</w:t>
            </w:r>
          </w:p>
        </w:tc>
        <w:tc>
          <w:tcPr>
            <w:tcW w:w="180" w:type="dxa"/>
            <w:vAlign w:val="bottom"/>
            <w:shd w:val="clear" w:color="auto" w:fill="CCEEFF"/>
          </w:tcPr>
          <w:p>
            <w:pPr>
              <w:spacing w:after="0"/>
              <w:rPr>
                <w:sz w:val="10"/>
                <w:szCs w:val="10"/>
                <w:color w:val="auto"/>
              </w:rPr>
            </w:pPr>
          </w:p>
        </w:tc>
        <w:tc>
          <w:tcPr>
            <w:tcW w:w="1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31,133</w:t>
            </w:r>
          </w:p>
        </w:tc>
      </w:tr>
      <w:tr>
        <w:trPr>
          <w:trHeight w:val="126"/>
        </w:trPr>
        <w:tc>
          <w:tcPr>
            <w:tcW w:w="9100" w:type="dxa"/>
            <w:vAlign w:val="bottom"/>
            <w:gridSpan w:val="2"/>
          </w:tcPr>
          <w:p>
            <w:pPr>
              <w:ind w:left="160"/>
              <w:spacing w:after="0"/>
              <w:rPr>
                <w:sz w:val="20"/>
                <w:szCs w:val="20"/>
                <w:color w:val="auto"/>
              </w:rPr>
            </w:pPr>
            <w:r>
              <w:rPr>
                <w:rFonts w:ascii="Arial" w:cs="Arial" w:eastAsia="Arial" w:hAnsi="Arial"/>
                <w:sz w:val="10"/>
                <w:szCs w:val="10"/>
                <w:color w:val="auto"/>
              </w:rPr>
              <w:t>Income tax (benefit) expense</w:t>
            </w:r>
          </w:p>
        </w:tc>
        <w:tc>
          <w:tcPr>
            <w:tcW w:w="180" w:type="dxa"/>
            <w:vAlign w:val="bottom"/>
          </w:tcPr>
          <w:p>
            <w:pPr>
              <w:spacing w:after="0"/>
              <w:rPr>
                <w:sz w:val="10"/>
                <w:szCs w:val="10"/>
                <w:color w:val="auto"/>
              </w:rPr>
            </w:pPr>
          </w:p>
        </w:tc>
        <w:tc>
          <w:tcPr>
            <w:tcW w:w="1860" w:type="dxa"/>
            <w:vAlign w:val="bottom"/>
          </w:tcPr>
          <w:p>
            <w:pPr>
              <w:jc w:val="right"/>
              <w:ind w:right="52"/>
              <w:spacing w:after="0"/>
              <w:rPr>
                <w:sz w:val="20"/>
                <w:szCs w:val="20"/>
                <w:color w:val="auto"/>
              </w:rPr>
            </w:pPr>
            <w:r>
              <w:rPr>
                <w:rFonts w:ascii="Arial" w:cs="Arial" w:eastAsia="Arial" w:hAnsi="Arial"/>
                <w:sz w:val="10"/>
                <w:szCs w:val="10"/>
                <w:color w:val="auto"/>
              </w:rPr>
              <w:t>(12,269)</w:t>
            </w:r>
          </w:p>
        </w:tc>
      </w:tr>
      <w:tr>
        <w:trPr>
          <w:trHeight w:val="126"/>
        </w:trPr>
        <w:tc>
          <w:tcPr>
            <w:tcW w:w="910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Depreciation and amortization</w:t>
            </w:r>
          </w:p>
        </w:tc>
        <w:tc>
          <w:tcPr>
            <w:tcW w:w="180" w:type="dxa"/>
            <w:vAlign w:val="bottom"/>
            <w:shd w:val="clear" w:color="auto" w:fill="CCEEFF"/>
          </w:tcPr>
          <w:p>
            <w:pPr>
              <w:spacing w:after="0"/>
              <w:rPr>
                <w:sz w:val="10"/>
                <w:szCs w:val="10"/>
                <w:color w:val="auto"/>
              </w:rPr>
            </w:pPr>
          </w:p>
        </w:tc>
        <w:tc>
          <w:tcPr>
            <w:tcW w:w="1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122,220</w:t>
            </w:r>
          </w:p>
        </w:tc>
      </w:tr>
      <w:tr>
        <w:trPr>
          <w:trHeight w:val="126"/>
        </w:trPr>
        <w:tc>
          <w:tcPr>
            <w:tcW w:w="9100" w:type="dxa"/>
            <w:vAlign w:val="bottom"/>
            <w:tcBorders>
              <w:bottom w:val="single" w:sz="8" w:color="CCEEFF"/>
            </w:tcBorders>
            <w:gridSpan w:val="2"/>
          </w:tcPr>
          <w:p>
            <w:pPr>
              <w:ind w:left="160"/>
              <w:spacing w:after="0"/>
              <w:rPr>
                <w:sz w:val="20"/>
                <w:szCs w:val="20"/>
                <w:color w:val="auto"/>
              </w:rPr>
            </w:pPr>
            <w:r>
              <w:rPr>
                <w:rFonts w:ascii="Arial" w:cs="Arial" w:eastAsia="Arial" w:hAnsi="Arial"/>
                <w:sz w:val="10"/>
                <w:szCs w:val="10"/>
                <w:color w:val="auto"/>
              </w:rPr>
              <w:t>Other (gain) loss</w:t>
            </w:r>
          </w:p>
        </w:tc>
        <w:tc>
          <w:tcPr>
            <w:tcW w:w="1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w:t>
            </w:r>
          </w:p>
        </w:tc>
      </w:tr>
      <w:tr>
        <w:trPr>
          <w:trHeight w:val="115"/>
        </w:trPr>
        <w:tc>
          <w:tcPr>
            <w:tcW w:w="91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EBITDAre:</w:t>
            </w:r>
          </w:p>
        </w:tc>
        <w:tc>
          <w:tcPr>
            <w:tcW w:w="180" w:type="dxa"/>
            <w:vAlign w:val="bottom"/>
            <w:shd w:val="clear" w:color="auto" w:fill="CCEEFF"/>
          </w:tcPr>
          <w:p>
            <w:pPr>
              <w:spacing w:after="0"/>
              <w:rPr>
                <w:sz w:val="10"/>
                <w:szCs w:val="10"/>
                <w:color w:val="auto"/>
              </w:rPr>
            </w:pPr>
          </w:p>
        </w:tc>
        <w:tc>
          <w:tcPr>
            <w:tcW w:w="18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78,244</w:t>
            </w:r>
          </w:p>
        </w:tc>
      </w:tr>
      <w:tr>
        <w:trPr>
          <w:trHeight w:val="144"/>
        </w:trPr>
        <w:tc>
          <w:tcPr>
            <w:tcW w:w="58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26"/>
        </w:trPr>
        <w:tc>
          <w:tcPr>
            <w:tcW w:w="91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Straight-line rent expenses and amortization of above- and below-market lease intangibles</w:t>
            </w:r>
          </w:p>
        </w:tc>
        <w:tc>
          <w:tcPr>
            <w:tcW w:w="180" w:type="dxa"/>
            <w:vAlign w:val="bottom"/>
            <w:shd w:val="clear" w:color="auto" w:fill="CCEEFF"/>
          </w:tcPr>
          <w:p>
            <w:pPr>
              <w:spacing w:after="0"/>
              <w:rPr>
                <w:sz w:val="10"/>
                <w:szCs w:val="10"/>
                <w:color w:val="auto"/>
              </w:rPr>
            </w:pPr>
          </w:p>
        </w:tc>
        <w:tc>
          <w:tcPr>
            <w:tcW w:w="18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(399)</w:t>
            </w:r>
          </w:p>
        </w:tc>
      </w:tr>
      <w:tr>
        <w:trPr>
          <w:trHeight w:val="126"/>
        </w:trPr>
        <w:tc>
          <w:tcPr>
            <w:tcW w:w="9100" w:type="dxa"/>
            <w:vAlign w:val="bottom"/>
            <w:gridSpan w:val="2"/>
          </w:tcPr>
          <w:p>
            <w:pPr>
              <w:spacing w:after="0"/>
              <w:rPr>
                <w:sz w:val="20"/>
                <w:szCs w:val="20"/>
                <w:color w:val="auto"/>
              </w:rPr>
            </w:pPr>
            <w:r>
              <w:rPr>
                <w:rFonts w:ascii="Arial" w:cs="Arial" w:eastAsia="Arial" w:hAnsi="Arial"/>
                <w:sz w:val="10"/>
                <w:szCs w:val="10"/>
                <w:color w:val="auto"/>
              </w:rPr>
              <w:t>Compensation expense—equity-based</w:t>
            </w:r>
          </w:p>
        </w:tc>
        <w:tc>
          <w:tcPr>
            <w:tcW w:w="180" w:type="dxa"/>
            <w:vAlign w:val="bottom"/>
          </w:tcPr>
          <w:p>
            <w:pPr>
              <w:spacing w:after="0"/>
              <w:rPr>
                <w:sz w:val="10"/>
                <w:szCs w:val="10"/>
                <w:color w:val="auto"/>
              </w:rPr>
            </w:pPr>
          </w:p>
        </w:tc>
        <w:tc>
          <w:tcPr>
            <w:tcW w:w="1860" w:type="dxa"/>
            <w:vAlign w:val="bottom"/>
          </w:tcPr>
          <w:p>
            <w:pPr>
              <w:jc w:val="right"/>
              <w:ind w:right="72"/>
              <w:spacing w:after="0"/>
              <w:rPr>
                <w:sz w:val="20"/>
                <w:szCs w:val="20"/>
                <w:color w:val="auto"/>
              </w:rPr>
            </w:pPr>
            <w:r>
              <w:rPr>
                <w:rFonts w:ascii="Arial" w:cs="Arial" w:eastAsia="Arial" w:hAnsi="Arial"/>
                <w:sz w:val="10"/>
                <w:szCs w:val="10"/>
                <w:color w:val="auto"/>
              </w:rPr>
              <w:t>308</w:t>
            </w:r>
          </w:p>
        </w:tc>
      </w:tr>
      <w:tr>
        <w:trPr>
          <w:trHeight w:val="126"/>
        </w:trPr>
        <w:tc>
          <w:tcPr>
            <w:tcW w:w="91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Installation services</w:t>
            </w:r>
          </w:p>
        </w:tc>
        <w:tc>
          <w:tcPr>
            <w:tcW w:w="180" w:type="dxa"/>
            <w:vAlign w:val="bottom"/>
            <w:shd w:val="clear" w:color="auto" w:fill="CCEEFF"/>
          </w:tcPr>
          <w:p>
            <w:pPr>
              <w:spacing w:after="0"/>
              <w:rPr>
                <w:sz w:val="10"/>
                <w:szCs w:val="10"/>
                <w:color w:val="auto"/>
              </w:rPr>
            </w:pPr>
          </w:p>
        </w:tc>
        <w:tc>
          <w:tcPr>
            <w:tcW w:w="1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880</w:t>
            </w:r>
          </w:p>
        </w:tc>
      </w:tr>
      <w:tr>
        <w:trPr>
          <w:trHeight w:val="126"/>
        </w:trPr>
        <w:tc>
          <w:tcPr>
            <w:tcW w:w="91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Transaction, restructuring &amp; integration costs</w:t>
            </w:r>
          </w:p>
        </w:tc>
        <w:tc>
          <w:tcPr>
            <w:tcW w:w="1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1,767</w:t>
            </w:r>
          </w:p>
        </w:tc>
      </w:tr>
      <w:tr>
        <w:trPr>
          <w:trHeight w:val="115"/>
        </w:trPr>
        <w:tc>
          <w:tcPr>
            <w:tcW w:w="91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Adjusted EBITDA:</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8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80,800</w:t>
            </w:r>
          </w:p>
        </w:tc>
      </w:tr>
      <w:tr>
        <w:trPr>
          <w:trHeight w:val="126"/>
        </w:trPr>
        <w:tc>
          <w:tcPr>
            <w:tcW w:w="91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CLNY ownership</w:t>
            </w:r>
          </w:p>
        </w:tc>
        <w:tc>
          <w:tcPr>
            <w:tcW w:w="1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17.9 %</w:t>
            </w:r>
          </w:p>
        </w:tc>
      </w:tr>
      <w:tr>
        <w:trPr>
          <w:trHeight w:val="115"/>
        </w:trPr>
        <w:tc>
          <w:tcPr>
            <w:tcW w:w="91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CLNY OP Share of Adjusted EBITDA:</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8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14,440</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first quarter 2021 net income (loss) from continuing operations by segment: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9120" w:type="dxa"/>
            <w:vAlign w:val="bottom"/>
            <w:gridSpan w:val="2"/>
          </w:tcPr>
          <w:p>
            <w:pPr>
              <w:spacing w:after="0"/>
              <w:rPr>
                <w:sz w:val="20"/>
                <w:szCs w:val="20"/>
                <w:color w:val="auto"/>
              </w:rPr>
            </w:pPr>
            <w:r>
              <w:rPr>
                <w:rFonts w:ascii="Arial" w:cs="Arial" w:eastAsia="Arial" w:hAnsi="Arial"/>
                <w:sz w:val="8"/>
                <w:szCs w:val="8"/>
                <w:b w:val="1"/>
                <w:bCs w:val="1"/>
                <w:color w:val="auto"/>
              </w:rPr>
              <w:t>(In thousands)</w:t>
            </w:r>
          </w:p>
        </w:tc>
        <w:tc>
          <w:tcPr>
            <w:tcW w:w="120" w:type="dxa"/>
            <w:vAlign w:val="bottom"/>
          </w:tcPr>
          <w:p>
            <w:pPr>
              <w:spacing w:after="0"/>
              <w:rPr>
                <w:sz w:val="8"/>
                <w:szCs w:val="8"/>
                <w:color w:val="auto"/>
              </w:rPr>
            </w:pPr>
          </w:p>
        </w:tc>
        <w:tc>
          <w:tcPr>
            <w:tcW w:w="2060" w:type="dxa"/>
            <w:vAlign w:val="bottom"/>
          </w:tcPr>
          <w:p>
            <w:pPr>
              <w:jc w:val="right"/>
              <w:ind w:right="113"/>
              <w:spacing w:after="0"/>
              <w:rPr>
                <w:sz w:val="20"/>
                <w:szCs w:val="20"/>
                <w:color w:val="auto"/>
              </w:rPr>
            </w:pPr>
            <w:r>
              <w:rPr>
                <w:rFonts w:ascii="Arial" w:cs="Arial" w:eastAsia="Arial" w:hAnsi="Arial"/>
                <w:sz w:val="8"/>
                <w:szCs w:val="8"/>
                <w:b w:val="1"/>
                <w:bCs w:val="1"/>
                <w:color w:val="auto"/>
              </w:rPr>
              <w:t>Net Income (Loss) from Continuing Operations</w:t>
            </w: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8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02"/>
        </w:trPr>
        <w:tc>
          <w:tcPr>
            <w:tcW w:w="9120" w:type="dxa"/>
            <w:vAlign w:val="bottom"/>
            <w:gridSpan w:val="2"/>
            <w:shd w:val="clear" w:color="auto" w:fill="CCEEFF"/>
          </w:tcPr>
          <w:p>
            <w:pPr>
              <w:spacing w:after="0" w:line="102" w:lineRule="exact"/>
              <w:rPr>
                <w:sz w:val="20"/>
                <w:szCs w:val="20"/>
                <w:color w:val="auto"/>
              </w:rPr>
            </w:pPr>
            <w:r>
              <w:rPr>
                <w:rFonts w:ascii="Arial" w:cs="Arial" w:eastAsia="Arial" w:hAnsi="Arial"/>
                <w:sz w:val="10"/>
                <w:szCs w:val="10"/>
                <w:color w:val="auto"/>
              </w:rPr>
              <w:t>Digital Investment Management</w:t>
            </w:r>
          </w:p>
        </w:tc>
        <w:tc>
          <w:tcPr>
            <w:tcW w:w="12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w:t>
            </w:r>
          </w:p>
        </w:tc>
        <w:tc>
          <w:tcPr>
            <w:tcW w:w="206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6,041</w:t>
            </w:r>
          </w:p>
        </w:tc>
      </w:tr>
      <w:tr>
        <w:trPr>
          <w:trHeight w:val="126"/>
        </w:trPr>
        <w:tc>
          <w:tcPr>
            <w:tcW w:w="9120" w:type="dxa"/>
            <w:vAlign w:val="bottom"/>
            <w:gridSpan w:val="2"/>
          </w:tcPr>
          <w:p>
            <w:pPr>
              <w:spacing w:after="0"/>
              <w:rPr>
                <w:sz w:val="20"/>
                <w:szCs w:val="20"/>
                <w:color w:val="auto"/>
              </w:rPr>
            </w:pPr>
            <w:r>
              <w:rPr>
                <w:rFonts w:ascii="Arial" w:cs="Arial" w:eastAsia="Arial" w:hAnsi="Arial"/>
                <w:sz w:val="10"/>
                <w:szCs w:val="10"/>
                <w:color w:val="auto"/>
              </w:rPr>
              <w:t>Digital Operating</w:t>
            </w:r>
          </w:p>
        </w:tc>
        <w:tc>
          <w:tcPr>
            <w:tcW w:w="120" w:type="dxa"/>
            <w:vAlign w:val="bottom"/>
          </w:tcPr>
          <w:p>
            <w:pPr>
              <w:spacing w:after="0"/>
              <w:rPr>
                <w:sz w:val="10"/>
                <w:szCs w:val="10"/>
                <w:color w:val="auto"/>
              </w:rPr>
            </w:pPr>
          </w:p>
        </w:tc>
        <w:tc>
          <w:tcPr>
            <w:tcW w:w="2060" w:type="dxa"/>
            <w:vAlign w:val="bottom"/>
          </w:tcPr>
          <w:p>
            <w:pPr>
              <w:jc w:val="right"/>
              <w:spacing w:after="0"/>
              <w:rPr>
                <w:sz w:val="20"/>
                <w:szCs w:val="20"/>
                <w:color w:val="auto"/>
              </w:rPr>
            </w:pPr>
            <w:r>
              <w:rPr>
                <w:rFonts w:ascii="Arial" w:cs="Arial" w:eastAsia="Arial" w:hAnsi="Arial"/>
                <w:sz w:val="10"/>
                <w:szCs w:val="10"/>
                <w:color w:val="auto"/>
              </w:rPr>
              <w:t>(62,844)</w:t>
            </w:r>
          </w:p>
        </w:tc>
      </w:tr>
      <w:tr>
        <w:trPr>
          <w:trHeight w:val="126"/>
        </w:trPr>
        <w:tc>
          <w:tcPr>
            <w:tcW w:w="9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Digital Other</w:t>
            </w:r>
          </w:p>
        </w:tc>
        <w:tc>
          <w:tcPr>
            <w:tcW w:w="120" w:type="dxa"/>
            <w:vAlign w:val="bottom"/>
            <w:shd w:val="clear" w:color="auto" w:fill="CCEEFF"/>
          </w:tcPr>
          <w:p>
            <w:pPr>
              <w:spacing w:after="0"/>
              <w:rPr>
                <w:sz w:val="10"/>
                <w:szCs w:val="1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7,869</w:t>
            </w:r>
          </w:p>
        </w:tc>
      </w:tr>
      <w:tr>
        <w:trPr>
          <w:trHeight w:val="126"/>
        </w:trPr>
        <w:tc>
          <w:tcPr>
            <w:tcW w:w="9120" w:type="dxa"/>
            <w:vAlign w:val="bottom"/>
            <w:gridSpan w:val="2"/>
          </w:tcPr>
          <w:p>
            <w:pPr>
              <w:spacing w:after="0"/>
              <w:rPr>
                <w:sz w:val="20"/>
                <w:szCs w:val="20"/>
                <w:color w:val="auto"/>
              </w:rPr>
            </w:pPr>
            <w:r>
              <w:rPr>
                <w:rFonts w:ascii="Arial" w:cs="Arial" w:eastAsia="Arial" w:hAnsi="Arial"/>
                <w:sz w:val="10"/>
                <w:szCs w:val="10"/>
                <w:color w:val="auto"/>
              </w:rPr>
              <w:t>Wellness Infrastructure</w:t>
            </w:r>
          </w:p>
        </w:tc>
        <w:tc>
          <w:tcPr>
            <w:tcW w:w="120" w:type="dxa"/>
            <w:vAlign w:val="bottom"/>
          </w:tcPr>
          <w:p>
            <w:pPr>
              <w:spacing w:after="0"/>
              <w:rPr>
                <w:sz w:val="10"/>
                <w:szCs w:val="10"/>
                <w:color w:val="auto"/>
              </w:rPr>
            </w:pPr>
          </w:p>
        </w:tc>
        <w:tc>
          <w:tcPr>
            <w:tcW w:w="2060" w:type="dxa"/>
            <w:vAlign w:val="bottom"/>
          </w:tcPr>
          <w:p>
            <w:pPr>
              <w:jc w:val="right"/>
              <w:spacing w:after="0"/>
              <w:rPr>
                <w:sz w:val="20"/>
                <w:szCs w:val="20"/>
                <w:color w:val="auto"/>
              </w:rPr>
            </w:pPr>
            <w:r>
              <w:rPr>
                <w:rFonts w:ascii="Arial" w:cs="Arial" w:eastAsia="Arial" w:hAnsi="Arial"/>
                <w:sz w:val="10"/>
                <w:szCs w:val="10"/>
                <w:color w:val="auto"/>
              </w:rPr>
              <w:t>(41,210)</w:t>
            </w:r>
          </w:p>
        </w:tc>
      </w:tr>
      <w:tr>
        <w:trPr>
          <w:trHeight w:val="126"/>
        </w:trPr>
        <w:tc>
          <w:tcPr>
            <w:tcW w:w="9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Other</w:t>
            </w:r>
          </w:p>
        </w:tc>
        <w:tc>
          <w:tcPr>
            <w:tcW w:w="120" w:type="dxa"/>
            <w:vAlign w:val="bottom"/>
            <w:shd w:val="clear" w:color="auto" w:fill="CCEEFF"/>
          </w:tcPr>
          <w:p>
            <w:pPr>
              <w:spacing w:after="0"/>
              <w:rPr>
                <w:sz w:val="10"/>
                <w:szCs w:val="1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(32,218)</w:t>
            </w:r>
          </w:p>
        </w:tc>
      </w:tr>
      <w:tr>
        <w:trPr>
          <w:trHeight w:val="126"/>
        </w:trPr>
        <w:tc>
          <w:tcPr>
            <w:tcW w:w="91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Amounts Not Allocated to Segments</w:t>
            </w:r>
          </w:p>
        </w:tc>
        <w:tc>
          <w:tcPr>
            <w:tcW w:w="1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(67,815)</w:t>
            </w:r>
          </w:p>
        </w:tc>
      </w:tr>
      <w:tr>
        <w:trPr>
          <w:trHeight w:val="131"/>
        </w:trPr>
        <w:tc>
          <w:tcPr>
            <w:tcW w:w="9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0"/>
                <w:szCs w:val="10"/>
                <w:color w:val="auto"/>
              </w:rPr>
              <w:t>Total 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(190,177)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w:t>
      </w:r>
    </w:p>
    <w:p>
      <w:pPr>
        <w:sectPr>
          <w:pgSz w:w="11900" w:h="16838" w:orient="portrait"/>
          <w:cols w:equalWidth="0" w:num="1">
            <w:col w:w="11300"/>
          </w:cols>
          <w:pgMar w:left="300" w:top="930" w:right="2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819785</wp:posOffset>
            </wp:positionH>
            <wp:positionV relativeFrom="page">
              <wp:posOffset>197485</wp:posOffset>
            </wp:positionV>
            <wp:extent cx="1057275" cy="217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57275" cy="217170"/>
                    </a:xfrm>
                    <a:prstGeom prst="rect">
                      <a:avLst/>
                    </a:prstGeom>
                    <a:noFill/>
                  </pic:spPr>
                </pic:pic>
              </a:graphicData>
            </a:graphic>
          </wp:anchor>
        </w:drawing>
        <w:t>RECONCILIATION OF NET INCOME (LOSS) TO FRE</w:t>
      </w:r>
    </w:p>
    <w:p>
      <w:pPr>
        <w:spacing w:after="0" w:line="77" w:lineRule="exact"/>
        <w:rPr>
          <w:sz w:val="20"/>
          <w:szCs w:val="20"/>
          <w:color w:val="auto"/>
        </w:rPr>
      </w:pPr>
    </w:p>
    <w:tbl>
      <w:tblPr>
        <w:tblLayout w:type="fixed"/>
        <w:tblInd w:w="160" w:type="dxa"/>
        <w:tblCellMar>
          <w:top w:w="0" w:type="dxa"/>
          <w:left w:w="0" w:type="dxa"/>
          <w:bottom w:w="0" w:type="dxa"/>
          <w:right w:w="0" w:type="dxa"/>
        </w:tblCellMar>
      </w:tblPr>
      <w:tr>
        <w:trPr>
          <w:trHeight w:val="95"/>
        </w:trPr>
        <w:tc>
          <w:tcPr>
            <w:tcW w:w="9200" w:type="dxa"/>
            <w:vAlign w:val="bottom"/>
            <w:gridSpan w:val="2"/>
          </w:tcPr>
          <w:p>
            <w:pPr>
              <w:spacing w:after="0"/>
              <w:rPr>
                <w:sz w:val="20"/>
                <w:szCs w:val="20"/>
                <w:color w:val="auto"/>
              </w:rPr>
            </w:pPr>
            <w:r>
              <w:rPr>
                <w:rFonts w:ascii="Arial" w:cs="Arial" w:eastAsia="Arial" w:hAnsi="Arial"/>
                <w:sz w:val="8"/>
                <w:szCs w:val="8"/>
                <w:b w:val="1"/>
                <w:bCs w:val="1"/>
                <w:color w:val="auto"/>
              </w:rPr>
              <w:t>(In thousands)</w:t>
            </w:r>
          </w:p>
        </w:tc>
        <w:tc>
          <w:tcPr>
            <w:tcW w:w="160" w:type="dxa"/>
            <w:vAlign w:val="bottom"/>
          </w:tcPr>
          <w:p>
            <w:pPr>
              <w:spacing w:after="0"/>
              <w:rPr>
                <w:sz w:val="8"/>
                <w:szCs w:val="8"/>
                <w:color w:val="auto"/>
              </w:rPr>
            </w:pPr>
          </w:p>
        </w:tc>
        <w:tc>
          <w:tcPr>
            <w:tcW w:w="1780" w:type="dxa"/>
            <w:vAlign w:val="bottom"/>
          </w:tcPr>
          <w:p>
            <w:pPr>
              <w:jc w:val="right"/>
              <w:ind w:right="192"/>
              <w:spacing w:after="0"/>
              <w:rPr>
                <w:sz w:val="20"/>
                <w:szCs w:val="20"/>
                <w:color w:val="auto"/>
              </w:rPr>
            </w:pPr>
            <w:r>
              <w:rPr>
                <w:rFonts w:ascii="Arial" w:cs="Arial" w:eastAsia="Arial" w:hAnsi="Arial"/>
                <w:sz w:val="8"/>
                <w:szCs w:val="8"/>
                <w:b w:val="1"/>
                <w:bCs w:val="1"/>
                <w:color w:val="auto"/>
              </w:rPr>
              <w:t>Three Months Ended March 31, 2021</w:t>
            </w: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8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02"/>
        </w:trPr>
        <w:tc>
          <w:tcPr>
            <w:tcW w:w="9200" w:type="dxa"/>
            <w:vAlign w:val="bottom"/>
            <w:gridSpan w:val="2"/>
            <w:shd w:val="clear" w:color="auto" w:fill="CCEEFF"/>
          </w:tcPr>
          <w:p>
            <w:pPr>
              <w:spacing w:after="0" w:line="102" w:lineRule="exact"/>
              <w:rPr>
                <w:sz w:val="20"/>
                <w:szCs w:val="20"/>
                <w:color w:val="auto"/>
              </w:rPr>
            </w:pPr>
            <w:r>
              <w:rPr>
                <w:rFonts w:ascii="Arial" w:cs="Arial" w:eastAsia="Arial" w:hAnsi="Arial"/>
                <w:sz w:val="10"/>
                <w:szCs w:val="10"/>
                <w:color w:val="auto"/>
              </w:rPr>
              <w:t>Net income (loss)</w:t>
            </w:r>
          </w:p>
        </w:tc>
        <w:tc>
          <w:tcPr>
            <w:tcW w:w="160" w:type="dxa"/>
            <w:vAlign w:val="bottom"/>
            <w:shd w:val="clear" w:color="auto" w:fill="CCEEFF"/>
          </w:tcPr>
          <w:p>
            <w:pPr>
              <w:spacing w:after="0"/>
              <w:rPr>
                <w:sz w:val="8"/>
                <w:szCs w:val="8"/>
                <w:color w:val="auto"/>
              </w:rPr>
            </w:pPr>
          </w:p>
        </w:tc>
        <w:tc>
          <w:tcPr>
            <w:tcW w:w="178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6,041</w:t>
            </w:r>
          </w:p>
        </w:tc>
      </w:tr>
      <w:tr>
        <w:trPr>
          <w:trHeight w:val="126"/>
        </w:trPr>
        <w:tc>
          <w:tcPr>
            <w:tcW w:w="9200" w:type="dxa"/>
            <w:vAlign w:val="bottom"/>
            <w:gridSpan w:val="2"/>
          </w:tcPr>
          <w:p>
            <w:pPr>
              <w:spacing w:after="0"/>
              <w:rPr>
                <w:sz w:val="20"/>
                <w:szCs w:val="20"/>
                <w:color w:val="auto"/>
              </w:rPr>
            </w:pPr>
            <w:r>
              <w:rPr>
                <w:rFonts w:ascii="Arial" w:cs="Arial" w:eastAsia="Arial" w:hAnsi="Arial"/>
                <w:sz w:val="10"/>
                <w:szCs w:val="10"/>
                <w:color w:val="auto"/>
              </w:rPr>
              <w:t>Adjustments:</w:t>
            </w:r>
          </w:p>
        </w:tc>
        <w:tc>
          <w:tcPr>
            <w:tcW w:w="160" w:type="dxa"/>
            <w:vAlign w:val="bottom"/>
          </w:tcPr>
          <w:p>
            <w:pPr>
              <w:spacing w:after="0"/>
              <w:rPr>
                <w:sz w:val="10"/>
                <w:szCs w:val="10"/>
                <w:color w:val="auto"/>
              </w:rPr>
            </w:pPr>
          </w:p>
        </w:tc>
        <w:tc>
          <w:tcPr>
            <w:tcW w:w="1780" w:type="dxa"/>
            <w:vAlign w:val="bottom"/>
          </w:tcPr>
          <w:p>
            <w:pPr>
              <w:spacing w:after="0"/>
              <w:rPr>
                <w:sz w:val="10"/>
                <w:szCs w:val="10"/>
                <w:color w:val="auto"/>
              </w:rPr>
            </w:pPr>
          </w:p>
        </w:tc>
      </w:tr>
      <w:tr>
        <w:trPr>
          <w:trHeight w:val="126"/>
        </w:trPr>
        <w:tc>
          <w:tcPr>
            <w:tcW w:w="920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Interest income</w:t>
            </w:r>
          </w:p>
        </w:tc>
        <w:tc>
          <w:tcPr>
            <w:tcW w:w="160" w:type="dxa"/>
            <w:vAlign w:val="bottom"/>
            <w:shd w:val="clear" w:color="auto" w:fill="CCEEFF"/>
          </w:tcPr>
          <w:p>
            <w:pPr>
              <w:spacing w:after="0"/>
              <w:rPr>
                <w:sz w:val="10"/>
                <w:szCs w:val="1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r>
      <w:tr>
        <w:trPr>
          <w:trHeight w:val="126"/>
        </w:trPr>
        <w:tc>
          <w:tcPr>
            <w:tcW w:w="9200" w:type="dxa"/>
            <w:vAlign w:val="bottom"/>
            <w:gridSpan w:val="2"/>
          </w:tcPr>
          <w:p>
            <w:pPr>
              <w:ind w:left="160"/>
              <w:spacing w:after="0"/>
              <w:rPr>
                <w:sz w:val="20"/>
                <w:szCs w:val="20"/>
                <w:color w:val="auto"/>
              </w:rPr>
            </w:pPr>
            <w:r>
              <w:rPr>
                <w:rFonts w:ascii="Arial" w:cs="Arial" w:eastAsia="Arial" w:hAnsi="Arial"/>
                <w:sz w:val="10"/>
                <w:szCs w:val="10"/>
                <w:color w:val="auto"/>
              </w:rPr>
              <w:t>Fee income eliminated in the Company's consolidated Statement of Operations</w:t>
            </w:r>
          </w:p>
        </w:tc>
        <w:tc>
          <w:tcPr>
            <w:tcW w:w="160" w:type="dxa"/>
            <w:vAlign w:val="bottom"/>
          </w:tcPr>
          <w:p>
            <w:pPr>
              <w:spacing w:after="0"/>
              <w:rPr>
                <w:sz w:val="10"/>
                <w:szCs w:val="10"/>
                <w:color w:val="auto"/>
              </w:rPr>
            </w:pPr>
          </w:p>
        </w:tc>
        <w:tc>
          <w:tcPr>
            <w:tcW w:w="1780" w:type="dxa"/>
            <w:vAlign w:val="bottom"/>
          </w:tcPr>
          <w:p>
            <w:pPr>
              <w:jc w:val="right"/>
              <w:spacing w:after="0"/>
              <w:rPr>
                <w:sz w:val="20"/>
                <w:szCs w:val="20"/>
                <w:color w:val="auto"/>
              </w:rPr>
            </w:pPr>
            <w:r>
              <w:rPr>
                <w:rFonts w:ascii="Arial" w:cs="Arial" w:eastAsia="Arial" w:hAnsi="Arial"/>
                <w:sz w:val="10"/>
                <w:szCs w:val="10"/>
                <w:color w:val="auto"/>
              </w:rPr>
              <w:t>1,622</w:t>
            </w:r>
          </w:p>
        </w:tc>
      </w:tr>
      <w:tr>
        <w:trPr>
          <w:trHeight w:val="126"/>
        </w:trPr>
        <w:tc>
          <w:tcPr>
            <w:tcW w:w="920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Investment and servicing expense</w:t>
            </w:r>
          </w:p>
        </w:tc>
        <w:tc>
          <w:tcPr>
            <w:tcW w:w="160" w:type="dxa"/>
            <w:vAlign w:val="bottom"/>
            <w:shd w:val="clear" w:color="auto" w:fill="CCEEFF"/>
          </w:tcPr>
          <w:p>
            <w:pPr>
              <w:spacing w:after="0"/>
              <w:rPr>
                <w:sz w:val="10"/>
                <w:szCs w:val="1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w:t>
            </w:r>
          </w:p>
        </w:tc>
      </w:tr>
      <w:tr>
        <w:trPr>
          <w:trHeight w:val="126"/>
        </w:trPr>
        <w:tc>
          <w:tcPr>
            <w:tcW w:w="9200" w:type="dxa"/>
            <w:vAlign w:val="bottom"/>
            <w:gridSpan w:val="2"/>
          </w:tcPr>
          <w:p>
            <w:pPr>
              <w:ind w:left="160"/>
              <w:spacing w:after="0"/>
              <w:rPr>
                <w:sz w:val="20"/>
                <w:szCs w:val="20"/>
                <w:color w:val="auto"/>
              </w:rPr>
            </w:pPr>
            <w:r>
              <w:rPr>
                <w:rFonts w:ascii="Arial" w:cs="Arial" w:eastAsia="Arial" w:hAnsi="Arial"/>
                <w:sz w:val="10"/>
                <w:szCs w:val="10"/>
                <w:color w:val="auto"/>
              </w:rPr>
              <w:t>Depreciation and amortization</w:t>
            </w:r>
          </w:p>
        </w:tc>
        <w:tc>
          <w:tcPr>
            <w:tcW w:w="160" w:type="dxa"/>
            <w:vAlign w:val="bottom"/>
          </w:tcPr>
          <w:p>
            <w:pPr>
              <w:spacing w:after="0"/>
              <w:rPr>
                <w:sz w:val="10"/>
                <w:szCs w:val="10"/>
                <w:color w:val="auto"/>
              </w:rPr>
            </w:pPr>
          </w:p>
        </w:tc>
        <w:tc>
          <w:tcPr>
            <w:tcW w:w="1780" w:type="dxa"/>
            <w:vAlign w:val="bottom"/>
          </w:tcPr>
          <w:p>
            <w:pPr>
              <w:jc w:val="right"/>
              <w:spacing w:after="0"/>
              <w:rPr>
                <w:sz w:val="20"/>
                <w:szCs w:val="20"/>
                <w:color w:val="auto"/>
              </w:rPr>
            </w:pPr>
            <w:r>
              <w:rPr>
                <w:rFonts w:ascii="Arial" w:cs="Arial" w:eastAsia="Arial" w:hAnsi="Arial"/>
                <w:sz w:val="10"/>
                <w:szCs w:val="10"/>
                <w:color w:val="auto"/>
              </w:rPr>
              <w:t>8,912</w:t>
            </w:r>
          </w:p>
        </w:tc>
      </w:tr>
      <w:tr>
        <w:trPr>
          <w:trHeight w:val="126"/>
        </w:trPr>
        <w:tc>
          <w:tcPr>
            <w:tcW w:w="920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Compensation expense—equity-based</w:t>
            </w:r>
          </w:p>
        </w:tc>
        <w:tc>
          <w:tcPr>
            <w:tcW w:w="160" w:type="dxa"/>
            <w:vAlign w:val="bottom"/>
            <w:shd w:val="clear" w:color="auto" w:fill="CCEEFF"/>
          </w:tcPr>
          <w:p>
            <w:pPr>
              <w:spacing w:after="0"/>
              <w:rPr>
                <w:sz w:val="10"/>
                <w:szCs w:val="1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1,533</w:t>
            </w:r>
          </w:p>
        </w:tc>
      </w:tr>
      <w:tr>
        <w:trPr>
          <w:trHeight w:val="126"/>
        </w:trPr>
        <w:tc>
          <w:tcPr>
            <w:tcW w:w="9200" w:type="dxa"/>
            <w:vAlign w:val="bottom"/>
            <w:gridSpan w:val="2"/>
          </w:tcPr>
          <w:p>
            <w:pPr>
              <w:ind w:left="160"/>
              <w:spacing w:after="0"/>
              <w:rPr>
                <w:sz w:val="20"/>
                <w:szCs w:val="20"/>
                <w:color w:val="auto"/>
              </w:rPr>
            </w:pPr>
            <w:r>
              <w:rPr>
                <w:rFonts w:ascii="Arial" w:cs="Arial" w:eastAsia="Arial" w:hAnsi="Arial"/>
                <w:sz w:val="10"/>
                <w:szCs w:val="10"/>
                <w:color w:val="auto"/>
              </w:rPr>
              <w:t>Compensation expense—carried interest and incentive</w:t>
            </w:r>
          </w:p>
        </w:tc>
        <w:tc>
          <w:tcPr>
            <w:tcW w:w="160" w:type="dxa"/>
            <w:vAlign w:val="bottom"/>
          </w:tcPr>
          <w:p>
            <w:pPr>
              <w:spacing w:after="0"/>
              <w:rPr>
                <w:sz w:val="10"/>
                <w:szCs w:val="10"/>
                <w:color w:val="auto"/>
              </w:rPr>
            </w:pPr>
          </w:p>
        </w:tc>
        <w:tc>
          <w:tcPr>
            <w:tcW w:w="1780" w:type="dxa"/>
            <w:vAlign w:val="bottom"/>
          </w:tcPr>
          <w:p>
            <w:pPr>
              <w:jc w:val="right"/>
              <w:spacing w:after="0"/>
              <w:rPr>
                <w:sz w:val="20"/>
                <w:szCs w:val="20"/>
                <w:color w:val="auto"/>
              </w:rPr>
            </w:pPr>
            <w:r>
              <w:rPr>
                <w:rFonts w:ascii="Arial" w:cs="Arial" w:eastAsia="Arial" w:hAnsi="Arial"/>
                <w:sz w:val="10"/>
                <w:szCs w:val="10"/>
                <w:color w:val="auto"/>
              </w:rPr>
              <w:t>(33)</w:t>
            </w:r>
          </w:p>
        </w:tc>
      </w:tr>
      <w:tr>
        <w:trPr>
          <w:trHeight w:val="126"/>
        </w:trPr>
        <w:tc>
          <w:tcPr>
            <w:tcW w:w="920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Administrative expenses—straight-line rent</w:t>
            </w:r>
          </w:p>
        </w:tc>
        <w:tc>
          <w:tcPr>
            <w:tcW w:w="160" w:type="dxa"/>
            <w:vAlign w:val="bottom"/>
            <w:shd w:val="clear" w:color="auto" w:fill="CCEEFF"/>
          </w:tcPr>
          <w:p>
            <w:pPr>
              <w:spacing w:after="0"/>
              <w:rPr>
                <w:sz w:val="10"/>
                <w:szCs w:val="1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r>
      <w:tr>
        <w:trPr>
          <w:trHeight w:val="126"/>
        </w:trPr>
        <w:tc>
          <w:tcPr>
            <w:tcW w:w="9200" w:type="dxa"/>
            <w:vAlign w:val="bottom"/>
            <w:gridSpan w:val="2"/>
          </w:tcPr>
          <w:p>
            <w:pPr>
              <w:ind w:left="160"/>
              <w:spacing w:after="0"/>
              <w:rPr>
                <w:sz w:val="20"/>
                <w:szCs w:val="20"/>
                <w:color w:val="auto"/>
              </w:rPr>
            </w:pPr>
            <w:r>
              <w:rPr>
                <w:rFonts w:ascii="Arial" w:cs="Arial" w:eastAsia="Arial" w:hAnsi="Arial"/>
                <w:sz w:val="10"/>
                <w:szCs w:val="10"/>
                <w:color w:val="auto"/>
              </w:rPr>
              <w:t>Administrative expenses—placement agent fee</w:t>
            </w:r>
          </w:p>
        </w:tc>
        <w:tc>
          <w:tcPr>
            <w:tcW w:w="160" w:type="dxa"/>
            <w:vAlign w:val="bottom"/>
          </w:tcPr>
          <w:p>
            <w:pPr>
              <w:spacing w:after="0"/>
              <w:rPr>
                <w:sz w:val="10"/>
                <w:szCs w:val="10"/>
                <w:color w:val="auto"/>
              </w:rPr>
            </w:pPr>
          </w:p>
        </w:tc>
        <w:tc>
          <w:tcPr>
            <w:tcW w:w="1780" w:type="dxa"/>
            <w:vAlign w:val="bottom"/>
          </w:tcPr>
          <w:p>
            <w:pPr>
              <w:jc w:val="right"/>
              <w:spacing w:after="0"/>
              <w:rPr>
                <w:sz w:val="20"/>
                <w:szCs w:val="20"/>
                <w:color w:val="auto"/>
              </w:rPr>
            </w:pPr>
            <w:r>
              <w:rPr>
                <w:rFonts w:ascii="Arial" w:cs="Arial" w:eastAsia="Arial" w:hAnsi="Arial"/>
                <w:sz w:val="10"/>
                <w:szCs w:val="10"/>
                <w:color w:val="auto"/>
              </w:rPr>
              <w:t>59</w:t>
            </w:r>
          </w:p>
        </w:tc>
      </w:tr>
      <w:tr>
        <w:trPr>
          <w:trHeight w:val="126"/>
        </w:trPr>
        <w:tc>
          <w:tcPr>
            <w:tcW w:w="920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Equity method (earnings) losses</w:t>
            </w:r>
          </w:p>
        </w:tc>
        <w:tc>
          <w:tcPr>
            <w:tcW w:w="160" w:type="dxa"/>
            <w:vAlign w:val="bottom"/>
            <w:shd w:val="clear" w:color="auto" w:fill="CCEEFF"/>
          </w:tcPr>
          <w:p>
            <w:pPr>
              <w:spacing w:after="0"/>
              <w:rPr>
                <w:sz w:val="10"/>
                <w:szCs w:val="1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195</w:t>
            </w:r>
          </w:p>
        </w:tc>
      </w:tr>
      <w:tr>
        <w:trPr>
          <w:trHeight w:val="126"/>
        </w:trPr>
        <w:tc>
          <w:tcPr>
            <w:tcW w:w="9200" w:type="dxa"/>
            <w:vAlign w:val="bottom"/>
            <w:gridSpan w:val="2"/>
          </w:tcPr>
          <w:p>
            <w:pPr>
              <w:ind w:left="160"/>
              <w:spacing w:after="0"/>
              <w:rPr>
                <w:sz w:val="20"/>
                <w:szCs w:val="20"/>
                <w:color w:val="auto"/>
              </w:rPr>
            </w:pPr>
            <w:r>
              <w:rPr>
                <w:rFonts w:ascii="Arial" w:cs="Arial" w:eastAsia="Arial" w:hAnsi="Arial"/>
                <w:sz w:val="10"/>
                <w:szCs w:val="10"/>
                <w:color w:val="auto"/>
              </w:rPr>
              <w:t>Other (gain) loss, net</w:t>
            </w:r>
          </w:p>
        </w:tc>
        <w:tc>
          <w:tcPr>
            <w:tcW w:w="160" w:type="dxa"/>
            <w:vAlign w:val="bottom"/>
          </w:tcPr>
          <w:p>
            <w:pPr>
              <w:spacing w:after="0"/>
              <w:rPr>
                <w:sz w:val="10"/>
                <w:szCs w:val="10"/>
                <w:color w:val="auto"/>
              </w:rPr>
            </w:pPr>
          </w:p>
        </w:tc>
        <w:tc>
          <w:tcPr>
            <w:tcW w:w="1780" w:type="dxa"/>
            <w:vAlign w:val="bottom"/>
          </w:tcPr>
          <w:p>
            <w:pPr>
              <w:jc w:val="right"/>
              <w:spacing w:after="0"/>
              <w:rPr>
                <w:sz w:val="20"/>
                <w:szCs w:val="20"/>
                <w:color w:val="auto"/>
              </w:rPr>
            </w:pPr>
            <w:r>
              <w:rPr>
                <w:rFonts w:ascii="Arial" w:cs="Arial" w:eastAsia="Arial" w:hAnsi="Arial"/>
                <w:sz w:val="10"/>
                <w:szCs w:val="10"/>
                <w:color w:val="auto"/>
              </w:rPr>
              <w:t>(165)</w:t>
            </w:r>
          </w:p>
        </w:tc>
      </w:tr>
      <w:tr>
        <w:trPr>
          <w:trHeight w:val="126"/>
        </w:trPr>
        <w:tc>
          <w:tcPr>
            <w:tcW w:w="920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Income tax (benefit) expense</w:t>
            </w:r>
          </w:p>
        </w:tc>
        <w:tc>
          <w:tcPr>
            <w:tcW w:w="160" w:type="dxa"/>
            <w:vAlign w:val="bottom"/>
            <w:tcBorders>
              <w:bottom w:val="single" w:sz="8" w:color="auto"/>
            </w:tcBorders>
            <w:shd w:val="clear" w:color="auto" w:fill="CCEEFF"/>
          </w:tcPr>
          <w:p>
            <w:pPr>
              <w:spacing w:after="0"/>
              <w:rPr>
                <w:sz w:val="10"/>
                <w:szCs w:val="1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w:t>
            </w:r>
          </w:p>
        </w:tc>
      </w:tr>
      <w:tr>
        <w:trPr>
          <w:trHeight w:val="115"/>
        </w:trPr>
        <w:tc>
          <w:tcPr>
            <w:tcW w:w="9200" w:type="dxa"/>
            <w:vAlign w:val="bottom"/>
            <w:gridSpan w:val="2"/>
          </w:tcPr>
          <w:p>
            <w:pPr>
              <w:ind w:left="20"/>
              <w:spacing w:after="0"/>
              <w:rPr>
                <w:sz w:val="20"/>
                <w:szCs w:val="20"/>
                <w:color w:val="auto"/>
              </w:rPr>
            </w:pPr>
            <w:r>
              <w:rPr>
                <w:rFonts w:ascii="Arial" w:cs="Arial" w:eastAsia="Arial" w:hAnsi="Arial"/>
                <w:sz w:val="10"/>
                <w:szCs w:val="10"/>
                <w:b w:val="1"/>
                <w:bCs w:val="1"/>
                <w:color w:val="auto"/>
              </w:rPr>
              <w:t>FRE</w:t>
            </w:r>
            <w:r>
              <w:rPr>
                <w:rFonts w:ascii="Arial" w:cs="Arial" w:eastAsia="Arial" w:hAnsi="Arial"/>
                <w:sz w:val="6"/>
                <w:szCs w:val="6"/>
                <w:b w:val="1"/>
                <w:bCs w:val="1"/>
                <w:color w:val="auto"/>
              </w:rPr>
              <w:t>(1)</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18,200</w:t>
            </w:r>
          </w:p>
        </w:tc>
      </w:tr>
      <w:tr>
        <w:trPr>
          <w:trHeight w:val="20"/>
        </w:trPr>
        <w:tc>
          <w:tcPr>
            <w:tcW w:w="5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34" w:lineRule="exact"/>
        <w:rPr>
          <w:sz w:val="20"/>
          <w:szCs w:val="20"/>
          <w:color w:val="auto"/>
        </w:rPr>
      </w:pPr>
    </w:p>
    <w:p>
      <w:pPr>
        <w:spacing w:after="0"/>
        <w:rPr>
          <w:sz w:val="20"/>
          <w:szCs w:val="20"/>
          <w:color w:val="auto"/>
        </w:rPr>
      </w:pPr>
      <w:r>
        <w:rPr>
          <w:rFonts w:ascii="Arial" w:cs="Arial" w:eastAsia="Arial" w:hAnsi="Arial"/>
          <w:sz w:val="9"/>
          <w:szCs w:val="9"/>
          <w:color w:val="auto"/>
        </w:rPr>
        <w:t>(1) Includes a $2.7 million benefit from the unused portion of a one-time fourth quarter 2020 outperformance incentive expense.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w:t>
      </w:r>
    </w:p>
    <w:p>
      <w:pPr>
        <w:sectPr>
          <w:pgSz w:w="11900" w:h="16838" w:orient="portrait"/>
          <w:cols w:equalWidth="0" w:num="1">
            <w:col w:w="11300"/>
          </w:cols>
          <w:pgMar w:left="300" w:top="930" w:right="29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191770</wp:posOffset>
            </wp:positionV>
            <wp:extent cx="5486400" cy="411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48640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Arial" w:cs="Arial" w:eastAsia="Arial" w:hAnsi="Arial"/>
          <w:sz w:val="26"/>
          <w:szCs w:val="26"/>
          <w:color w:val="auto"/>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right="40"/>
        <w:spacing w:after="0" w:line="228" w:lineRule="auto"/>
        <w:rPr>
          <w:sz w:val="20"/>
          <w:szCs w:val="20"/>
          <w:color w:val="auto"/>
        </w:rPr>
      </w:pPr>
      <w:r>
        <w:rPr>
          <w:rFonts w:ascii="Arial" w:cs="Arial" w:eastAsia="Arial" w:hAnsi="Arial"/>
          <w:sz w:val="10"/>
          <w:szCs w:val="10"/>
          <w:color w:val="424242"/>
        </w:rPr>
        <w:t>This presentation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57" w:lineRule="exact"/>
        <w:rPr>
          <w:sz w:val="20"/>
          <w:szCs w:val="20"/>
          <w:color w:val="auto"/>
        </w:rPr>
      </w:pPr>
    </w:p>
    <w:p>
      <w:pPr>
        <w:spacing w:after="0" w:line="284" w:lineRule="auto"/>
        <w:rPr>
          <w:sz w:val="20"/>
          <w:szCs w:val="20"/>
          <w:color w:val="auto"/>
        </w:rPr>
      </w:pPr>
      <w:r>
        <w:rPr>
          <w:rFonts w:ascii="Arial" w:cs="Arial" w:eastAsia="Arial" w:hAnsi="Arial"/>
          <w:sz w:val="8"/>
          <w:szCs w:val="8"/>
          <w:color w:val="424242"/>
        </w:rPr>
        <w:t>Forward-looking statements involve known and unknown risks, uncertainties, assumptions and contingencies, many of which are beyond the Company’s control, and may cause the Company’s actual results to differ significantly from those expressed in any forward-looking statement. Factors that might cause such a difference include, without limitation, the impact of COVID-19 on the global economy, including the Company’s businesses, whether the Company’s wellness infrastructure segment, including contractual rent collections, will continue to perform well despite ongoing impacts of COVID-19, the Company’s ability to continue driving strong growth in its digital business and accelerating its digital transformation, including whether the Company will continue to lower corporate expenses and achieve earnings rotation through divestment of legacy businesses and assets, whether the Company will realize the anticipated benefits of Wafra’s strategic investment in the Company’s digital investment management business, including whether the Wafra investment will become subject to redemption and the amount of commitments Wafra will make to the Company’s digital investment products, the Company’s ability to raise third party capital in its managed funds or co-investment structures and the pace of such fundraising (including as a result of the impact of COVID-19), whether the DCP II fund raising target will be met, in the amounts anticipated or at all, the performance of DataBank, including zColo, the success and performance of the Company’s future investment product offerings, including a digital credit investment vehicle, whether the Company will realize the anticipated benefits of its investment in Vantage SDC, including the performance and stability of its portfolio, the pace of growth in the Company’s digital investment management franchise, the Company’s ability to continue to make investments in digital assets onto the balance sheet and the quality and earnings profile of such investments, the resilience and growth in demand for digital infrastructure, whether the Company will realize the anticipated benefits of its securitization transactions, the Company’s ability to simplify its business and continue to monetize legacy businesses/OED assets, including the timing and amount of proceeds to be received by the Company, if any, and its impact on the Company’s liquidity, whether warehoused investments will ultimately be transferred to a managed investment vehicle or at all, the impact of impairments, the level of expenses within the wellness infrastructure segment and the impact on performance for the segment, whether the Company will maintain or produce higher Core FFO per share in the coming quarters, or ever, the Company’s FRE and FEEUM and its ability to continue growth at the current pace or at all, whether the Company will continue to pay dividends on its preferred stock, the impact of changes to the Company’s management or board of directors, employee and organizational structure, the Company’s financial flexibility and liquidity, including borrowing capacity under its revolving credit facility (including as a result of the impact of COVID-19), the use of sales proceeds and available liquidity, the performance of the Company’s investment in CLNC (including as a result of the impact of COVID-19), whether the Company will further extend the term of its revolving credit facility, including the CLNC share price as compared to book value and how the Company evaluates the Company’s investment in CLNC, the impact of management changes at CLNC, the Company’s ability to minimize balance sheet commitments to its managed investment vehicles, customer demand for datacenters, the Company's portfolio composition, the Company's expected taxable income and net cash flows, excluding the contribution of gains, the Company’s ability to pay or grow the dividend at all in the future, the impact of any changes to the Company’s management agreements with NorthStar Healthcare Income, Inc. and other managed investment vehicles, whether the Company will be able to maintain its qualification as a REIT for U.S. federal income tax purposes, the timing of and ability to deploy available capital, including whether any redeployment of capital will generate higher total returns, the Company’s ability to maintain inclusion and relative performance on the RMZ, the Company’s leverage, including the Company’s ability to reduce debt and the timing and amount of borrowings under its credit facility, increased interest rates and operating costs, adverse economic or real estate developments in the Company’s markets, the Company’s failure to successfully operate or lease acquired properties, decreased rental rates, increased vacancy rates or failure to renew or replace expiring leases, increased costs of capital expenditures, defaults on or non-renewal of leases by tenants, the impact of economic conditions (including the impact of COVID-19 on such conditions) on the borrowers of the Company’s commercial real estate debt investments and the commercial mortgage loans underlying its commercial mortgage backed securities, adverse general and local economic conditions, an unfavorable capital market environment, decreased leasing activity or lease renewals, and other risks and uncertainties, including those detailed in the Company’s Annual Report on Form 10-K for the fiscal year ended December 31, 2020 and Quarterly Report on Form 10-Q for the quarter ended March 31, 2021, each under the heading “Risk Factors,” as such factors may be updated from time to time in our subsequent periodic filings with the U.S. Securities and Exchange Commission (“SEC”).</w:t>
      </w:r>
    </w:p>
    <w:p>
      <w:pPr>
        <w:spacing w:after="0" w:line="200" w:lineRule="exact"/>
        <w:rPr>
          <w:sz w:val="20"/>
          <w:szCs w:val="20"/>
          <w:color w:val="auto"/>
        </w:rPr>
      </w:pPr>
    </w:p>
    <w:p>
      <w:pPr>
        <w:spacing w:after="0" w:line="270" w:lineRule="exact"/>
        <w:rPr>
          <w:sz w:val="20"/>
          <w:szCs w:val="20"/>
          <w:color w:val="auto"/>
        </w:rPr>
      </w:pPr>
    </w:p>
    <w:p>
      <w:pPr>
        <w:jc w:val="both"/>
        <w:ind w:right="20"/>
        <w:spacing w:after="0" w:line="229" w:lineRule="auto"/>
        <w:rPr>
          <w:sz w:val="20"/>
          <w:szCs w:val="20"/>
          <w:color w:val="auto"/>
        </w:rPr>
      </w:pPr>
      <w:r>
        <w:rPr>
          <w:rFonts w:ascii="Arial" w:cs="Arial" w:eastAsia="Arial" w:hAnsi="Arial"/>
          <w:sz w:val="10"/>
          <w:szCs w:val="10"/>
          <w:color w:val="424242"/>
        </w:rPr>
        <w:t>All forward-looking statements reflect the Company’s good faith beliefs, assumptions and expectations, but they are not guarantees of future performance. Additional information about these and other factors can be found in the Company’s reports filed from time to time with the SEC. The Company cautions investors not to unduly rely on any forward-looking statements. The forward-looking statements speak only as of the date of this presentation. The Company is under no duty to update any of these forward-looking statements after the date of this presentation, nor to conform prior statements to actual results or revised expectations, and the Company does not intend to do so.</w:t>
      </w:r>
    </w:p>
    <w:p>
      <w:pPr>
        <w:spacing w:after="0" w:line="156" w:lineRule="exact"/>
        <w:rPr>
          <w:sz w:val="20"/>
          <w:szCs w:val="20"/>
          <w:color w:val="auto"/>
        </w:rPr>
      </w:pPr>
    </w:p>
    <w:p>
      <w:pPr>
        <w:spacing w:after="0"/>
        <w:rPr>
          <w:sz w:val="20"/>
          <w:szCs w:val="20"/>
          <w:color w:val="auto"/>
        </w:rPr>
      </w:pPr>
      <w:r>
        <w:rPr>
          <w:rFonts w:ascii="Arial" w:cs="Arial" w:eastAsia="Arial" w:hAnsi="Arial"/>
          <w:sz w:val="10"/>
          <w:szCs w:val="10"/>
          <w:color w:val="424242"/>
        </w:rPr>
        <w:t>This presentation may contain statistics and other data that has been obtained or compiled from information made available by third-party service providers. The Company has not independently verified such statistics or data.</w:t>
      </w:r>
    </w:p>
    <w:p>
      <w:pPr>
        <w:spacing w:after="0" w:line="144" w:lineRule="exact"/>
        <w:rPr>
          <w:sz w:val="20"/>
          <w:szCs w:val="20"/>
          <w:color w:val="auto"/>
        </w:rPr>
      </w:pPr>
    </w:p>
    <w:p>
      <w:pPr>
        <w:jc w:val="both"/>
        <w:ind w:right="40"/>
        <w:spacing w:after="0" w:line="234" w:lineRule="auto"/>
        <w:rPr>
          <w:sz w:val="20"/>
          <w:szCs w:val="20"/>
          <w:color w:val="auto"/>
        </w:rPr>
      </w:pPr>
      <w:r>
        <w:rPr>
          <w:rFonts w:ascii="Arial" w:cs="Arial" w:eastAsia="Arial" w:hAnsi="Arial"/>
          <w:sz w:val="10"/>
          <w:szCs w:val="10"/>
          <w:b w:val="1"/>
          <w:bCs w:val="1"/>
          <w:color w:val="424242"/>
        </w:rPr>
        <w:t>This presentation is for informational purposes only and does not constitute an offer to sell or a solicitation of an offer to buy any securities of the Company. This information is not intended to be indicative of future results. Actual performance of the Company may vary materially.</w:t>
      </w:r>
    </w:p>
    <w:p>
      <w:pPr>
        <w:spacing w:after="0" w:line="136" w:lineRule="exact"/>
        <w:rPr>
          <w:sz w:val="20"/>
          <w:szCs w:val="20"/>
          <w:color w:val="auto"/>
        </w:rPr>
      </w:pPr>
    </w:p>
    <w:p>
      <w:pPr>
        <w:spacing w:after="0"/>
        <w:rPr>
          <w:sz w:val="20"/>
          <w:szCs w:val="20"/>
          <w:color w:val="auto"/>
        </w:rPr>
      </w:pPr>
      <w:r>
        <w:rPr>
          <w:rFonts w:ascii="Arial" w:cs="Arial" w:eastAsia="Arial" w:hAnsi="Arial"/>
          <w:sz w:val="10"/>
          <w:szCs w:val="10"/>
          <w:b w:val="1"/>
          <w:bCs w:val="1"/>
          <w:color w:val="424242"/>
        </w:rPr>
        <w:t>The appendices herein contain important information that is material to an understanding of this presentation and you should read this presentation only with and in context of the 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p>
      <w:pPr>
        <w:sectPr>
          <w:pgSz w:w="11900" w:h="16838" w:orient="portrait"/>
          <w:cols w:equalWidth="0" w:num="1">
            <w:col w:w="11300"/>
          </w:cols>
          <w:pgMar w:left="300" w:top="162" w:right="299" w:bottom="1440" w:gutter="0" w:footer="0" w:header="0"/>
        </w:sectPr>
      </w:pPr>
    </w:p>
    <w:bookmarkStart w:id="16" w:name="page17"/>
    <w:bookmarkEnd w:id="16"/>
    <w:p>
      <w:pPr>
        <w:spacing w:after="0"/>
        <w:rPr>
          <w:sz w:val="20"/>
          <w:szCs w:val="20"/>
          <w:color w:val="auto"/>
        </w:rPr>
      </w:pPr>
      <w:r>
        <w:rPr>
          <w:rFonts w:ascii="Arial" w:cs="Arial" w:eastAsia="Arial" w:hAnsi="Arial"/>
          <w:sz w:val="26"/>
          <w:szCs w:val="26"/>
          <w:color w:val="auto"/>
        </w:rPr>
        <w:t>Important Note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Arial" w:cs="Arial" w:eastAsia="Arial" w:hAnsi="Arial"/>
          <w:sz w:val="10"/>
          <w:szCs w:val="10"/>
          <w:color w:val="424242"/>
        </w:rPr>
        <w:t>This supplemental package includes certain “non-GAAP” supplemental measures that are not defined by generally accepted accounting principles, or GAAP, including the financial metrics defined below, of which the calculations may from methodologies utilized by other REITs for similar performance measurements, and accordingly, may not be comparable to those of other REITs.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0"/>
          <w:szCs w:val="10"/>
          <w:b w:val="1"/>
          <w:bCs w:val="1"/>
          <w:u w:val="single" w:color="auto"/>
          <w:color w:val="424242"/>
        </w:rPr>
        <w:t>Adjusted Earnings before Interest, Taxes, Depreciation and Amortization:</w:t>
      </w:r>
      <w:r>
        <w:rPr>
          <w:rFonts w:ascii="Arial" w:cs="Arial" w:eastAsia="Arial" w:hAnsi="Arial"/>
          <w:sz w:val="10"/>
          <w:szCs w:val="10"/>
          <w:b w:val="1"/>
          <w:bCs w:val="1"/>
          <w:color w:val="424242"/>
        </w:rPr>
        <w:t xml:space="preserve"> </w:t>
      </w:r>
      <w:r>
        <w:rPr>
          <w:rFonts w:ascii="Arial" w:cs="Arial" w:eastAsia="Arial" w:hAnsi="Arial"/>
          <w:sz w:val="10"/>
          <w:szCs w:val="10"/>
          <w:color w:val="424242"/>
        </w:rPr>
        <w:t>The Company calculates Adjusted EBITDA by adjusting Core FFO to exclude interest expense, preferred dividends, tax expense or benefit, earnings from equity method</w:t>
      </w:r>
      <w:r>
        <w:rPr>
          <w:rFonts w:ascii="Arial" w:cs="Arial" w:eastAsia="Arial" w:hAnsi="Arial"/>
          <w:sz w:val="10"/>
          <w:szCs w:val="10"/>
          <w:b w:val="1"/>
          <w:bCs w:val="1"/>
          <w:color w:val="424242"/>
        </w:rPr>
        <w:t xml:space="preserve"> </w:t>
      </w:r>
      <w:r>
        <w:rPr>
          <w:rFonts w:ascii="Arial" w:cs="Arial" w:eastAsia="Arial" w:hAnsi="Arial"/>
          <w:sz w:val="10"/>
          <w:szCs w:val="10"/>
          <w:color w:val="424242"/>
        </w:rPr>
        <w:t>investments, placement fees, and for the Digital Operating segment, restructuring, transaction and integration costs, and revenues and corresponding costs related to the delivery of services that are not ongoing, such as installation services. The Company uses Adjusted EBITDA as a supplemental measure of our performance because they eliminate depreciation, amortization, and the impact of the capital structure from its operating results. However, because Adjusted EBITDA is calculated before recurring cash charges including interest expense and taxes and are not adjusted for capital expenditures or other recurring cash requirements, their utilization as a cash flow measurement is limited.</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0"/>
          <w:szCs w:val="10"/>
          <w:b w:val="1"/>
          <w:bCs w:val="1"/>
          <w:u w:val="single" w:color="auto"/>
          <w:color w:val="424242"/>
        </w:rPr>
        <w:t>FFO:</w:t>
      </w:r>
      <w:r>
        <w:rPr>
          <w:rFonts w:ascii="Arial" w:cs="Arial" w:eastAsia="Arial" w:hAnsi="Arial"/>
          <w:sz w:val="10"/>
          <w:szCs w:val="10"/>
          <w:b w:val="1"/>
          <w:bCs w:val="1"/>
          <w:color w:val="424242"/>
        </w:rPr>
        <w:t xml:space="preserve"> </w:t>
      </w:r>
      <w:r>
        <w:rPr>
          <w:rFonts w:ascii="Arial" w:cs="Arial" w:eastAsia="Arial" w:hAnsi="Arial"/>
          <w:sz w:val="10"/>
          <w:szCs w:val="10"/>
          <w:color w:val="424242"/>
        </w:rPr>
        <w:t>The Company calculates funds from operations (“FFO”) in accordance with standards established by the Board of Governors of the National Association of Real Estate Investment Trusts, which defines FFO as net income or loss calculated in</w:t>
      </w:r>
      <w:r>
        <w:rPr>
          <w:rFonts w:ascii="Arial" w:cs="Arial" w:eastAsia="Arial" w:hAnsi="Arial"/>
          <w:sz w:val="10"/>
          <w:szCs w:val="10"/>
          <w:b w:val="1"/>
          <w:bCs w:val="1"/>
          <w:color w:val="424242"/>
        </w:rPr>
        <w:t xml:space="preserve"> </w:t>
      </w:r>
      <w:r>
        <w:rPr>
          <w:rFonts w:ascii="Arial" w:cs="Arial" w:eastAsia="Arial" w:hAnsi="Arial"/>
          <w:sz w:val="10"/>
          <w:szCs w:val="10"/>
          <w:color w:val="424242"/>
        </w:rPr>
        <w:t>accordance with GAAP, excluding (i) extraordinary items, as defined by GAAP; (ii) gains and losses from sales of depreciable real estate; (iii) impairment write-downs associated with depreciable real estate; (iv) gains and losses from a change in control in connection with interests in depreciable real estate or in-substance real estate, plus (v) real estate-related depreciation and amortization; and (vi) including similar adjustments for equity method investments. Included in FFO are gains and losses from sales of assets which are not depreciable real estate such as loans receivable, equity method investments, as well as equity and debt securities, as applicable.</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0"/>
          <w:szCs w:val="10"/>
          <w:b w:val="1"/>
          <w:bCs w:val="1"/>
          <w:u w:val="single" w:color="auto"/>
          <w:color w:val="424242"/>
        </w:rPr>
        <w:t>Core FFO:</w:t>
      </w:r>
      <w:r>
        <w:rPr>
          <w:rFonts w:ascii="Arial" w:cs="Arial" w:eastAsia="Arial" w:hAnsi="Arial"/>
          <w:sz w:val="10"/>
          <w:szCs w:val="10"/>
          <w:b w:val="1"/>
          <w:bCs w:val="1"/>
          <w:color w:val="424242"/>
        </w:rPr>
        <w:t xml:space="preserve"> </w:t>
      </w:r>
      <w:r>
        <w:rPr>
          <w:rFonts w:ascii="Arial" w:cs="Arial" w:eastAsia="Arial" w:hAnsi="Arial"/>
          <w:sz w:val="10"/>
          <w:szCs w:val="10"/>
          <w:color w:val="424242"/>
        </w:rPr>
        <w:t>The Company computes core funds from operations (Core FFO) by adjusting FFO for the following items, including the Company’s share of these items recognized by its unconsolidated partnerships and joint ventures: (i) equity-based</w:t>
      </w:r>
      <w:r>
        <w:rPr>
          <w:rFonts w:ascii="Arial" w:cs="Arial" w:eastAsia="Arial" w:hAnsi="Arial"/>
          <w:sz w:val="10"/>
          <w:szCs w:val="10"/>
          <w:b w:val="1"/>
          <w:bCs w:val="1"/>
          <w:color w:val="424242"/>
        </w:rPr>
        <w:t xml:space="preserve"> </w:t>
      </w:r>
      <w:r>
        <w:rPr>
          <w:rFonts w:ascii="Arial" w:cs="Arial" w:eastAsia="Arial" w:hAnsi="Arial"/>
          <w:sz w:val="10"/>
          <w:szCs w:val="10"/>
          <w:color w:val="424242"/>
        </w:rPr>
        <w:t>compensation expense; (ii) effects of straight-line rent revenue and expense; (iii) amortization of acquired above- and below-market lease values; (iv) debt prepayment penalties and amortization of deferred financing costs and debt premiums and discounts; (v) non-real estate depreciation, amortization and impairment; (vi) restructuring and transaction-related charges; (vii) non-real estate loss (gain), fair value loss (gain) on interest rate and foreign currency hedges, and foreign currency remeasurements except realized gain and loss from the Digital Other segment; (viii) net unrealized carried interest; and (ix) deferred taxes and the tax effect on certain of the foregoing adjustments. The Company’s Core FFO from its interest in Colony Credit Real Estate (NYSE: CLNC) represented the cash dividends declared in the reported period. The Company excluded results from discontinued operations in its calculation of Core FFO and applied this exclusion to prior periods. Beginning with the first quarter 2021, the Company revised the computation of Core FFO and and applied this revised computation methodology to prior periods presented.</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0"/>
          <w:szCs w:val="10"/>
          <w:color w:val="424242"/>
        </w:rPr>
        <w:t>FFO and Core FFO should not be considered alternatives to GAAP net income as indications of operating performance, or to cash flows from operating activities as measures of liquidity, nor as indications of the availability of funds for our cash needs, including funds available to make distributions. FFO and Core FFO should not be used as supplements to or substitutes for cash flow from operating activities computed in accordance with GAAP.</w:t>
      </w:r>
    </w:p>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0"/>
          <w:szCs w:val="10"/>
          <w:color w:val="424242"/>
        </w:rPr>
        <w:t>The Company uses FFO and Core FFO as supplemental performance measures because, in excluding real estate depreciation and amortization and gains and losses, it provides a performance measure that captures trends in occupancy rates, rental rates, and operating costs, and such a measure is useful to investors as it excludes periodic gains and losses from sales of investments that are not representative of its ongoing operations. The Company also believes that, as widely recognized measures of the performance of REITs, FFO and Core FFO will be used by investors as a basis to compare its operating performance with that of other REITs. However, because FFO and Core FFO exclude depreciation and amortization and capture neither the changes in the value of the Company’s properties that resulted from use or market conditions nor the level of capital expenditures and leasing commissions necessary to maintain the operating performance of its properties, all of which have real economic effect and could materially impact the Company’s results from operations, the utility of FFO and Core FFO as measures of the Company’s performance is limited. FFO and Core FFO should be considered only as supplements to GAAP net income as a measure of the Company’s performance. Additionally, Core FFO excludes the impact of certain fair value fluctuations, which, if they were to be realized, could have a material impact on the Company’s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945515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p>
      <w:pPr>
        <w:sectPr>
          <w:pgSz w:w="11900" w:h="16838" w:orient="portrait"/>
          <w:cols w:equalWidth="0" w:num="1">
            <w:col w:w="11300"/>
          </w:cols>
          <w:pgMar w:left="300" w:top="162" w:right="299" w:bottom="1440" w:gutter="0" w:footer="0" w:header="0"/>
        </w:sectPr>
      </w:pPr>
    </w:p>
    <w:bookmarkStart w:id="17" w:name="page18"/>
    <w:bookmarkEnd w:id="17"/>
    <w:p>
      <w:pPr>
        <w:spacing w:after="0"/>
        <w:rPr>
          <w:sz w:val="20"/>
          <w:szCs w:val="20"/>
          <w:color w:val="auto"/>
        </w:rPr>
      </w:pPr>
      <w:r>
        <w:rPr>
          <w:rFonts w:ascii="Arial" w:cs="Arial" w:eastAsia="Arial" w:hAnsi="Arial"/>
          <w:sz w:val="26"/>
          <w:szCs w:val="26"/>
          <w:color w:val="auto"/>
        </w:rPr>
        <w:t>Important Note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22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spacing w:after="0" w:line="250" w:lineRule="auto"/>
        <w:rPr>
          <w:sz w:val="20"/>
          <w:szCs w:val="20"/>
          <w:color w:val="auto"/>
        </w:rPr>
      </w:pPr>
      <w:r>
        <w:rPr>
          <w:rFonts w:ascii="Arial" w:cs="Arial" w:eastAsia="Arial" w:hAnsi="Arial"/>
          <w:sz w:val="10"/>
          <w:szCs w:val="10"/>
          <w:b w:val="1"/>
          <w:bCs w:val="1"/>
          <w:u w:val="single" w:color="auto"/>
          <w:color w:val="424242"/>
        </w:rPr>
        <w:t>Digital Operating Earnings before Interest, Taxes, Depreciation and Amortization for Real Estate (EBITDAre) and Adjusted EBITDA:</w:t>
      </w:r>
      <w:r>
        <w:rPr>
          <w:rFonts w:ascii="Arial" w:cs="Arial" w:eastAsia="Arial" w:hAnsi="Arial"/>
          <w:sz w:val="10"/>
          <w:szCs w:val="10"/>
          <w:b w:val="1"/>
          <w:bCs w:val="1"/>
          <w:color w:val="424242"/>
        </w:rPr>
        <w:t xml:space="preserve"> </w:t>
      </w:r>
      <w:r>
        <w:rPr>
          <w:rFonts w:ascii="Arial" w:cs="Arial" w:eastAsia="Arial" w:hAnsi="Arial"/>
          <w:sz w:val="10"/>
          <w:szCs w:val="10"/>
          <w:color w:val="424242"/>
        </w:rPr>
        <w:t>The Company calculates EBITDAre in accordance with the standards established by the National</w:t>
      </w:r>
      <w:r>
        <w:rPr>
          <w:rFonts w:ascii="Arial" w:cs="Arial" w:eastAsia="Arial" w:hAnsi="Arial"/>
          <w:sz w:val="10"/>
          <w:szCs w:val="10"/>
          <w:b w:val="1"/>
          <w:bCs w:val="1"/>
          <w:color w:val="424242"/>
        </w:rPr>
        <w:t xml:space="preserve"> </w:t>
      </w:r>
      <w:r>
        <w:rPr>
          <w:rFonts w:ascii="Arial" w:cs="Arial" w:eastAsia="Arial" w:hAnsi="Arial"/>
          <w:sz w:val="10"/>
          <w:szCs w:val="10"/>
          <w:color w:val="424242"/>
        </w:rPr>
        <w:t>Association of Real Estate Investment Trusts, which defines EBITDAre as net income or loss calculated in accordance with GAAP, excluding interest, taxes, depreciation and amortization, gains or losses from the sale of depreciated property, and impairment of depreciated property. The Company calculates Adjusted EBITDA by adjusting EBITDAre for the effects of straight-line rental income/expense adjustments and amortization of acquired above- and below-market lease adjustments to rental income, equity-based compensation expense, restructuring and integration costs, transaction costs from unsuccessful deals and business combinations, litigation expense, the impact of other impairment charges, gains or losses from sales of undepreciated land, and gains or losses on early extinguishment of debt and hedging instruments. Revenues and corresponding costs related to the delivery of services that are not ongoing, such as installation services, are also excluded from Adjusted EBITDA. The Company uses EBITDAre and Adjusted EBITDA as supplemental measures of our performance because they eliminate depreciation, amortization, and the impact of the capital structure from its operating results. However, because EBITDAre and Adjusted EBITDA are calculated before recurring cash charges including interest expense and taxes and are not adjusted for capital expenditures or other recurring cash requirements, their utilization as a cash flow measurement is limited.</w:t>
      </w:r>
    </w:p>
    <w:p>
      <w:pPr>
        <w:spacing w:after="0" w:line="259" w:lineRule="exact"/>
        <w:rPr>
          <w:sz w:val="20"/>
          <w:szCs w:val="20"/>
          <w:color w:val="auto"/>
        </w:rPr>
      </w:pPr>
    </w:p>
    <w:p>
      <w:pPr>
        <w:jc w:val="both"/>
        <w:spacing w:after="0" w:line="265" w:lineRule="auto"/>
        <w:rPr>
          <w:sz w:val="20"/>
          <w:szCs w:val="20"/>
          <w:color w:val="auto"/>
        </w:rPr>
      </w:pPr>
      <w:r>
        <w:rPr>
          <w:rFonts w:ascii="Arial" w:cs="Arial" w:eastAsia="Arial" w:hAnsi="Arial"/>
          <w:sz w:val="10"/>
          <w:szCs w:val="10"/>
          <w:b w:val="1"/>
          <w:bCs w:val="1"/>
          <w:u w:val="single" w:color="auto"/>
          <w:color w:val="424242"/>
        </w:rPr>
        <w:t>Fee Related Earnings (“FRE”):</w:t>
      </w:r>
      <w:r>
        <w:rPr>
          <w:rFonts w:ascii="Arial" w:cs="Arial" w:eastAsia="Arial" w:hAnsi="Arial"/>
          <w:sz w:val="10"/>
          <w:szCs w:val="10"/>
          <w:b w:val="1"/>
          <w:bCs w:val="1"/>
          <w:color w:val="424242"/>
        </w:rPr>
        <w:t xml:space="preserve"> </w:t>
      </w:r>
      <w:r>
        <w:rPr>
          <w:rFonts w:ascii="Arial" w:cs="Arial" w:eastAsia="Arial" w:hAnsi="Arial"/>
          <w:sz w:val="10"/>
          <w:szCs w:val="10"/>
          <w:color w:val="424242"/>
        </w:rPr>
        <w:t>The Company calculates FRE for its investment management business within the digital segment as base management fees, other service fee income, and other income inclusive of cost reimbursements, less</w:t>
      </w:r>
      <w:r>
        <w:rPr>
          <w:rFonts w:ascii="Arial" w:cs="Arial" w:eastAsia="Arial" w:hAnsi="Arial"/>
          <w:sz w:val="10"/>
          <w:szCs w:val="10"/>
          <w:b w:val="1"/>
          <w:bCs w:val="1"/>
          <w:color w:val="424242"/>
        </w:rPr>
        <w:t xml:space="preserve"> </w:t>
      </w:r>
      <w:r>
        <w:rPr>
          <w:rFonts w:ascii="Arial" w:cs="Arial" w:eastAsia="Arial" w:hAnsi="Arial"/>
          <w:sz w:val="10"/>
          <w:szCs w:val="10"/>
          <w:color w:val="424242"/>
        </w:rPr>
        <w:t>compensation expense (excluding equity-based compensation), administrative expenses (excluding fund raising placement agent fee expenses), and other operating expenses related to the investment management business. The Company uses FRE as a supplemental performance measure as it may provide additional insight into the profitability of the overall digital investment management business. FRE is presented prior to the deduction for Wafra's 31.5% interest.</w:t>
      </w:r>
    </w:p>
    <w:p>
      <w:pPr>
        <w:spacing w:after="0" w:line="132" w:lineRule="exact"/>
        <w:rPr>
          <w:sz w:val="20"/>
          <w:szCs w:val="20"/>
          <w:color w:val="auto"/>
        </w:rPr>
      </w:pPr>
    </w:p>
    <w:p>
      <w:pPr>
        <w:jc w:val="both"/>
        <w:ind w:right="20"/>
        <w:spacing w:after="0" w:line="286" w:lineRule="auto"/>
        <w:rPr>
          <w:sz w:val="20"/>
          <w:szCs w:val="20"/>
          <w:color w:val="auto"/>
        </w:rPr>
      </w:pPr>
      <w:r>
        <w:rPr>
          <w:rFonts w:ascii="Arial" w:cs="Arial" w:eastAsia="Arial" w:hAnsi="Arial"/>
          <w:sz w:val="10"/>
          <w:szCs w:val="10"/>
          <w:b w:val="1"/>
          <w:bCs w:val="1"/>
          <w:u w:val="single" w:color="auto"/>
          <w:color w:val="424242"/>
        </w:rPr>
        <w:t>NOI:</w:t>
      </w:r>
      <w:r>
        <w:rPr>
          <w:rFonts w:ascii="Arial" w:cs="Arial" w:eastAsia="Arial" w:hAnsi="Arial"/>
          <w:sz w:val="10"/>
          <w:szCs w:val="10"/>
          <w:b w:val="1"/>
          <w:bCs w:val="1"/>
          <w:color w:val="424242"/>
        </w:rPr>
        <w:t xml:space="preserve"> </w:t>
      </w:r>
      <w:r>
        <w:rPr>
          <w:rFonts w:ascii="Arial" w:cs="Arial" w:eastAsia="Arial" w:hAnsi="Arial"/>
          <w:sz w:val="10"/>
          <w:szCs w:val="10"/>
          <w:color w:val="424242"/>
        </w:rPr>
        <w:t>NOI for our real estate segments represents total property and related income less property operating expenses, adjusted for the effects of (i) straight-line rental income adjustments; (ii) amortization of acquired above- and below-market lease</w:t>
      </w:r>
      <w:r>
        <w:rPr>
          <w:rFonts w:ascii="Arial" w:cs="Arial" w:eastAsia="Arial" w:hAnsi="Arial"/>
          <w:sz w:val="10"/>
          <w:szCs w:val="10"/>
          <w:b w:val="1"/>
          <w:bCs w:val="1"/>
          <w:color w:val="424242"/>
        </w:rPr>
        <w:t xml:space="preserve"> </w:t>
      </w:r>
      <w:r>
        <w:rPr>
          <w:rFonts w:ascii="Arial" w:cs="Arial" w:eastAsia="Arial" w:hAnsi="Arial"/>
          <w:sz w:val="10"/>
          <w:szCs w:val="10"/>
          <w:color w:val="424242"/>
        </w:rPr>
        <w:t>adjustments to rental income; and (iii) other items such as adjustments for the Company’s share of NOI of unconsolidated ventures.</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0"/>
          <w:szCs w:val="10"/>
          <w:color w:val="424242"/>
        </w:rPr>
        <w:t>The Company believes that NOI is a useful measure of operating performance of its respective real estate portfolios as it is more closely linked to the direct results of operations at the property level. NOI also reflects actual rents received during the period after adjusting for the effects of straight-line rents and amortization of above- and below- market leases; therefore, a comparison of NOI across periods better reflects the trend in occupancy rates and rental rates of the Company’s properties.</w:t>
      </w:r>
    </w:p>
    <w:p>
      <w:pPr>
        <w:spacing w:after="0" w:line="146" w:lineRule="exact"/>
        <w:rPr>
          <w:sz w:val="20"/>
          <w:szCs w:val="20"/>
          <w:color w:val="auto"/>
        </w:rPr>
      </w:pPr>
    </w:p>
    <w:p>
      <w:pPr>
        <w:jc w:val="both"/>
        <w:spacing w:after="0" w:line="247" w:lineRule="auto"/>
        <w:rPr>
          <w:sz w:val="20"/>
          <w:szCs w:val="20"/>
          <w:color w:val="auto"/>
        </w:rPr>
      </w:pPr>
      <w:r>
        <w:rPr>
          <w:rFonts w:ascii="Arial" w:cs="Arial" w:eastAsia="Arial" w:hAnsi="Arial"/>
          <w:sz w:val="10"/>
          <w:szCs w:val="10"/>
          <w:color w:val="424242"/>
        </w:rPr>
        <w:t>NOI excludes historical cost depreciation and amortization, which are based on different useful life estimates depending on the age of the properties, as well as adjust for the effects of real estate impairment and gains or losses on sales of depreciated properties, which eliminate differences arising from investment and disposition decisions. This allows for comparability of operating performance of the Company’s properties period over period and also against the results of other equity REITs in the same sectors. Additionally, by excluding corporate level expenses or benefits such as interest expense, any gain or loss on early extinguishment of debt and income taxes, which are incurred by the parent entity and are not directly linked to the operating performance of the Company’s properties, NOI provides a measure of operating performance independent of the Company’s capital structure and indebtedness. However, the exclusion of these items as well as others, such as capital expenditures and leasing costs, which are necessary to maintain the operating performance of the Company’s properties, and transaction costs and administrative costs, may limit the usefulness of NOI. NOI may fail to capture significant trends in these components of U.S. GAAP net income (loss) which further limits its usefulness. NOI should not be considered as an alternative to net income (loss), determined in accordance with U.S. GAAP, as an indicator of operating performance.</w:t>
      </w:r>
    </w:p>
    <w:p>
      <w:pPr>
        <w:spacing w:after="0" w:line="259" w:lineRule="exact"/>
        <w:rPr>
          <w:sz w:val="20"/>
          <w:szCs w:val="20"/>
          <w:color w:val="auto"/>
        </w:rPr>
      </w:pPr>
    </w:p>
    <w:p>
      <w:pPr>
        <w:jc w:val="both"/>
        <w:spacing w:after="0" w:line="286" w:lineRule="auto"/>
        <w:rPr>
          <w:sz w:val="20"/>
          <w:szCs w:val="20"/>
          <w:color w:val="auto"/>
        </w:rPr>
      </w:pPr>
      <w:r>
        <w:rPr>
          <w:rFonts w:ascii="Arial" w:cs="Arial" w:eastAsia="Arial" w:hAnsi="Arial"/>
          <w:sz w:val="10"/>
          <w:szCs w:val="10"/>
          <w:b w:val="1"/>
          <w:bCs w:val="1"/>
          <w:u w:val="single" w:color="auto"/>
          <w:color w:val="424242"/>
        </w:rPr>
        <w:t>Tenant/operator provided information:</w:t>
      </w:r>
      <w:r>
        <w:rPr>
          <w:rFonts w:ascii="Arial" w:cs="Arial" w:eastAsia="Arial" w:hAnsi="Arial"/>
          <w:sz w:val="10"/>
          <w:szCs w:val="10"/>
          <w:b w:val="1"/>
          <w:bCs w:val="1"/>
          <w:color w:val="424242"/>
        </w:rPr>
        <w:t xml:space="preserve"> </w:t>
      </w:r>
      <w:r>
        <w:rPr>
          <w:rFonts w:ascii="Arial" w:cs="Arial" w:eastAsia="Arial" w:hAnsi="Arial"/>
          <w:sz w:val="10"/>
          <w:szCs w:val="10"/>
          <w:color w:val="424242"/>
        </w:rPr>
        <w:t>The information related to the Company’s tenants/operators that is provided in this presentation has been provided by, or derived from information provided by, such tenants/operators. The Company has not</w:t>
      </w:r>
      <w:r>
        <w:rPr>
          <w:rFonts w:ascii="Arial" w:cs="Arial" w:eastAsia="Arial" w:hAnsi="Arial"/>
          <w:sz w:val="10"/>
          <w:szCs w:val="10"/>
          <w:b w:val="1"/>
          <w:bCs w:val="1"/>
          <w:color w:val="424242"/>
        </w:rPr>
        <w:t xml:space="preserve"> </w:t>
      </w:r>
      <w:r>
        <w:rPr>
          <w:rFonts w:ascii="Arial" w:cs="Arial" w:eastAsia="Arial" w:hAnsi="Arial"/>
          <w:sz w:val="10"/>
          <w:szCs w:val="10"/>
          <w:color w:val="424242"/>
        </w:rPr>
        <w:t>independently verified this information and has no reason to believe that such information is inaccurate in any material respect. The Company is providing this data for informational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p>
      <w:pPr>
        <w:sectPr>
          <w:pgSz w:w="11900" w:h="16838" w:orient="portrait"/>
          <w:cols w:equalWidth="0" w:num="1">
            <w:col w:w="11300"/>
          </w:cols>
          <w:pgMar w:left="300" w:top="162" w:right="299" w:bottom="1440" w:gutter="0" w:footer="0" w:header="0"/>
        </w:sectPr>
      </w:pPr>
    </w:p>
    <w:bookmarkStart w:id="18" w:name="page19"/>
    <w:bookmarkEnd w:id="18"/>
    <w:p>
      <w:pPr>
        <w:ind w:right="620"/>
        <w:spacing w:after="0" w:line="231" w:lineRule="auto"/>
        <w:rPr>
          <w:sz w:val="20"/>
          <w:szCs w:val="20"/>
          <w:color w:val="auto"/>
        </w:rPr>
      </w:pPr>
      <w:r>
        <w:rPr>
          <w:rFonts w:ascii="Arial" w:cs="Arial" w:eastAsia="Arial" w:hAnsi="Arial"/>
          <w:sz w:val="26"/>
          <w:szCs w:val="26"/>
          <w:color w:val="auto"/>
        </w:rPr>
        <w:t>Note Regarding CLNY Reportable Segments / Consolidated and OP Share of Consolidated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22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0"/>
          <w:szCs w:val="10"/>
          <w:color w:val="424242"/>
        </w:rPr>
        <w:t>This presentation includes supplemental financial information for the following segments: Digital Investment Management, Digital Operating, Digital Other, Wellness Infrastructure and Other.</w:t>
      </w:r>
    </w:p>
    <w:p>
      <w:pPr>
        <w:spacing w:after="0" w:line="152"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Digital Investment Management</w:t>
      </w:r>
    </w:p>
    <w:p>
      <w:pPr>
        <w:spacing w:after="0" w:line="14" w:lineRule="exact"/>
        <w:rPr>
          <w:sz w:val="20"/>
          <w:szCs w:val="20"/>
          <w:color w:val="auto"/>
        </w:rPr>
      </w:pPr>
    </w:p>
    <w:p>
      <w:pPr>
        <w:jc w:val="both"/>
        <w:spacing w:after="0" w:line="252" w:lineRule="auto"/>
        <w:rPr>
          <w:sz w:val="20"/>
          <w:szCs w:val="20"/>
          <w:color w:val="auto"/>
        </w:rPr>
      </w:pPr>
      <w:r>
        <w:rPr>
          <w:rFonts w:ascii="Arial" w:cs="Arial" w:eastAsia="Arial" w:hAnsi="Arial"/>
          <w:sz w:val="10"/>
          <w:szCs w:val="10"/>
          <w:color w:val="424242"/>
        </w:rPr>
        <w:t>This business encompasses the investment and stewardship of third party capital in digital infrastructure and real estate. The Company's flagship opportunistic strategy is conducted through DCP I, DCP II and separately capitalized vehicles while other strategies, including digital credit and public equities, will be or are conducted through other investment vehicles. The Company earns management fees, generally based on the amount of assets or capital managed in investment vehicles, and have the potential to earn carried interest based on the performance of such investment vehicles subject to achievement of minimum return hurdles.</w:t>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Digital Operating</w:t>
      </w:r>
    </w:p>
    <w:p>
      <w:pPr>
        <w:spacing w:after="0" w:line="14" w:lineRule="exact"/>
        <w:rPr>
          <w:sz w:val="20"/>
          <w:szCs w:val="20"/>
          <w:color w:val="auto"/>
        </w:rPr>
      </w:pPr>
    </w:p>
    <w:p>
      <w:pPr>
        <w:jc w:val="both"/>
        <w:spacing w:after="0" w:line="252" w:lineRule="auto"/>
        <w:rPr>
          <w:sz w:val="20"/>
          <w:szCs w:val="20"/>
          <w:color w:val="auto"/>
        </w:rPr>
      </w:pPr>
      <w:r>
        <w:rPr>
          <w:rFonts w:ascii="Arial" w:cs="Arial" w:eastAsia="Arial" w:hAnsi="Arial"/>
          <w:sz w:val="10"/>
          <w:szCs w:val="10"/>
          <w:color w:val="424242"/>
        </w:rPr>
        <w:t>This business is composed of balance sheet equity interests in digital infrastructure and real estate operating companies, which generally earns rental income from providing use of space and/or capacity in or on digital assets through leases, services and other agreements. The Company currently owns interests in two companies, DataBank's enterprise data centers, including zColo, and Vantage stabilized hyperscale data centers, which are also portfolio companies under Digital IM for the equity interests owned by third party capital.</w:t>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Digital Other</w:t>
      </w:r>
    </w:p>
    <w:p>
      <w:pPr>
        <w:spacing w:after="0" w:line="14" w:lineRule="exact"/>
        <w:rPr>
          <w:sz w:val="20"/>
          <w:szCs w:val="20"/>
          <w:color w:val="auto"/>
        </w:rPr>
      </w:pPr>
    </w:p>
    <w:p>
      <w:pPr>
        <w:jc w:val="both"/>
        <w:spacing w:after="0" w:line="261" w:lineRule="auto"/>
        <w:rPr>
          <w:sz w:val="20"/>
          <w:szCs w:val="20"/>
          <w:color w:val="auto"/>
        </w:rPr>
      </w:pPr>
      <w:r>
        <w:rPr>
          <w:rFonts w:ascii="Arial" w:cs="Arial" w:eastAsia="Arial" w:hAnsi="Arial"/>
          <w:sz w:val="10"/>
          <w:szCs w:val="10"/>
          <w:color w:val="424242"/>
        </w:rPr>
        <w:t>This segment is composed of equity interests in digital investment vehicles, the largest of which is the Company’s investments and commitments to DCP I and DCP II. This segment also includes the Company’s investment and commitment to the digital liquid strategies and seed investments for future digital investment vehicles.</w:t>
      </w:r>
    </w:p>
    <w:p>
      <w:pPr>
        <w:spacing w:after="0" w:line="134"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Wellness Infrastructure</w:t>
      </w:r>
    </w:p>
    <w:p>
      <w:pPr>
        <w:spacing w:after="0" w:line="14" w:lineRule="exact"/>
        <w:rPr>
          <w:sz w:val="20"/>
          <w:szCs w:val="20"/>
          <w:color w:val="auto"/>
        </w:rPr>
      </w:pPr>
    </w:p>
    <w:p>
      <w:pPr>
        <w:jc w:val="both"/>
        <w:spacing w:after="0" w:line="247" w:lineRule="auto"/>
        <w:rPr>
          <w:sz w:val="20"/>
          <w:szCs w:val="20"/>
          <w:color w:val="auto"/>
        </w:rPr>
      </w:pPr>
      <w:r>
        <w:rPr>
          <w:rFonts w:ascii="Arial" w:cs="Arial" w:eastAsia="Arial" w:hAnsi="Arial"/>
          <w:sz w:val="10"/>
          <w:szCs w:val="10"/>
          <w:color w:val="424242"/>
        </w:rPr>
        <w:t>This segment is composed of a diverse portfolio of senior housing, skilled nursing facilities, medical office buildings, and hospitals. The Company earns rental income from senior housing, skilled nursing facilities and hospital assets that are under net leases to single tenants/operators and from medical office buildings which are both single tenant and multi-tenant. In addition, certain of the Company's senior housing properties are managed by operators under a RIDEA (REIT Investment Diversification and Empowerment Act) structure, which allows the Company to gain financial exposure to underlying operations of the facility in a tax efficient manner versus receiving contractual rent under a net lease arrangement. In connection with accelerating the monetization of substantially all of the assets in the Company's Other segment in the first quarter of 2021, the Company reorganized its Wellness Infrastructure segment to retrospectively include other healthcare related assets and obligations. These assets and obligations encompass: (i) the Company's management contract and equity interests in NorthStar Healthcare Income, equity investment in a healthcare asset manager, and N-Star CDO bonds collateralized largely by certain debt and preferred equity within the capital structure of Wellness Infrastructure, all of which previously resided in the Other segment; as well as (ii) the 5.375% exchangeable senior notes, trust preferred securities and corresponding junior subordinated debt that were not previously allocated to reportable segments, all of which were issued by NRF Holdco, which holds the Wellness Infrastructure portfolio as its primary asset and acts as guarantor.</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Other</w:t>
      </w:r>
    </w:p>
    <w:p>
      <w:pPr>
        <w:spacing w:after="0" w:line="14" w:lineRule="exact"/>
        <w:rPr>
          <w:sz w:val="20"/>
          <w:szCs w:val="20"/>
          <w:color w:val="auto"/>
        </w:rPr>
      </w:pPr>
    </w:p>
    <w:p>
      <w:pPr>
        <w:spacing w:after="0"/>
        <w:rPr>
          <w:sz w:val="20"/>
          <w:szCs w:val="20"/>
          <w:color w:val="auto"/>
        </w:rPr>
      </w:pPr>
      <w:r>
        <w:rPr>
          <w:rFonts w:ascii="Arial" w:cs="Arial" w:eastAsia="Arial" w:hAnsi="Arial"/>
          <w:sz w:val="10"/>
          <w:szCs w:val="10"/>
          <w:color w:val="424242"/>
        </w:rPr>
        <w:t>This segment is primarily composed of the shares in Colony Credit Real Estate, Inc ("CLNC") among a few other holdings.</w:t>
      </w:r>
    </w:p>
    <w:p>
      <w:pPr>
        <w:spacing w:after="0" w:line="152"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Discontinued Operations</w:t>
      </w:r>
    </w:p>
    <w:p>
      <w:pPr>
        <w:spacing w:after="0" w:line="14" w:lineRule="exact"/>
        <w:rPr>
          <w:sz w:val="20"/>
          <w:szCs w:val="20"/>
          <w:color w:val="auto"/>
        </w:rPr>
      </w:pPr>
    </w:p>
    <w:p>
      <w:pPr>
        <w:jc w:val="both"/>
        <w:spacing w:after="0" w:line="249" w:lineRule="auto"/>
        <w:rPr>
          <w:sz w:val="20"/>
          <w:szCs w:val="20"/>
          <w:color w:val="auto"/>
        </w:rPr>
      </w:pPr>
      <w:r>
        <w:rPr>
          <w:rFonts w:ascii="Arial" w:cs="Arial" w:eastAsia="Arial" w:hAnsi="Arial"/>
          <w:sz w:val="10"/>
          <w:szCs w:val="10"/>
          <w:color w:val="424242"/>
        </w:rPr>
        <w:t>The Company has shifted its efforts to accelerating the monetization of its other equity and debt (“OED”) investments and Other IM business and is pursuing a potential monetization of a substantial majority of such assets. This acceleration and the successful disposition of the Company’s hotel business represent strategic shifts in the Company's business that are expected to have a significant effect on the Company’s operations and financial results, and accordingly, have met the criteria as discontinued operations. Accordingly, for all prior periods presented, the related assets and liabilities are presented as assets and liabilities held for disposition on the consolidated balance sheets and the related operating results are presented as income (loss) from discontinued operations on the consolidated statements of operations.</w:t>
      </w:r>
    </w:p>
    <w:p>
      <w:pPr>
        <w:spacing w:after="0" w:line="153" w:lineRule="exact"/>
        <w:rPr>
          <w:sz w:val="20"/>
          <w:szCs w:val="20"/>
          <w:color w:val="auto"/>
        </w:rPr>
      </w:pPr>
    </w:p>
    <w:p>
      <w:pPr>
        <w:ind w:right="60"/>
        <w:spacing w:after="0" w:line="261" w:lineRule="auto"/>
        <w:rPr>
          <w:sz w:val="20"/>
          <w:szCs w:val="20"/>
          <w:color w:val="auto"/>
        </w:rPr>
      </w:pPr>
      <w:r>
        <w:rPr>
          <w:rFonts w:ascii="Arial" w:cs="Arial" w:eastAsia="Arial" w:hAnsi="Arial"/>
          <w:sz w:val="10"/>
          <w:szCs w:val="10"/>
          <w:color w:val="424242"/>
        </w:rPr>
        <w:t>Throughout this presentation, consolidated figures represent the interest of both the Company (and its subsidiary Colony Capital Operating Company or the “CLNY OP”) and noncontrolling interests. Figures labeled as CLNY OP share represent the Company’s pro-rata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p>
      <w:pPr>
        <w:sectPr>
          <w:pgSz w:w="11900" w:h="16838" w:orient="portrait"/>
          <w:cols w:equalWidth="0" w:num="1">
            <w:col w:w="11300"/>
          </w:cols>
          <w:pgMar w:left="300" w:top="162" w:right="299" w:bottom="1440" w:gutter="0" w:footer="0" w:header="0"/>
        </w:sectPr>
      </w:pPr>
    </w:p>
    <w:bookmarkStart w:id="19" w:name="page20"/>
    <w:bookmarkEnd w:id="19"/>
    <w:p>
      <w:pPr>
        <w:spacing w:after="0"/>
        <w:rPr>
          <w:sz w:val="20"/>
          <w:szCs w:val="20"/>
          <w:color w:val="auto"/>
        </w:rPr>
      </w:pPr>
      <w:r>
        <w:rPr>
          <w:rFonts w:ascii="Arial" w:cs="Arial" w:eastAsia="Arial" w:hAnsi="Arial"/>
          <w:sz w:val="28"/>
          <w:szCs w:val="2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78040"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384175</wp:posOffset>
            </wp:positionV>
            <wp:extent cx="5715" cy="275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5" cy="2754630"/>
                    </a:xfrm>
                    <a:prstGeom prst="rect">
                      <a:avLst/>
                    </a:prstGeom>
                    <a:noFill/>
                  </pic:spPr>
                </pic:pic>
              </a:graphicData>
            </a:graphic>
          </wp:anchor>
        </w:drawing>
      </w:r>
    </w:p>
    <w:p>
      <w:pPr>
        <w:sectPr>
          <w:pgSz w:w="11900" w:h="16838" w:orient="portrait"/>
          <w:cols w:equalWidth="0" w:num="1">
            <w:col w:w="11300"/>
          </w:cols>
          <w:pgMar w:left="300" w:top="15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00"/>
        <w:spacing w:after="0"/>
        <w:rPr>
          <w:sz w:val="20"/>
          <w:szCs w:val="20"/>
          <w:color w:val="auto"/>
        </w:rPr>
      </w:pPr>
      <w:r>
        <w:rPr>
          <w:rFonts w:ascii="Arial" w:cs="Arial" w:eastAsia="Arial" w:hAnsi="Arial"/>
          <w:sz w:val="13"/>
          <w:szCs w:val="13"/>
          <w:u w:val="single" w:color="auto"/>
          <w:color w:val="40576D"/>
        </w:rPr>
        <w:t>Page</w:t>
      </w:r>
    </w:p>
    <w:p>
      <w:pPr>
        <w:spacing w:after="0" w:line="85" w:lineRule="exact"/>
        <w:rPr>
          <w:sz w:val="20"/>
          <w:szCs w:val="20"/>
          <w:color w:val="auto"/>
        </w:rPr>
      </w:pPr>
    </w:p>
    <w:p>
      <w:pPr>
        <w:ind w:left="320" w:hanging="316"/>
        <w:spacing w:after="0"/>
        <w:tabs>
          <w:tab w:leader="none" w:pos="320" w:val="left"/>
        </w:tabs>
        <w:numPr>
          <w:ilvl w:val="0"/>
          <w:numId w:val="10"/>
        </w:numPr>
        <w:rPr>
          <w:rFonts w:ascii="Arial" w:cs="Arial" w:eastAsia="Arial" w:hAnsi="Arial"/>
          <w:sz w:val="12"/>
          <w:szCs w:val="12"/>
          <w:color w:val="3E5A99"/>
        </w:rPr>
      </w:pPr>
      <w:r>
        <w:rPr>
          <w:rFonts w:ascii="Arial" w:cs="Arial" w:eastAsia="Arial" w:hAnsi="Arial"/>
          <w:sz w:val="13"/>
          <w:szCs w:val="13"/>
          <w:color w:val="3E5A99"/>
        </w:rPr>
        <w:t>Financial Overview</w:t>
      </w:r>
    </w:p>
    <w:p>
      <w:pPr>
        <w:spacing w:after="0" w:line="103" w:lineRule="exact"/>
        <w:rPr>
          <w:sz w:val="20"/>
          <w:szCs w:val="20"/>
          <w:color w:val="auto"/>
        </w:rPr>
      </w:pPr>
    </w:p>
    <w:tbl>
      <w:tblPr>
        <w:tblLayout w:type="fixed"/>
        <w:tblInd w:w="300" w:type="dxa"/>
        <w:tblCellMar>
          <w:top w:w="0" w:type="dxa"/>
          <w:left w:w="0" w:type="dxa"/>
          <w:bottom w:w="0" w:type="dxa"/>
          <w:right w:w="0" w:type="dxa"/>
        </w:tblCellMar>
      </w:tblPr>
      <w:tr>
        <w:trPr>
          <w:trHeight w:val="166"/>
        </w:trPr>
        <w:tc>
          <w:tcPr>
            <w:tcW w:w="200" w:type="dxa"/>
            <w:vAlign w:val="bottom"/>
          </w:tcPr>
          <w:p>
            <w:pPr>
              <w:spacing w:after="0"/>
              <w:rPr>
                <w:sz w:val="20"/>
                <w:szCs w:val="20"/>
                <w:color w:val="auto"/>
              </w:rPr>
            </w:pPr>
            <w:r>
              <w:rPr>
                <w:rFonts w:ascii="Arial" w:cs="Arial" w:eastAsia="Arial" w:hAnsi="Arial"/>
                <w:sz w:val="13"/>
                <w:szCs w:val="13"/>
                <w:color w:val="424242"/>
              </w:rPr>
              <w:t>a.</w:t>
            </w:r>
          </w:p>
        </w:tc>
        <w:tc>
          <w:tcPr>
            <w:tcW w:w="2240" w:type="dxa"/>
            <w:vAlign w:val="bottom"/>
          </w:tcPr>
          <w:p>
            <w:pPr>
              <w:ind w:left="100"/>
              <w:spacing w:after="0"/>
              <w:rPr>
                <w:rFonts w:ascii="Arial" w:cs="Arial" w:eastAsia="Arial" w:hAnsi="Arial"/>
                <w:sz w:val="13"/>
                <w:szCs w:val="13"/>
                <w:color w:val="424242"/>
              </w:rPr>
            </w:pPr>
            <w:hyperlink w:anchor="page20">
              <w:r>
                <w:rPr>
                  <w:rFonts w:ascii="Arial" w:cs="Arial" w:eastAsia="Arial" w:hAnsi="Arial"/>
                  <w:sz w:val="13"/>
                  <w:szCs w:val="13"/>
                  <w:color w:val="424242"/>
                </w:rPr>
                <w:t>Summary Metrics</w:t>
              </w:r>
            </w:hyperlink>
          </w:p>
        </w:tc>
        <w:tc>
          <w:tcPr>
            <w:tcW w:w="980" w:type="dxa"/>
            <w:vAlign w:val="bottom"/>
          </w:tcPr>
          <w:p>
            <w:pPr>
              <w:jc w:val="right"/>
              <w:spacing w:after="0"/>
              <w:rPr>
                <w:sz w:val="20"/>
                <w:szCs w:val="20"/>
                <w:color w:val="auto"/>
              </w:rPr>
            </w:pPr>
            <w:r>
              <w:rPr>
                <w:rFonts w:ascii="Arial" w:cs="Arial" w:eastAsia="Arial" w:hAnsi="Arial"/>
                <w:sz w:val="13"/>
                <w:szCs w:val="13"/>
                <w:color w:val="424242"/>
              </w:rPr>
              <w:t>6</w:t>
            </w:r>
          </w:p>
        </w:tc>
      </w:tr>
      <w:tr>
        <w:trPr>
          <w:trHeight w:val="216"/>
        </w:trPr>
        <w:tc>
          <w:tcPr>
            <w:tcW w:w="200" w:type="dxa"/>
            <w:vAlign w:val="bottom"/>
          </w:tcPr>
          <w:p>
            <w:pPr>
              <w:spacing w:after="0"/>
              <w:rPr>
                <w:sz w:val="20"/>
                <w:szCs w:val="20"/>
                <w:color w:val="auto"/>
              </w:rPr>
            </w:pPr>
            <w:r>
              <w:rPr>
                <w:rFonts w:ascii="Arial" w:cs="Arial" w:eastAsia="Arial" w:hAnsi="Arial"/>
                <w:sz w:val="13"/>
                <w:szCs w:val="13"/>
                <w:color w:val="424242"/>
              </w:rPr>
              <w:t>b.</w:t>
            </w:r>
          </w:p>
        </w:tc>
        <w:tc>
          <w:tcPr>
            <w:tcW w:w="2240" w:type="dxa"/>
            <w:vAlign w:val="bottom"/>
          </w:tcPr>
          <w:p>
            <w:pPr>
              <w:ind w:left="100"/>
              <w:spacing w:after="0"/>
              <w:rPr>
                <w:rFonts w:ascii="Arial" w:cs="Arial" w:eastAsia="Arial" w:hAnsi="Arial"/>
                <w:sz w:val="13"/>
                <w:szCs w:val="13"/>
                <w:color w:val="424242"/>
              </w:rPr>
            </w:pPr>
            <w:hyperlink w:anchor="page21">
              <w:r>
                <w:rPr>
                  <w:rFonts w:ascii="Arial" w:cs="Arial" w:eastAsia="Arial" w:hAnsi="Arial"/>
                  <w:sz w:val="13"/>
                  <w:szCs w:val="13"/>
                  <w:color w:val="424242"/>
                </w:rPr>
                <w:t>Summary of Segments</w:t>
              </w:r>
            </w:hyperlink>
          </w:p>
        </w:tc>
        <w:tc>
          <w:tcPr>
            <w:tcW w:w="980" w:type="dxa"/>
            <w:vAlign w:val="bottom"/>
          </w:tcPr>
          <w:p>
            <w:pPr>
              <w:jc w:val="right"/>
              <w:spacing w:after="0"/>
              <w:rPr>
                <w:sz w:val="20"/>
                <w:szCs w:val="20"/>
                <w:color w:val="auto"/>
              </w:rPr>
            </w:pPr>
            <w:r>
              <w:rPr>
                <w:rFonts w:ascii="Arial" w:cs="Arial" w:eastAsia="Arial" w:hAnsi="Arial"/>
                <w:sz w:val="13"/>
                <w:szCs w:val="13"/>
                <w:color w:val="424242"/>
              </w:rPr>
              <w:t>7-8</w:t>
            </w:r>
          </w:p>
        </w:tc>
      </w:tr>
    </w:tbl>
    <w:p>
      <w:pPr>
        <w:spacing w:after="0" w:line="77" w:lineRule="exact"/>
        <w:rPr>
          <w:sz w:val="20"/>
          <w:szCs w:val="20"/>
          <w:color w:val="auto"/>
        </w:rPr>
      </w:pPr>
    </w:p>
    <w:p>
      <w:pPr>
        <w:ind w:left="320" w:hanging="316"/>
        <w:spacing w:after="0"/>
        <w:tabs>
          <w:tab w:leader="none" w:pos="320" w:val="left"/>
        </w:tabs>
        <w:numPr>
          <w:ilvl w:val="0"/>
          <w:numId w:val="11"/>
        </w:numPr>
        <w:rPr>
          <w:rFonts w:ascii="Arial" w:cs="Arial" w:eastAsia="Arial" w:hAnsi="Arial"/>
          <w:sz w:val="12"/>
          <w:szCs w:val="12"/>
          <w:color w:val="3E5A99"/>
        </w:rPr>
      </w:pPr>
      <w:r>
        <w:rPr>
          <w:rFonts w:ascii="Arial" w:cs="Arial" w:eastAsia="Arial" w:hAnsi="Arial"/>
          <w:sz w:val="13"/>
          <w:szCs w:val="13"/>
          <w:color w:val="3E5A99"/>
        </w:rPr>
        <w:t>Financial Results</w:t>
      </w:r>
    </w:p>
    <w:p>
      <w:pPr>
        <w:spacing w:after="0" w:line="94"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00" w:type="dxa"/>
            <w:vAlign w:val="bottom"/>
          </w:tcPr>
          <w:p>
            <w:pPr>
              <w:spacing w:after="0"/>
              <w:rPr>
                <w:sz w:val="20"/>
                <w:szCs w:val="20"/>
                <w:color w:val="auto"/>
              </w:rPr>
            </w:pPr>
            <w:r>
              <w:rPr>
                <w:rFonts w:ascii="Arial" w:cs="Arial" w:eastAsia="Arial" w:hAnsi="Arial"/>
                <w:sz w:val="13"/>
                <w:szCs w:val="13"/>
                <w:color w:val="424242"/>
              </w:rPr>
              <w:t>a.</w:t>
            </w:r>
          </w:p>
        </w:tc>
        <w:tc>
          <w:tcPr>
            <w:tcW w:w="2920" w:type="dxa"/>
            <w:vAlign w:val="bottom"/>
          </w:tcPr>
          <w:p>
            <w:pPr>
              <w:ind w:left="100"/>
              <w:spacing w:after="0"/>
              <w:rPr>
                <w:rFonts w:ascii="Arial" w:cs="Arial" w:eastAsia="Arial" w:hAnsi="Arial"/>
                <w:sz w:val="13"/>
                <w:szCs w:val="13"/>
                <w:color w:val="424242"/>
              </w:rPr>
            </w:pPr>
            <w:hyperlink w:anchor="page23">
              <w:r>
                <w:rPr>
                  <w:rFonts w:ascii="Arial" w:cs="Arial" w:eastAsia="Arial" w:hAnsi="Arial"/>
                  <w:sz w:val="13"/>
                  <w:szCs w:val="13"/>
                  <w:color w:val="424242"/>
                </w:rPr>
                <w:t>Consolidated Balance Sheet</w:t>
              </w:r>
            </w:hyperlink>
          </w:p>
        </w:tc>
        <w:tc>
          <w:tcPr>
            <w:tcW w:w="280" w:type="dxa"/>
            <w:vAlign w:val="bottom"/>
          </w:tcPr>
          <w:p>
            <w:pPr>
              <w:jc w:val="center"/>
              <w:ind w:left="74"/>
              <w:spacing w:after="0"/>
              <w:rPr>
                <w:sz w:val="20"/>
                <w:szCs w:val="20"/>
                <w:color w:val="auto"/>
              </w:rPr>
            </w:pPr>
            <w:r>
              <w:rPr>
                <w:rFonts w:ascii="Arial" w:cs="Arial" w:eastAsia="Arial" w:hAnsi="Arial"/>
                <w:sz w:val="13"/>
                <w:szCs w:val="13"/>
                <w:color w:val="424242"/>
                <w:w w:val="82"/>
              </w:rPr>
              <w:t>9</w:t>
            </w:r>
          </w:p>
        </w:tc>
      </w:tr>
      <w:tr>
        <w:trPr>
          <w:trHeight w:val="216"/>
        </w:trPr>
        <w:tc>
          <w:tcPr>
            <w:tcW w:w="200" w:type="dxa"/>
            <w:vAlign w:val="bottom"/>
          </w:tcPr>
          <w:p>
            <w:pPr>
              <w:spacing w:after="0"/>
              <w:rPr>
                <w:sz w:val="20"/>
                <w:szCs w:val="20"/>
                <w:color w:val="auto"/>
              </w:rPr>
            </w:pPr>
            <w:r>
              <w:rPr>
                <w:rFonts w:ascii="Arial" w:cs="Arial" w:eastAsia="Arial" w:hAnsi="Arial"/>
                <w:sz w:val="13"/>
                <w:szCs w:val="13"/>
                <w:color w:val="424242"/>
              </w:rPr>
              <w:t>b.</w:t>
            </w:r>
          </w:p>
        </w:tc>
        <w:tc>
          <w:tcPr>
            <w:tcW w:w="2920" w:type="dxa"/>
            <w:vAlign w:val="bottom"/>
          </w:tcPr>
          <w:p>
            <w:pPr>
              <w:ind w:left="100"/>
              <w:spacing w:after="0"/>
              <w:rPr>
                <w:rFonts w:ascii="Arial" w:cs="Arial" w:eastAsia="Arial" w:hAnsi="Arial"/>
                <w:sz w:val="13"/>
                <w:szCs w:val="13"/>
                <w:color w:val="424242"/>
              </w:rPr>
            </w:pPr>
            <w:hyperlink w:anchor="page24">
              <w:r>
                <w:rPr>
                  <w:rFonts w:ascii="Arial" w:cs="Arial" w:eastAsia="Arial" w:hAnsi="Arial"/>
                  <w:sz w:val="13"/>
                  <w:szCs w:val="13"/>
                  <w:color w:val="424242"/>
                </w:rPr>
                <w:t>Noncontrolling Interests’ Share Balance Sheet</w:t>
              </w:r>
            </w:hyperlink>
          </w:p>
        </w:tc>
        <w:tc>
          <w:tcPr>
            <w:tcW w:w="280" w:type="dxa"/>
            <w:vAlign w:val="bottom"/>
          </w:tcPr>
          <w:p>
            <w:pPr>
              <w:jc w:val="center"/>
              <w:ind w:left="74"/>
              <w:spacing w:after="0"/>
              <w:rPr>
                <w:sz w:val="20"/>
                <w:szCs w:val="20"/>
                <w:color w:val="auto"/>
              </w:rPr>
            </w:pPr>
            <w:r>
              <w:rPr>
                <w:rFonts w:ascii="Arial" w:cs="Arial" w:eastAsia="Arial" w:hAnsi="Arial"/>
                <w:sz w:val="13"/>
                <w:szCs w:val="13"/>
                <w:color w:val="424242"/>
                <w:w w:val="96"/>
              </w:rPr>
              <w:t>10</w:t>
            </w:r>
          </w:p>
        </w:tc>
      </w:tr>
      <w:tr>
        <w:trPr>
          <w:trHeight w:val="216"/>
        </w:trPr>
        <w:tc>
          <w:tcPr>
            <w:tcW w:w="200" w:type="dxa"/>
            <w:vAlign w:val="bottom"/>
          </w:tcPr>
          <w:p>
            <w:pPr>
              <w:spacing w:after="0"/>
              <w:rPr>
                <w:sz w:val="20"/>
                <w:szCs w:val="20"/>
                <w:color w:val="auto"/>
              </w:rPr>
            </w:pPr>
            <w:r>
              <w:rPr>
                <w:rFonts w:ascii="Arial" w:cs="Arial" w:eastAsia="Arial" w:hAnsi="Arial"/>
                <w:sz w:val="13"/>
                <w:szCs w:val="13"/>
                <w:color w:val="424242"/>
              </w:rPr>
              <w:t>c.</w:t>
            </w:r>
          </w:p>
        </w:tc>
        <w:tc>
          <w:tcPr>
            <w:tcW w:w="2920" w:type="dxa"/>
            <w:vAlign w:val="bottom"/>
          </w:tcPr>
          <w:p>
            <w:pPr>
              <w:ind w:left="100"/>
              <w:spacing w:after="0"/>
              <w:rPr>
                <w:rFonts w:ascii="Arial" w:cs="Arial" w:eastAsia="Arial" w:hAnsi="Arial"/>
                <w:sz w:val="13"/>
                <w:szCs w:val="13"/>
                <w:color w:val="424242"/>
              </w:rPr>
            </w:pPr>
            <w:hyperlink w:anchor="page25">
              <w:r>
                <w:rPr>
                  <w:rFonts w:ascii="Arial" w:cs="Arial" w:eastAsia="Arial" w:hAnsi="Arial"/>
                  <w:sz w:val="13"/>
                  <w:szCs w:val="13"/>
                  <w:color w:val="424242"/>
                </w:rPr>
                <w:t>Consolidated Segment Operating Results</w:t>
              </w:r>
            </w:hyperlink>
          </w:p>
        </w:tc>
        <w:tc>
          <w:tcPr>
            <w:tcW w:w="280" w:type="dxa"/>
            <w:vAlign w:val="bottom"/>
          </w:tcPr>
          <w:p>
            <w:pPr>
              <w:jc w:val="center"/>
              <w:ind w:left="74"/>
              <w:spacing w:after="0"/>
              <w:rPr>
                <w:sz w:val="20"/>
                <w:szCs w:val="20"/>
                <w:color w:val="auto"/>
              </w:rPr>
            </w:pPr>
            <w:r>
              <w:rPr>
                <w:rFonts w:ascii="Arial" w:cs="Arial" w:eastAsia="Arial" w:hAnsi="Arial"/>
                <w:sz w:val="13"/>
                <w:szCs w:val="13"/>
                <w:color w:val="424242"/>
                <w:w w:val="96"/>
              </w:rPr>
              <w:t>11</w:t>
            </w:r>
          </w:p>
        </w:tc>
      </w:tr>
    </w:tbl>
    <w:p>
      <w:pPr>
        <w:spacing w:after="0" w:line="17" w:lineRule="exact"/>
        <w:rPr>
          <w:sz w:val="20"/>
          <w:szCs w:val="20"/>
          <w:color w:val="auto"/>
        </w:rPr>
      </w:pPr>
    </w:p>
    <w:p>
      <w:pPr>
        <w:ind w:left="600" w:hanging="299"/>
        <w:spacing w:after="0"/>
        <w:tabs>
          <w:tab w:leader="none" w:pos="600" w:val="left"/>
        </w:tabs>
        <w:numPr>
          <w:ilvl w:val="0"/>
          <w:numId w:val="12"/>
        </w:numPr>
        <w:rPr>
          <w:rFonts w:ascii="Arial" w:cs="Arial" w:eastAsia="Arial" w:hAnsi="Arial"/>
          <w:sz w:val="13"/>
          <w:szCs w:val="13"/>
          <w:color w:val="424242"/>
        </w:rPr>
      </w:pPr>
      <w:hyperlink w:anchor="page26">
        <w:r>
          <w:rPr>
            <w:rFonts w:ascii="Arial" w:cs="Arial" w:eastAsia="Arial" w:hAnsi="Arial"/>
            <w:sz w:val="13"/>
            <w:szCs w:val="13"/>
            <w:color w:val="424242"/>
          </w:rPr>
          <w:t>Noncontrolling Interests’ Share Segment</w:t>
        </w:r>
      </w:hyperlink>
    </w:p>
    <w:tbl>
      <w:tblPr>
        <w:tblLayout w:type="fixed"/>
        <w:tblInd w:w="600" w:type="dxa"/>
        <w:tblCellMar>
          <w:top w:w="0" w:type="dxa"/>
          <w:left w:w="0" w:type="dxa"/>
          <w:bottom w:w="0" w:type="dxa"/>
          <w:right w:w="0" w:type="dxa"/>
        </w:tblCellMar>
      </w:tblPr>
      <w:tr>
        <w:trPr>
          <w:trHeight w:val="157"/>
        </w:trPr>
        <w:tc>
          <w:tcPr>
            <w:tcW w:w="2000" w:type="dxa"/>
            <w:vAlign w:val="bottom"/>
          </w:tcPr>
          <w:p>
            <w:pPr>
              <w:spacing w:after="0"/>
              <w:rPr>
                <w:rFonts w:ascii="Arial" w:cs="Arial" w:eastAsia="Arial" w:hAnsi="Arial"/>
                <w:sz w:val="13"/>
                <w:szCs w:val="13"/>
                <w:color w:val="424242"/>
              </w:rPr>
            </w:pPr>
            <w:hyperlink w:anchor="page26">
              <w:r>
                <w:rPr>
                  <w:rFonts w:ascii="Arial" w:cs="Arial" w:eastAsia="Arial" w:hAnsi="Arial"/>
                  <w:sz w:val="13"/>
                  <w:szCs w:val="13"/>
                  <w:color w:val="424242"/>
                </w:rPr>
                <w:t>Operating Results</w:t>
              </w:r>
            </w:hyperlink>
          </w:p>
        </w:tc>
        <w:tc>
          <w:tcPr>
            <w:tcW w:w="1100" w:type="dxa"/>
            <w:vAlign w:val="bottom"/>
          </w:tcPr>
          <w:p>
            <w:pPr>
              <w:jc w:val="right"/>
              <w:spacing w:after="0"/>
              <w:rPr>
                <w:sz w:val="20"/>
                <w:szCs w:val="20"/>
                <w:color w:val="auto"/>
              </w:rPr>
            </w:pPr>
            <w:r>
              <w:rPr>
                <w:rFonts w:ascii="Arial" w:cs="Arial" w:eastAsia="Arial" w:hAnsi="Arial"/>
                <w:sz w:val="13"/>
                <w:szCs w:val="13"/>
                <w:color w:val="424242"/>
              </w:rPr>
              <w:t>12</w:t>
            </w:r>
          </w:p>
        </w:tc>
      </w:tr>
    </w:tbl>
    <w:p>
      <w:pPr>
        <w:spacing w:after="0" w:line="17" w:lineRule="exact"/>
        <w:rPr>
          <w:sz w:val="20"/>
          <w:szCs w:val="20"/>
          <w:color w:val="auto"/>
        </w:rPr>
      </w:pPr>
    </w:p>
    <w:p>
      <w:pPr>
        <w:ind w:left="600" w:hanging="299"/>
        <w:spacing w:after="0"/>
        <w:tabs>
          <w:tab w:leader="none" w:pos="600" w:val="left"/>
        </w:tabs>
        <w:numPr>
          <w:ilvl w:val="0"/>
          <w:numId w:val="13"/>
        </w:numPr>
        <w:rPr>
          <w:rFonts w:ascii="Arial" w:cs="Arial" w:eastAsia="Arial" w:hAnsi="Arial"/>
          <w:sz w:val="13"/>
          <w:szCs w:val="13"/>
          <w:color w:val="424242"/>
        </w:rPr>
      </w:pPr>
      <w:hyperlink w:anchor="page27">
        <w:r>
          <w:rPr>
            <w:rFonts w:ascii="Arial" w:cs="Arial" w:eastAsia="Arial" w:hAnsi="Arial"/>
            <w:sz w:val="13"/>
            <w:szCs w:val="13"/>
            <w:color w:val="424242"/>
          </w:rPr>
          <w:t>Segment Reconciliation of Net Income to FFO</w:t>
        </w:r>
      </w:hyperlink>
    </w:p>
    <w:tbl>
      <w:tblPr>
        <w:tblLayout w:type="fixed"/>
        <w:tblInd w:w="0"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00" w:type="dxa"/>
            <w:vAlign w:val="bottom"/>
          </w:tcPr>
          <w:p>
            <w:pPr>
              <w:ind w:left="100"/>
              <w:spacing w:after="0"/>
              <w:rPr>
                <w:rFonts w:ascii="Arial" w:cs="Arial" w:eastAsia="Arial" w:hAnsi="Arial"/>
                <w:sz w:val="13"/>
                <w:szCs w:val="13"/>
                <w:color w:val="424242"/>
              </w:rPr>
            </w:pPr>
            <w:hyperlink w:anchor="page27">
              <w:r>
                <w:rPr>
                  <w:rFonts w:ascii="Arial" w:cs="Arial" w:eastAsia="Arial" w:hAnsi="Arial"/>
                  <w:sz w:val="13"/>
                  <w:szCs w:val="13"/>
                  <w:color w:val="424242"/>
                </w:rPr>
                <w:t>&amp; Core FFO &amp; Adjusted EBITDA</w:t>
              </w:r>
            </w:hyperlink>
          </w:p>
        </w:tc>
        <w:tc>
          <w:tcPr>
            <w:tcW w:w="300" w:type="dxa"/>
            <w:vAlign w:val="bottom"/>
          </w:tcPr>
          <w:p>
            <w:pPr>
              <w:jc w:val="right"/>
              <w:spacing w:after="0"/>
              <w:rPr>
                <w:sz w:val="20"/>
                <w:szCs w:val="20"/>
                <w:color w:val="auto"/>
              </w:rPr>
            </w:pPr>
            <w:r>
              <w:rPr>
                <w:rFonts w:ascii="Arial" w:cs="Arial" w:eastAsia="Arial" w:hAnsi="Arial"/>
                <w:sz w:val="13"/>
                <w:szCs w:val="13"/>
                <w:color w:val="424242"/>
              </w:rPr>
              <w:t>13</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Arial" w:cs="Arial" w:eastAsia="Arial" w:hAnsi="Arial"/>
                <w:sz w:val="12"/>
                <w:szCs w:val="12"/>
                <w:color w:val="3E5A99"/>
              </w:rPr>
              <w:t>III.</w:t>
            </w:r>
          </w:p>
        </w:tc>
        <w:tc>
          <w:tcPr>
            <w:tcW w:w="3180" w:type="dxa"/>
            <w:vAlign w:val="bottom"/>
            <w:gridSpan w:val="2"/>
          </w:tcPr>
          <w:p>
            <w:pPr>
              <w:ind w:left="100"/>
              <w:spacing w:after="0"/>
              <w:rPr>
                <w:sz w:val="20"/>
                <w:szCs w:val="20"/>
                <w:color w:val="auto"/>
              </w:rPr>
            </w:pPr>
            <w:r>
              <w:rPr>
                <w:rFonts w:ascii="Arial" w:cs="Arial" w:eastAsia="Arial" w:hAnsi="Arial"/>
                <w:sz w:val="13"/>
                <w:szCs w:val="13"/>
                <w:color w:val="3E5A99"/>
              </w:rPr>
              <w:t>Capitalization</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2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Arial" w:cs="Arial" w:eastAsia="Arial" w:hAnsi="Arial"/>
                <w:sz w:val="13"/>
                <w:szCs w:val="13"/>
                <w:color w:val="424242"/>
              </w:rPr>
              <w:t>a.</w:t>
            </w:r>
          </w:p>
        </w:tc>
        <w:tc>
          <w:tcPr>
            <w:tcW w:w="2900" w:type="dxa"/>
            <w:vAlign w:val="bottom"/>
          </w:tcPr>
          <w:p>
            <w:pPr>
              <w:ind w:left="100"/>
              <w:spacing w:after="0"/>
              <w:rPr>
                <w:rFonts w:ascii="Arial" w:cs="Arial" w:eastAsia="Arial" w:hAnsi="Arial"/>
                <w:sz w:val="13"/>
                <w:szCs w:val="13"/>
                <w:color w:val="424242"/>
              </w:rPr>
            </w:pPr>
            <w:hyperlink w:anchor="page32">
              <w:r>
                <w:rPr>
                  <w:rFonts w:ascii="Arial" w:cs="Arial" w:eastAsia="Arial" w:hAnsi="Arial"/>
                  <w:sz w:val="13"/>
                  <w:szCs w:val="13"/>
                  <w:color w:val="424242"/>
                </w:rPr>
                <w:t>Overview</w:t>
              </w:r>
            </w:hyperlink>
          </w:p>
        </w:tc>
        <w:tc>
          <w:tcPr>
            <w:tcW w:w="300" w:type="dxa"/>
            <w:vAlign w:val="bottom"/>
          </w:tcPr>
          <w:p>
            <w:pPr>
              <w:jc w:val="right"/>
              <w:spacing w:after="0"/>
              <w:rPr>
                <w:sz w:val="20"/>
                <w:szCs w:val="20"/>
                <w:color w:val="auto"/>
              </w:rPr>
            </w:pPr>
            <w:r>
              <w:rPr>
                <w:rFonts w:ascii="Arial" w:cs="Arial" w:eastAsia="Arial" w:hAnsi="Arial"/>
                <w:sz w:val="13"/>
                <w:szCs w:val="13"/>
                <w:color w:val="424242"/>
              </w:rPr>
              <w:t>14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Arial" w:cs="Arial" w:eastAsia="Arial" w:hAnsi="Arial"/>
                <w:sz w:val="13"/>
                <w:szCs w:val="13"/>
                <w:color w:val="424242"/>
              </w:rPr>
              <w:t>b.</w:t>
            </w:r>
          </w:p>
        </w:tc>
        <w:tc>
          <w:tcPr>
            <w:tcW w:w="2900" w:type="dxa"/>
            <w:vAlign w:val="bottom"/>
          </w:tcPr>
          <w:p>
            <w:pPr>
              <w:ind w:left="100"/>
              <w:spacing w:after="0"/>
              <w:rPr>
                <w:sz w:val="20"/>
                <w:szCs w:val="20"/>
                <w:color w:val="auto"/>
              </w:rPr>
            </w:pPr>
            <w:r>
              <w:rPr>
                <w:rFonts w:ascii="Arial" w:cs="Arial" w:eastAsia="Arial" w:hAnsi="Arial"/>
                <w:sz w:val="13"/>
                <w:szCs w:val="13"/>
                <w:color w:val="424242"/>
              </w:rPr>
              <w:t>Revolving Credit Facility</w:t>
            </w:r>
          </w:p>
        </w:tc>
        <w:tc>
          <w:tcPr>
            <w:tcW w:w="300" w:type="dxa"/>
            <w:vAlign w:val="bottom"/>
          </w:tcPr>
          <w:p>
            <w:pPr>
              <w:jc w:val="right"/>
              <w:spacing w:after="0"/>
              <w:rPr>
                <w:sz w:val="20"/>
                <w:szCs w:val="20"/>
                <w:color w:val="auto"/>
              </w:rPr>
            </w:pPr>
            <w:r>
              <w:rPr>
                <w:rFonts w:ascii="Arial" w:cs="Arial" w:eastAsia="Arial" w:hAnsi="Arial"/>
                <w:sz w:val="13"/>
                <w:szCs w:val="13"/>
                <w:color w:val="424242"/>
              </w:rPr>
              <w:t>15</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3"/>
                <w:szCs w:val="13"/>
                <w:color w:val="424242"/>
              </w:rPr>
              <w:t>c.</w:t>
            </w:r>
          </w:p>
        </w:tc>
        <w:tc>
          <w:tcPr>
            <w:tcW w:w="2900" w:type="dxa"/>
            <w:vAlign w:val="bottom"/>
          </w:tcPr>
          <w:p>
            <w:pPr>
              <w:ind w:left="100"/>
              <w:spacing w:after="0"/>
              <w:rPr>
                <w:sz w:val="20"/>
                <w:szCs w:val="20"/>
                <w:color w:val="auto"/>
              </w:rPr>
            </w:pPr>
            <w:r>
              <w:rPr>
                <w:rFonts w:ascii="Arial" w:cs="Arial" w:eastAsia="Arial" w:hAnsi="Arial"/>
                <w:sz w:val="13"/>
                <w:szCs w:val="13"/>
                <w:color w:val="424242"/>
              </w:rPr>
              <w:t>Convertible/Exchangeable Notes &amp; Perpetual</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00" w:type="dxa"/>
            <w:vAlign w:val="bottom"/>
          </w:tcPr>
          <w:p>
            <w:pPr>
              <w:ind w:left="100"/>
              <w:spacing w:after="0"/>
              <w:rPr>
                <w:sz w:val="20"/>
                <w:szCs w:val="20"/>
                <w:color w:val="auto"/>
              </w:rPr>
            </w:pPr>
            <w:r>
              <w:rPr>
                <w:rFonts w:ascii="Arial" w:cs="Arial" w:eastAsia="Arial" w:hAnsi="Arial"/>
                <w:sz w:val="13"/>
                <w:szCs w:val="13"/>
                <w:color w:val="424242"/>
              </w:rPr>
              <w:t>Preferred Stock</w:t>
            </w:r>
          </w:p>
        </w:tc>
        <w:tc>
          <w:tcPr>
            <w:tcW w:w="300" w:type="dxa"/>
            <w:vAlign w:val="bottom"/>
          </w:tcPr>
          <w:p>
            <w:pPr>
              <w:jc w:val="right"/>
              <w:spacing w:after="0"/>
              <w:rPr>
                <w:sz w:val="20"/>
                <w:szCs w:val="20"/>
                <w:color w:val="auto"/>
              </w:rPr>
            </w:pPr>
            <w:r>
              <w:rPr>
                <w:rFonts w:ascii="Arial" w:cs="Arial" w:eastAsia="Arial" w:hAnsi="Arial"/>
                <w:sz w:val="13"/>
                <w:szCs w:val="13"/>
                <w:color w:val="424242"/>
              </w:rPr>
              <w:t>16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Arial" w:cs="Arial" w:eastAsia="Arial" w:hAnsi="Arial"/>
                <w:sz w:val="13"/>
                <w:szCs w:val="13"/>
                <w:color w:val="424242"/>
              </w:rPr>
              <w:t>d.</w:t>
            </w:r>
          </w:p>
        </w:tc>
        <w:tc>
          <w:tcPr>
            <w:tcW w:w="2900" w:type="dxa"/>
            <w:vAlign w:val="bottom"/>
          </w:tcPr>
          <w:p>
            <w:pPr>
              <w:ind w:left="100"/>
              <w:spacing w:after="0"/>
              <w:rPr>
                <w:sz w:val="20"/>
                <w:szCs w:val="20"/>
                <w:color w:val="auto"/>
              </w:rPr>
            </w:pPr>
            <w:r>
              <w:rPr>
                <w:rFonts w:ascii="Arial" w:cs="Arial" w:eastAsia="Arial" w:hAnsi="Arial"/>
                <w:sz w:val="13"/>
                <w:szCs w:val="13"/>
                <w:color w:val="424242"/>
              </w:rPr>
              <w:t>Debt Maturity and Amortization Schedules</w:t>
            </w:r>
          </w:p>
        </w:tc>
        <w:tc>
          <w:tcPr>
            <w:tcW w:w="300" w:type="dxa"/>
            <w:vAlign w:val="bottom"/>
          </w:tcPr>
          <w:p>
            <w:pPr>
              <w:jc w:val="right"/>
              <w:spacing w:after="0"/>
              <w:rPr>
                <w:sz w:val="20"/>
                <w:szCs w:val="20"/>
                <w:color w:val="auto"/>
              </w:rPr>
            </w:pPr>
            <w:r>
              <w:rPr>
                <w:rFonts w:ascii="Arial" w:cs="Arial" w:eastAsia="Arial" w:hAnsi="Arial"/>
                <w:sz w:val="13"/>
                <w:szCs w:val="13"/>
                <w:color w:val="424242"/>
              </w:rPr>
              <w:t>17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Arial" w:cs="Arial" w:eastAsia="Arial" w:hAnsi="Arial"/>
                <w:sz w:val="13"/>
                <w:szCs w:val="13"/>
                <w:color w:val="424242"/>
              </w:rPr>
              <w:t>e.</w:t>
            </w:r>
          </w:p>
        </w:tc>
        <w:tc>
          <w:tcPr>
            <w:tcW w:w="2900" w:type="dxa"/>
            <w:vAlign w:val="bottom"/>
          </w:tcPr>
          <w:p>
            <w:pPr>
              <w:ind w:left="100"/>
              <w:spacing w:after="0"/>
              <w:rPr>
                <w:sz w:val="20"/>
                <w:szCs w:val="20"/>
                <w:color w:val="auto"/>
              </w:rPr>
            </w:pPr>
            <w:r>
              <w:rPr>
                <w:rFonts w:ascii="Arial" w:cs="Arial" w:eastAsia="Arial" w:hAnsi="Arial"/>
                <w:sz w:val="13"/>
                <w:szCs w:val="13"/>
                <w:color w:val="424242"/>
              </w:rPr>
              <w:t>Structure</w:t>
            </w:r>
          </w:p>
        </w:tc>
        <w:tc>
          <w:tcPr>
            <w:tcW w:w="300" w:type="dxa"/>
            <w:vAlign w:val="bottom"/>
          </w:tcPr>
          <w:p>
            <w:pPr>
              <w:jc w:val="right"/>
              <w:spacing w:after="0"/>
              <w:rPr>
                <w:sz w:val="20"/>
                <w:szCs w:val="20"/>
                <w:color w:val="auto"/>
              </w:rPr>
            </w:pPr>
            <w:r>
              <w:rPr>
                <w:rFonts w:ascii="Arial" w:cs="Arial" w:eastAsia="Arial" w:hAnsi="Arial"/>
                <w:sz w:val="13"/>
                <w:szCs w:val="13"/>
                <w:color w:val="424242"/>
              </w:rPr>
              <w:t>18</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Arial" w:cs="Arial" w:eastAsia="Arial" w:hAnsi="Arial"/>
                <w:sz w:val="12"/>
                <w:szCs w:val="12"/>
                <w:color w:val="3E5A99"/>
              </w:rPr>
              <w:t>IV.</w:t>
            </w:r>
          </w:p>
        </w:tc>
        <w:tc>
          <w:tcPr>
            <w:tcW w:w="3180" w:type="dxa"/>
            <w:vAlign w:val="bottom"/>
            <w:gridSpan w:val="2"/>
          </w:tcPr>
          <w:p>
            <w:pPr>
              <w:ind w:left="100"/>
              <w:spacing w:after="0"/>
              <w:rPr>
                <w:sz w:val="20"/>
                <w:szCs w:val="20"/>
                <w:color w:val="auto"/>
              </w:rPr>
            </w:pPr>
            <w:r>
              <w:rPr>
                <w:rFonts w:ascii="Arial" w:cs="Arial" w:eastAsia="Arial" w:hAnsi="Arial"/>
                <w:sz w:val="13"/>
                <w:szCs w:val="13"/>
                <w:color w:val="3E5A99"/>
              </w:rPr>
              <w:t>Digital Investment Management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424242"/>
              </w:rPr>
              <w:t>19</w:t>
            </w:r>
          </w:p>
        </w:tc>
        <w:tc>
          <w:tcPr>
            <w:tcW w:w="0" w:type="dxa"/>
            <w:vAlign w:val="bottom"/>
          </w:tcPr>
          <w:p>
            <w:pPr>
              <w:spacing w:after="0"/>
              <w:rPr>
                <w:sz w:val="1"/>
                <w:szCs w:val="1"/>
                <w:color w:val="auto"/>
              </w:rPr>
            </w:pPr>
          </w:p>
        </w:tc>
      </w:tr>
      <w:tr>
        <w:trPr>
          <w:trHeight w:val="45"/>
        </w:trPr>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Arial" w:cs="Arial" w:eastAsia="Arial" w:hAnsi="Arial"/>
                <w:sz w:val="12"/>
                <w:szCs w:val="12"/>
                <w:color w:val="3E5A99"/>
              </w:rPr>
              <w:t>V.</w:t>
            </w:r>
          </w:p>
        </w:tc>
        <w:tc>
          <w:tcPr>
            <w:tcW w:w="3180" w:type="dxa"/>
            <w:vAlign w:val="bottom"/>
            <w:gridSpan w:val="2"/>
          </w:tcPr>
          <w:p>
            <w:pPr>
              <w:ind w:left="100"/>
              <w:spacing w:after="0"/>
              <w:rPr>
                <w:sz w:val="20"/>
                <w:szCs w:val="20"/>
                <w:color w:val="auto"/>
              </w:rPr>
            </w:pPr>
            <w:r>
              <w:rPr>
                <w:rFonts w:ascii="Arial" w:cs="Arial" w:eastAsia="Arial" w:hAnsi="Arial"/>
                <w:sz w:val="13"/>
                <w:szCs w:val="13"/>
                <w:color w:val="3E5A99"/>
              </w:rPr>
              <w:t>Digital Operating</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424242"/>
              </w:rPr>
              <w:t>20</w:t>
            </w:r>
          </w:p>
        </w:tc>
        <w:tc>
          <w:tcPr>
            <w:tcW w:w="0" w:type="dxa"/>
            <w:vAlign w:val="bottom"/>
          </w:tcPr>
          <w:p>
            <w:pPr>
              <w:spacing w:after="0"/>
              <w:rPr>
                <w:sz w:val="1"/>
                <w:szCs w:val="1"/>
                <w:color w:val="auto"/>
              </w:rPr>
            </w:pPr>
          </w:p>
        </w:tc>
      </w:tr>
      <w:tr>
        <w:trPr>
          <w:trHeight w:val="45"/>
        </w:trPr>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Arial" w:cs="Arial" w:eastAsia="Arial" w:hAnsi="Arial"/>
                <w:sz w:val="12"/>
                <w:szCs w:val="12"/>
                <w:color w:val="3E5A99"/>
              </w:rPr>
              <w:t>VI.</w:t>
            </w:r>
          </w:p>
        </w:tc>
        <w:tc>
          <w:tcPr>
            <w:tcW w:w="3180" w:type="dxa"/>
            <w:vAlign w:val="bottom"/>
            <w:gridSpan w:val="2"/>
          </w:tcPr>
          <w:p>
            <w:pPr>
              <w:ind w:left="100"/>
              <w:spacing w:after="0"/>
              <w:rPr>
                <w:sz w:val="20"/>
                <w:szCs w:val="20"/>
                <w:color w:val="auto"/>
              </w:rPr>
            </w:pPr>
            <w:r>
              <w:rPr>
                <w:rFonts w:ascii="Arial" w:cs="Arial" w:eastAsia="Arial" w:hAnsi="Arial"/>
                <w:sz w:val="13"/>
                <w:szCs w:val="13"/>
                <w:color w:val="3E5A99"/>
              </w:rPr>
              <w:t>Digital Other</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424242"/>
              </w:rPr>
              <w:t>21</w:t>
            </w:r>
          </w:p>
        </w:tc>
        <w:tc>
          <w:tcPr>
            <w:tcW w:w="0" w:type="dxa"/>
            <w:vAlign w:val="bottom"/>
          </w:tcPr>
          <w:p>
            <w:pPr>
              <w:spacing w:after="0"/>
              <w:rPr>
                <w:sz w:val="1"/>
                <w:szCs w:val="1"/>
                <w:color w:val="auto"/>
              </w:rPr>
            </w:pPr>
          </w:p>
        </w:tc>
      </w:tr>
      <w:tr>
        <w:trPr>
          <w:trHeight w:val="45"/>
        </w:trPr>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460" w:val="left"/>
        </w:tabs>
        <w:rPr>
          <w:sz w:val="20"/>
          <w:szCs w:val="20"/>
          <w:color w:val="auto"/>
        </w:rPr>
      </w:pPr>
      <w:r>
        <w:rPr>
          <w:rFonts w:ascii="Arial" w:cs="Arial" w:eastAsia="Arial" w:hAnsi="Arial"/>
          <w:sz w:val="24"/>
          <w:szCs w:val="24"/>
          <w:color w:val="3E5A99"/>
          <w:vertAlign w:val="superscript"/>
        </w:rPr>
        <w:t>VII.</w:t>
      </w:r>
      <w:r>
        <w:rPr>
          <w:sz w:val="20"/>
          <w:szCs w:val="20"/>
          <w:color w:val="auto"/>
        </w:rPr>
        <w:tab/>
      </w:r>
      <w:r>
        <w:rPr>
          <w:rFonts w:ascii="Arial" w:cs="Arial" w:eastAsia="Arial" w:hAnsi="Arial"/>
          <w:sz w:val="13"/>
          <w:szCs w:val="13"/>
          <w:color w:val="3E5A99"/>
        </w:rPr>
        <w:t>Wellness Infrastructure</w:t>
      </w:r>
    </w:p>
    <w:p>
      <w:pPr>
        <w:spacing w:after="0" w:line="57" w:lineRule="exact"/>
        <w:rPr>
          <w:sz w:val="20"/>
          <w:szCs w:val="20"/>
          <w:color w:val="auto"/>
        </w:rPr>
      </w:pPr>
    </w:p>
    <w:p>
      <w:pPr>
        <w:ind w:left="800" w:hanging="354"/>
        <w:spacing w:after="0"/>
        <w:tabs>
          <w:tab w:leader="none" w:pos="800" w:val="left"/>
        </w:tabs>
        <w:numPr>
          <w:ilvl w:val="0"/>
          <w:numId w:val="14"/>
        </w:numPr>
        <w:rPr>
          <w:rFonts w:ascii="Arial" w:cs="Arial" w:eastAsia="Arial" w:hAnsi="Arial"/>
          <w:sz w:val="13"/>
          <w:szCs w:val="13"/>
          <w:color w:val="424242"/>
        </w:rPr>
      </w:pPr>
      <w:r>
        <w:rPr>
          <w:rFonts w:ascii="Arial" w:cs="Arial" w:eastAsia="Arial" w:hAnsi="Arial"/>
          <w:sz w:val="13"/>
          <w:szCs w:val="13"/>
          <w:color w:val="424242"/>
        </w:rPr>
        <w:t>Summary Metrics and Operating Results</w:t>
      </w:r>
    </w:p>
    <w:p>
      <w:pPr>
        <w:spacing w:after="0" w:line="48" w:lineRule="exact"/>
        <w:rPr>
          <w:rFonts w:ascii="Arial" w:cs="Arial" w:eastAsia="Arial" w:hAnsi="Arial"/>
          <w:sz w:val="13"/>
          <w:szCs w:val="13"/>
          <w:color w:val="424242"/>
        </w:rPr>
      </w:pPr>
    </w:p>
    <w:p>
      <w:pPr>
        <w:ind w:left="800" w:hanging="354"/>
        <w:spacing w:after="0"/>
        <w:tabs>
          <w:tab w:leader="none" w:pos="800" w:val="left"/>
        </w:tabs>
        <w:numPr>
          <w:ilvl w:val="0"/>
          <w:numId w:val="14"/>
        </w:numPr>
        <w:rPr>
          <w:rFonts w:ascii="Arial" w:cs="Arial" w:eastAsia="Arial" w:hAnsi="Arial"/>
          <w:sz w:val="13"/>
          <w:szCs w:val="13"/>
          <w:color w:val="424242"/>
        </w:rPr>
      </w:pPr>
      <w:r>
        <w:rPr>
          <w:rFonts w:ascii="Arial" w:cs="Arial" w:eastAsia="Arial" w:hAnsi="Arial"/>
          <w:sz w:val="13"/>
          <w:szCs w:val="13"/>
          <w:color w:val="424242"/>
        </w:rPr>
        <w:t>Portfolio &amp; Other Overview</w:t>
      </w:r>
    </w:p>
    <w:p>
      <w:pPr>
        <w:spacing w:after="0" w:line="186" w:lineRule="auto"/>
        <w:tabs>
          <w:tab w:leader="none" w:pos="420" w:val="left"/>
        </w:tabs>
        <w:rPr>
          <w:sz w:val="20"/>
          <w:szCs w:val="20"/>
          <w:color w:val="auto"/>
        </w:rPr>
      </w:pPr>
      <w:r>
        <w:rPr>
          <w:rFonts w:ascii="Arial" w:cs="Arial" w:eastAsia="Arial" w:hAnsi="Arial"/>
          <w:sz w:val="11"/>
          <w:szCs w:val="11"/>
          <w:color w:val="3E5A99"/>
        </w:rPr>
        <w:t>VIII.</w:t>
      </w:r>
      <w:r>
        <w:rPr>
          <w:sz w:val="20"/>
          <w:szCs w:val="20"/>
          <w:color w:val="auto"/>
        </w:rPr>
        <w:tab/>
      </w:r>
      <w:r>
        <w:rPr>
          <w:rFonts w:ascii="Arial" w:cs="Arial" w:eastAsia="Arial" w:hAnsi="Arial"/>
          <w:sz w:val="23"/>
          <w:szCs w:val="23"/>
          <w:color w:val="3E5A99"/>
          <w:vertAlign w:val="subscript"/>
        </w:rPr>
        <w:t>Other</w:t>
      </w:r>
    </w:p>
    <w:p>
      <w:pPr>
        <w:spacing w:after="0" w:line="42" w:lineRule="exact"/>
        <w:rPr>
          <w:sz w:val="20"/>
          <w:szCs w:val="20"/>
          <w:color w:val="auto"/>
        </w:rPr>
      </w:pPr>
    </w:p>
    <w:p>
      <w:pPr>
        <w:ind w:left="800" w:hanging="354"/>
        <w:spacing w:after="0"/>
        <w:tabs>
          <w:tab w:leader="none" w:pos="800" w:val="left"/>
        </w:tabs>
        <w:numPr>
          <w:ilvl w:val="0"/>
          <w:numId w:val="15"/>
        </w:numPr>
        <w:rPr>
          <w:rFonts w:ascii="Arial" w:cs="Arial" w:eastAsia="Arial" w:hAnsi="Arial"/>
          <w:sz w:val="13"/>
          <w:szCs w:val="13"/>
          <w:color w:val="424242"/>
        </w:rPr>
      </w:pPr>
      <w:r>
        <w:rPr>
          <w:rFonts w:ascii="Arial" w:cs="Arial" w:eastAsia="Arial" w:hAnsi="Arial"/>
          <w:sz w:val="13"/>
          <w:szCs w:val="13"/>
          <w:color w:val="424242"/>
        </w:rPr>
        <w:t>Other Equity and Debt</w:t>
      </w:r>
    </w:p>
    <w:p>
      <w:pPr>
        <w:spacing w:after="0" w:line="48" w:lineRule="exact"/>
        <w:rPr>
          <w:rFonts w:ascii="Arial" w:cs="Arial" w:eastAsia="Arial" w:hAnsi="Arial"/>
          <w:sz w:val="13"/>
          <w:szCs w:val="13"/>
          <w:color w:val="424242"/>
        </w:rPr>
      </w:pPr>
    </w:p>
    <w:p>
      <w:pPr>
        <w:ind w:left="800" w:hanging="354"/>
        <w:spacing w:after="0"/>
        <w:tabs>
          <w:tab w:leader="none" w:pos="800" w:val="left"/>
        </w:tabs>
        <w:numPr>
          <w:ilvl w:val="0"/>
          <w:numId w:val="15"/>
        </w:numPr>
        <w:rPr>
          <w:rFonts w:ascii="Arial" w:cs="Arial" w:eastAsia="Arial" w:hAnsi="Arial"/>
          <w:sz w:val="13"/>
          <w:szCs w:val="13"/>
          <w:color w:val="424242"/>
        </w:rPr>
      </w:pPr>
      <w:r>
        <w:rPr>
          <w:rFonts w:ascii="Arial" w:cs="Arial" w:eastAsia="Arial" w:hAnsi="Arial"/>
          <w:sz w:val="13"/>
          <w:szCs w:val="13"/>
          <w:color w:val="424242"/>
        </w:rPr>
        <w:t>Other Investment Management</w:t>
      </w:r>
    </w:p>
    <w:p>
      <w:pPr>
        <w:spacing w:after="0" w:line="180" w:lineRule="auto"/>
        <w:tabs>
          <w:tab w:leader="none" w:pos="420" w:val="left"/>
        </w:tabs>
        <w:rPr>
          <w:sz w:val="20"/>
          <w:szCs w:val="20"/>
          <w:color w:val="auto"/>
        </w:rPr>
      </w:pPr>
      <w:r>
        <w:rPr>
          <w:rFonts w:ascii="Arial" w:cs="Arial" w:eastAsia="Arial" w:hAnsi="Arial"/>
          <w:sz w:val="22"/>
          <w:szCs w:val="22"/>
          <w:color w:val="3E5A99"/>
          <w:vertAlign w:val="superscript"/>
        </w:rPr>
        <w:t>IX.</w:t>
      </w:r>
      <w:r>
        <w:rPr>
          <w:sz w:val="20"/>
          <w:szCs w:val="20"/>
          <w:color w:val="auto"/>
        </w:rPr>
        <w:tab/>
      </w:r>
      <w:r>
        <w:rPr>
          <w:rFonts w:ascii="Arial" w:cs="Arial" w:eastAsia="Arial" w:hAnsi="Arial"/>
          <w:sz w:val="12"/>
          <w:szCs w:val="12"/>
          <w:color w:val="3E5A99"/>
        </w:rPr>
        <w:t>Total Company Assets Under Management</w:t>
      </w:r>
    </w:p>
    <w:p>
      <w:pPr>
        <w:ind w:left="440" w:hanging="435"/>
        <w:spacing w:after="0" w:line="186" w:lineRule="auto"/>
        <w:tabs>
          <w:tab w:leader="none" w:pos="440" w:val="left"/>
        </w:tabs>
        <w:numPr>
          <w:ilvl w:val="0"/>
          <w:numId w:val="16"/>
        </w:numPr>
        <w:rPr>
          <w:rFonts w:ascii="Arial" w:cs="Arial" w:eastAsia="Arial" w:hAnsi="Arial"/>
          <w:sz w:val="24"/>
          <w:szCs w:val="24"/>
          <w:color w:val="3E5A99"/>
          <w:vertAlign w:val="superscript"/>
        </w:rPr>
      </w:pPr>
      <w:r>
        <w:rPr>
          <w:rFonts w:ascii="Arial" w:cs="Arial" w:eastAsia="Arial" w:hAnsi="Arial"/>
          <w:sz w:val="13"/>
          <w:szCs w:val="13"/>
          <w:color w:val="3E5A99"/>
        </w:rPr>
        <w:t>Appendices</w:t>
      </w:r>
    </w:p>
    <w:p>
      <w:pPr>
        <w:spacing w:after="0" w:line="40" w:lineRule="exact"/>
        <w:rPr>
          <w:rFonts w:ascii="Arial" w:cs="Arial" w:eastAsia="Arial" w:hAnsi="Arial"/>
          <w:sz w:val="24"/>
          <w:szCs w:val="24"/>
          <w:color w:val="3E5A99"/>
          <w:vertAlign w:val="superscript"/>
        </w:rPr>
      </w:pPr>
    </w:p>
    <w:p>
      <w:pPr>
        <w:ind w:left="800" w:hanging="354"/>
        <w:spacing w:after="0"/>
        <w:tabs>
          <w:tab w:leader="none" w:pos="800" w:val="left"/>
        </w:tabs>
        <w:numPr>
          <w:ilvl w:val="1"/>
          <w:numId w:val="16"/>
        </w:numPr>
        <w:rPr>
          <w:rFonts w:ascii="Arial" w:cs="Arial" w:eastAsia="Arial" w:hAnsi="Arial"/>
          <w:sz w:val="13"/>
          <w:szCs w:val="13"/>
          <w:color w:val="424242"/>
        </w:rPr>
      </w:pPr>
      <w:hyperlink w:anchor="page45">
        <w:r>
          <w:rPr>
            <w:rFonts w:ascii="Arial" w:cs="Arial" w:eastAsia="Arial" w:hAnsi="Arial"/>
            <w:sz w:val="13"/>
            <w:szCs w:val="13"/>
            <w:color w:val="424242"/>
          </w:rPr>
          <w:t>Definitions</w:t>
        </w:r>
      </w:hyperlink>
    </w:p>
    <w:p>
      <w:pPr>
        <w:spacing w:after="0" w:line="48" w:lineRule="exact"/>
        <w:rPr>
          <w:rFonts w:ascii="Arial" w:cs="Arial" w:eastAsia="Arial" w:hAnsi="Arial"/>
          <w:sz w:val="13"/>
          <w:szCs w:val="13"/>
          <w:color w:val="424242"/>
        </w:rPr>
      </w:pPr>
    </w:p>
    <w:p>
      <w:pPr>
        <w:ind w:left="800" w:hanging="354"/>
        <w:spacing w:after="0"/>
        <w:tabs>
          <w:tab w:leader="none" w:pos="800" w:val="left"/>
        </w:tabs>
        <w:numPr>
          <w:ilvl w:val="1"/>
          <w:numId w:val="16"/>
        </w:numPr>
        <w:rPr>
          <w:rFonts w:ascii="Arial" w:cs="Arial" w:eastAsia="Arial" w:hAnsi="Arial"/>
          <w:sz w:val="13"/>
          <w:szCs w:val="13"/>
          <w:color w:val="424242"/>
        </w:rPr>
      </w:pPr>
      <w:hyperlink w:anchor="page46">
        <w:r>
          <w:rPr>
            <w:rFonts w:ascii="Arial" w:cs="Arial" w:eastAsia="Arial" w:hAnsi="Arial"/>
            <w:sz w:val="13"/>
            <w:szCs w:val="13"/>
            <w:color w:val="424242"/>
          </w:rPr>
          <w:t>Reconciliation of Net Income (Loss) to NOI</w:t>
        </w:r>
      </w:hyperlink>
    </w:p>
    <w:p>
      <w:pPr>
        <w:spacing w:after="0" w:line="48" w:lineRule="exact"/>
        <w:rPr>
          <w:rFonts w:ascii="Arial" w:cs="Arial" w:eastAsia="Arial" w:hAnsi="Arial"/>
          <w:sz w:val="13"/>
          <w:szCs w:val="13"/>
          <w:color w:val="424242"/>
        </w:rPr>
      </w:pPr>
    </w:p>
    <w:p>
      <w:pPr>
        <w:jc w:val="both"/>
        <w:ind w:left="800" w:right="40" w:hanging="354"/>
        <w:spacing w:after="0" w:line="227" w:lineRule="auto"/>
        <w:tabs>
          <w:tab w:leader="none" w:pos="800" w:val="left"/>
        </w:tabs>
        <w:numPr>
          <w:ilvl w:val="1"/>
          <w:numId w:val="16"/>
        </w:numPr>
        <w:rPr>
          <w:rFonts w:ascii="Arial" w:cs="Arial" w:eastAsia="Arial" w:hAnsi="Arial"/>
          <w:sz w:val="13"/>
          <w:szCs w:val="13"/>
          <w:color w:val="424242"/>
        </w:rPr>
      </w:pPr>
      <w:r>
        <w:rPr>
          <w:rFonts w:ascii="Arial" w:cs="Arial" w:eastAsia="Arial" w:hAnsi="Arial"/>
          <w:sz w:val="13"/>
          <w:szCs w:val="13"/>
          <w:color w:val="424242"/>
        </w:rPr>
        <w:t>Reconciliations of Net Income (Loss) to Digital Investment Management FRE and Digital Operating Adjusted EBITDA</w:t>
      </w:r>
    </w:p>
    <w:p>
      <w:pPr>
        <w:spacing w:after="0" w:line="20" w:lineRule="exact"/>
        <w:rPr>
          <w:rFonts w:ascii="Arial" w:cs="Arial" w:eastAsia="Arial" w:hAnsi="Arial"/>
          <w:sz w:val="13"/>
          <w:szCs w:val="13"/>
          <w:color w:val="424242"/>
        </w:rPr>
      </w:pPr>
      <w:r>
        <w:rPr>
          <w:rFonts w:ascii="Arial" w:cs="Arial" w:eastAsia="Arial" w:hAnsi="Arial"/>
          <w:sz w:val="13"/>
          <w:szCs w:val="13"/>
          <w:color w:val="424242"/>
        </w:rPr>
        <w:br w:type="column"/>
      </w:r>
    </w:p>
    <w:p>
      <w:pPr>
        <w:spacing w:after="0" w:line="200" w:lineRule="exact"/>
        <w:rPr>
          <w:rFonts w:ascii="Arial" w:cs="Arial" w:eastAsia="Arial" w:hAnsi="Arial"/>
          <w:sz w:val="13"/>
          <w:szCs w:val="13"/>
          <w:color w:val="424242"/>
        </w:rPr>
      </w:pPr>
    </w:p>
    <w:p>
      <w:pPr>
        <w:spacing w:after="0" w:line="200" w:lineRule="exact"/>
        <w:rPr>
          <w:rFonts w:ascii="Arial" w:cs="Arial" w:eastAsia="Arial" w:hAnsi="Arial"/>
          <w:sz w:val="13"/>
          <w:szCs w:val="13"/>
          <w:color w:val="424242"/>
        </w:rPr>
      </w:pPr>
    </w:p>
    <w:p>
      <w:pPr>
        <w:spacing w:after="0" w:line="227" w:lineRule="exact"/>
        <w:rPr>
          <w:rFonts w:ascii="Arial" w:cs="Arial" w:eastAsia="Arial" w:hAnsi="Arial"/>
          <w:sz w:val="13"/>
          <w:szCs w:val="13"/>
          <w:color w:val="424242"/>
        </w:rPr>
      </w:pPr>
    </w:p>
    <w:p>
      <w:pPr>
        <w:spacing w:after="0"/>
        <w:rPr>
          <w:sz w:val="20"/>
          <w:szCs w:val="20"/>
          <w:color w:val="auto"/>
        </w:rPr>
      </w:pPr>
      <w:r>
        <w:rPr>
          <w:rFonts w:ascii="Arial" w:cs="Arial" w:eastAsia="Arial" w:hAnsi="Arial"/>
          <w:sz w:val="13"/>
          <w:szCs w:val="13"/>
          <w:u w:val="single" w:color="auto"/>
          <w:color w:val="40576D"/>
        </w:rPr>
        <w:t>Page</w:t>
      </w:r>
    </w:p>
    <w:p>
      <w:pPr>
        <w:spacing w:after="0" w:line="229" w:lineRule="exact"/>
        <w:rPr>
          <w:rFonts w:ascii="Arial" w:cs="Arial" w:eastAsia="Arial" w:hAnsi="Arial"/>
          <w:sz w:val="13"/>
          <w:szCs w:val="13"/>
          <w:color w:val="424242"/>
        </w:rPr>
      </w:pPr>
    </w:p>
    <w:p>
      <w:pPr>
        <w:jc w:val="center"/>
        <w:spacing w:after="0"/>
        <w:rPr>
          <w:sz w:val="20"/>
          <w:szCs w:val="20"/>
          <w:color w:val="auto"/>
        </w:rPr>
      </w:pPr>
      <w:r>
        <w:rPr>
          <w:rFonts w:ascii="Arial" w:cs="Arial" w:eastAsia="Arial" w:hAnsi="Arial"/>
          <w:sz w:val="13"/>
          <w:szCs w:val="13"/>
          <w:color w:val="424242"/>
        </w:rPr>
        <w:t>22</w:t>
      </w:r>
    </w:p>
    <w:p>
      <w:pPr>
        <w:spacing w:after="0" w:line="49" w:lineRule="exact"/>
        <w:rPr>
          <w:rFonts w:ascii="Arial" w:cs="Arial" w:eastAsia="Arial" w:hAnsi="Arial"/>
          <w:sz w:val="13"/>
          <w:szCs w:val="13"/>
          <w:color w:val="424242"/>
        </w:rPr>
      </w:pPr>
    </w:p>
    <w:p>
      <w:pPr>
        <w:jc w:val="center"/>
        <w:spacing w:after="0"/>
        <w:rPr>
          <w:sz w:val="20"/>
          <w:szCs w:val="20"/>
          <w:color w:val="auto"/>
        </w:rPr>
      </w:pPr>
      <w:r>
        <w:rPr>
          <w:rFonts w:ascii="Arial" w:cs="Arial" w:eastAsia="Arial" w:hAnsi="Arial"/>
          <w:sz w:val="13"/>
          <w:szCs w:val="13"/>
          <w:color w:val="424242"/>
        </w:rPr>
        <w:t>23-25</w:t>
      </w:r>
    </w:p>
    <w:p>
      <w:pPr>
        <w:spacing w:after="0" w:line="247" w:lineRule="exact"/>
        <w:rPr>
          <w:rFonts w:ascii="Arial" w:cs="Arial" w:eastAsia="Arial" w:hAnsi="Arial"/>
          <w:sz w:val="13"/>
          <w:szCs w:val="13"/>
          <w:color w:val="424242"/>
        </w:rPr>
      </w:pPr>
    </w:p>
    <w:p>
      <w:pPr>
        <w:jc w:val="center"/>
        <w:spacing w:after="0"/>
        <w:rPr>
          <w:sz w:val="20"/>
          <w:szCs w:val="20"/>
          <w:color w:val="auto"/>
        </w:rPr>
      </w:pPr>
      <w:r>
        <w:rPr>
          <w:rFonts w:ascii="Arial" w:cs="Arial" w:eastAsia="Arial" w:hAnsi="Arial"/>
          <w:sz w:val="13"/>
          <w:szCs w:val="13"/>
          <w:color w:val="424242"/>
        </w:rPr>
        <w:t>26-27</w:t>
      </w:r>
    </w:p>
    <w:p>
      <w:pPr>
        <w:spacing w:after="0" w:line="49" w:lineRule="exact"/>
        <w:rPr>
          <w:rFonts w:ascii="Arial" w:cs="Arial" w:eastAsia="Arial" w:hAnsi="Arial"/>
          <w:sz w:val="13"/>
          <w:szCs w:val="13"/>
          <w:color w:val="424242"/>
        </w:rPr>
      </w:pPr>
    </w:p>
    <w:p>
      <w:pPr>
        <w:jc w:val="center"/>
        <w:spacing w:after="0"/>
        <w:rPr>
          <w:sz w:val="20"/>
          <w:szCs w:val="20"/>
          <w:color w:val="auto"/>
        </w:rPr>
      </w:pPr>
      <w:r>
        <w:rPr>
          <w:rFonts w:ascii="Arial" w:cs="Arial" w:eastAsia="Arial" w:hAnsi="Arial"/>
          <w:sz w:val="13"/>
          <w:szCs w:val="13"/>
          <w:color w:val="424242"/>
        </w:rPr>
        <w:t>28</w:t>
      </w:r>
    </w:p>
    <w:p>
      <w:pPr>
        <w:spacing w:after="0" w:line="49" w:lineRule="exact"/>
        <w:rPr>
          <w:rFonts w:ascii="Arial" w:cs="Arial" w:eastAsia="Arial" w:hAnsi="Arial"/>
          <w:sz w:val="13"/>
          <w:szCs w:val="13"/>
          <w:color w:val="424242"/>
        </w:rPr>
      </w:pPr>
    </w:p>
    <w:p>
      <w:pPr>
        <w:jc w:val="center"/>
        <w:spacing w:after="0"/>
        <w:rPr>
          <w:sz w:val="20"/>
          <w:szCs w:val="20"/>
          <w:color w:val="auto"/>
        </w:rPr>
      </w:pPr>
      <w:r>
        <w:rPr>
          <w:rFonts w:ascii="Arial" w:cs="Arial" w:eastAsia="Arial" w:hAnsi="Arial"/>
          <w:sz w:val="13"/>
          <w:szCs w:val="13"/>
          <w:color w:val="424242"/>
        </w:rPr>
        <w:t>29</w:t>
      </w:r>
    </w:p>
    <w:p>
      <w:pPr>
        <w:spacing w:after="0" w:line="247" w:lineRule="exact"/>
        <w:rPr>
          <w:rFonts w:ascii="Arial" w:cs="Arial" w:eastAsia="Arial" w:hAnsi="Arial"/>
          <w:sz w:val="13"/>
          <w:szCs w:val="13"/>
          <w:color w:val="424242"/>
        </w:rPr>
      </w:pPr>
    </w:p>
    <w:p>
      <w:pPr>
        <w:ind w:left="240"/>
        <w:spacing w:after="0"/>
        <w:rPr>
          <w:sz w:val="20"/>
          <w:szCs w:val="20"/>
          <w:color w:val="auto"/>
        </w:rPr>
      </w:pPr>
      <w:r>
        <w:rPr>
          <w:rFonts w:ascii="Arial" w:cs="Arial" w:eastAsia="Arial" w:hAnsi="Arial"/>
          <w:sz w:val="13"/>
          <w:szCs w:val="13"/>
          <w:color w:val="424242"/>
        </w:rPr>
        <w:t>31</w:t>
      </w:r>
    </w:p>
    <w:p>
      <w:pPr>
        <w:spacing w:after="0" w:line="49" w:lineRule="exact"/>
        <w:rPr>
          <w:rFonts w:ascii="Arial" w:cs="Arial" w:eastAsia="Arial" w:hAnsi="Arial"/>
          <w:sz w:val="13"/>
          <w:szCs w:val="13"/>
          <w:color w:val="424242"/>
        </w:rPr>
      </w:pPr>
    </w:p>
    <w:p>
      <w:pPr>
        <w:ind w:left="240"/>
        <w:spacing w:after="0"/>
        <w:rPr>
          <w:sz w:val="20"/>
          <w:szCs w:val="20"/>
          <w:color w:val="auto"/>
        </w:rPr>
      </w:pPr>
      <w:r>
        <w:rPr>
          <w:rFonts w:ascii="Arial" w:cs="Arial" w:eastAsia="Arial" w:hAnsi="Arial"/>
          <w:sz w:val="13"/>
          <w:szCs w:val="13"/>
          <w:color w:val="424242"/>
        </w:rPr>
        <w:t>32</w:t>
      </w:r>
    </w:p>
    <w:p>
      <w:pPr>
        <w:spacing w:after="0" w:line="193" w:lineRule="exact"/>
        <w:rPr>
          <w:rFonts w:ascii="Arial" w:cs="Arial" w:eastAsia="Arial" w:hAnsi="Arial"/>
          <w:sz w:val="13"/>
          <w:szCs w:val="13"/>
          <w:color w:val="424242"/>
        </w:rPr>
      </w:pPr>
    </w:p>
    <w:p>
      <w:pPr>
        <w:ind w:left="240"/>
        <w:spacing w:after="0"/>
        <w:rPr>
          <w:sz w:val="20"/>
          <w:szCs w:val="20"/>
          <w:color w:val="auto"/>
        </w:rPr>
      </w:pPr>
      <w:r>
        <w:rPr>
          <w:rFonts w:ascii="Arial" w:cs="Arial" w:eastAsia="Arial" w:hAnsi="Arial"/>
          <w:sz w:val="13"/>
          <w:szCs w:val="13"/>
          <w:color w:val="424242"/>
        </w:rPr>
        <w:t>33</w:t>
      </w:r>
    </w:p>
    <w:p>
      <w:pPr>
        <w:spacing w:after="0" w:line="2493" w:lineRule="exact"/>
        <w:rPr>
          <w:rFonts w:ascii="Arial" w:cs="Arial" w:eastAsia="Arial" w:hAnsi="Arial"/>
          <w:sz w:val="13"/>
          <w:szCs w:val="13"/>
          <w:color w:val="424242"/>
        </w:rPr>
      </w:pPr>
    </w:p>
    <w:p>
      <w:pPr>
        <w:sectPr>
          <w:pgSz w:w="11900" w:h="16838" w:orient="portrait"/>
          <w:cols w:equalWidth="0" w:num="3">
            <w:col w:w="4940" w:space="720"/>
            <w:col w:w="4260" w:space="720"/>
            <w:col w:w="660"/>
          </w:cols>
          <w:pgMar w:left="300" w:top="158" w:right="299" w:bottom="1440" w:gutter="0" w:footer="0" w:header="0"/>
          <w:type w:val="continuous"/>
        </w:sectPr>
      </w:pPr>
    </w:p>
    <w:p>
      <w:pPr>
        <w:spacing w:after="0" w:line="200" w:lineRule="exact"/>
        <w:rPr>
          <w:rFonts w:ascii="Arial" w:cs="Arial" w:eastAsia="Arial" w:hAnsi="Arial"/>
          <w:sz w:val="13"/>
          <w:szCs w:val="13"/>
          <w:color w:val="424242"/>
        </w:rPr>
      </w:pPr>
    </w:p>
    <w:p>
      <w:pPr>
        <w:spacing w:after="0" w:line="397" w:lineRule="exact"/>
        <w:rPr>
          <w:rFonts w:ascii="Arial" w:cs="Arial" w:eastAsia="Arial" w:hAnsi="Arial"/>
          <w:sz w:val="13"/>
          <w:szCs w:val="13"/>
          <w:color w:val="424242"/>
        </w:rPr>
      </w:pPr>
    </w:p>
    <w:tbl>
      <w:tblPr>
        <w:tblLayout w:type="fixed"/>
        <w:tblInd w:w="0" w:type="dxa"/>
        <w:tblCellMar>
          <w:top w:w="0" w:type="dxa"/>
          <w:left w:w="0" w:type="dxa"/>
          <w:bottom w:w="0" w:type="dxa"/>
          <w:right w:w="0" w:type="dxa"/>
        </w:tblCellMar>
      </w:tblPr>
      <w:tr>
        <w:trPr>
          <w:trHeight w:val="138"/>
        </w:trPr>
        <w:tc>
          <w:tcPr>
            <w:tcW w:w="650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0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5</w:t>
            </w:r>
          </w:p>
        </w:tc>
      </w:tr>
    </w:tbl>
    <w:p>
      <w:pPr>
        <w:sectPr>
          <w:pgSz w:w="11900" w:h="16838" w:orient="portrait"/>
          <w:cols w:equalWidth="0" w:num="1">
            <w:col w:w="11300"/>
          </w:cols>
          <w:pgMar w:left="300" w:top="158" w:right="299" w:bottom="1440" w:gutter="0" w:footer="0" w:header="0"/>
          <w:type w:val="continuous"/>
        </w:sectPr>
      </w:pPr>
    </w:p>
    <w:bookmarkStart w:id="20" w:name="page21"/>
    <w:bookmarkEnd w:id="20"/>
    <w:p>
      <w:pPr>
        <w:ind w:left="8"/>
        <w:spacing w:after="0"/>
        <w:rPr>
          <w:sz w:val="20"/>
          <w:szCs w:val="20"/>
          <w:color w:val="auto"/>
        </w:rPr>
      </w:pPr>
      <w:r>
        <w:rPr>
          <w:rFonts w:ascii="Arial" w:cs="Arial" w:eastAsia="Arial" w:hAnsi="Arial"/>
          <w:sz w:val="29"/>
          <w:szCs w:val="29"/>
          <w:color w:val="auto"/>
        </w:rPr>
        <w:t>Ia. Financial Overview - Summary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8780" w:type="dxa"/>
            <w:vAlign w:val="bottom"/>
          </w:tcPr>
          <w:p>
            <w:pPr>
              <w:spacing w:after="0"/>
              <w:rPr>
                <w:sz w:val="20"/>
                <w:szCs w:val="20"/>
                <w:color w:val="auto"/>
              </w:rPr>
            </w:pPr>
            <w:r>
              <w:rPr>
                <w:rFonts w:ascii="Arial" w:cs="Arial" w:eastAsia="Arial" w:hAnsi="Arial"/>
                <w:sz w:val="11"/>
                <w:szCs w:val="11"/>
                <w:i w:val="1"/>
                <w:iCs w:val="1"/>
                <w:color w:val="auto"/>
              </w:rPr>
              <w:t>($ and shares in thousands, except per share data and as noted; as of or for the three months ended March 31, 2021, unless otherwise noted) (Unaudited)</w:t>
            </w:r>
          </w:p>
        </w:tc>
        <w:tc>
          <w:tcPr>
            <w:tcW w:w="16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9"/>
        </w:trPr>
        <w:tc>
          <w:tcPr>
            <w:tcW w:w="8780" w:type="dxa"/>
            <w:vAlign w:val="bottom"/>
          </w:tcPr>
          <w:p>
            <w:pPr>
              <w:spacing w:after="0"/>
              <w:rPr>
                <w:sz w:val="20"/>
                <w:szCs w:val="20"/>
                <w:color w:val="auto"/>
              </w:rPr>
            </w:pPr>
            <w:r>
              <w:rPr>
                <w:rFonts w:ascii="Arial" w:cs="Arial" w:eastAsia="Arial" w:hAnsi="Arial"/>
                <w:sz w:val="12"/>
                <w:szCs w:val="12"/>
                <w:b w:val="1"/>
                <w:bCs w:val="1"/>
                <w:i w:val="1"/>
                <w:iCs w:val="1"/>
                <w:color w:val="003366"/>
              </w:rPr>
              <w:t>Financial Data</w:t>
            </w:r>
          </w:p>
        </w:tc>
        <w:tc>
          <w:tcPr>
            <w:tcW w:w="16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8780" w:type="dxa"/>
            <w:vAlign w:val="bottom"/>
            <w:shd w:val="clear" w:color="auto" w:fill="DBDBDB"/>
          </w:tcPr>
          <w:p>
            <w:pPr>
              <w:spacing w:after="0"/>
              <w:rPr>
                <w:sz w:val="20"/>
                <w:szCs w:val="20"/>
                <w:color w:val="auto"/>
              </w:rPr>
            </w:pPr>
            <w:r>
              <w:rPr>
                <w:rFonts w:ascii="Arial" w:cs="Arial" w:eastAsia="Arial" w:hAnsi="Arial"/>
                <w:sz w:val="12"/>
                <w:szCs w:val="12"/>
                <w:color w:val="auto"/>
              </w:rPr>
              <w:t>Net income (loss) attributable to common stockholders</w:t>
            </w:r>
          </w:p>
        </w:tc>
        <w:tc>
          <w:tcPr>
            <w:tcW w:w="164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rPr>
              <w:t>(264,806)</w:t>
            </w:r>
          </w:p>
        </w:tc>
      </w:tr>
      <w:tr>
        <w:trPr>
          <w:trHeight w:val="153"/>
        </w:trPr>
        <w:tc>
          <w:tcPr>
            <w:tcW w:w="8780" w:type="dxa"/>
            <w:vAlign w:val="bottom"/>
          </w:tcPr>
          <w:p>
            <w:pPr>
              <w:spacing w:after="0"/>
              <w:rPr>
                <w:sz w:val="20"/>
                <w:szCs w:val="20"/>
                <w:color w:val="auto"/>
              </w:rPr>
            </w:pPr>
            <w:r>
              <w:rPr>
                <w:rFonts w:ascii="Arial" w:cs="Arial" w:eastAsia="Arial" w:hAnsi="Arial"/>
                <w:sz w:val="12"/>
                <w:szCs w:val="12"/>
                <w:color w:val="auto"/>
              </w:rPr>
              <w:t>Net income (loss) attributable to common stockholders per basic share</w:t>
            </w:r>
          </w:p>
        </w:tc>
        <w:tc>
          <w:tcPr>
            <w:tcW w:w="164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(0.56)</w:t>
            </w:r>
          </w:p>
        </w:tc>
      </w:tr>
      <w:tr>
        <w:trPr>
          <w:trHeight w:val="153"/>
        </w:trPr>
        <w:tc>
          <w:tcPr>
            <w:tcW w:w="8780" w:type="dxa"/>
            <w:vAlign w:val="bottom"/>
            <w:shd w:val="clear" w:color="auto" w:fill="DBDBDB"/>
          </w:tcPr>
          <w:p>
            <w:pPr>
              <w:spacing w:after="0"/>
              <w:rPr>
                <w:sz w:val="20"/>
                <w:szCs w:val="20"/>
                <w:color w:val="auto"/>
              </w:rPr>
            </w:pPr>
            <w:r>
              <w:rPr>
                <w:rFonts w:ascii="Arial" w:cs="Arial" w:eastAsia="Arial" w:hAnsi="Arial"/>
                <w:sz w:val="12"/>
                <w:szCs w:val="12"/>
                <w:color w:val="auto"/>
              </w:rPr>
              <w:t>Core FFO</w:t>
            </w:r>
          </w:p>
        </w:tc>
        <w:tc>
          <w:tcPr>
            <w:tcW w:w="1640" w:type="dxa"/>
            <w:vAlign w:val="bottom"/>
            <w:shd w:val="clear" w:color="auto" w:fill="DBDBDB"/>
          </w:tcPr>
          <w:p>
            <w:pPr>
              <w:spacing w:after="0"/>
              <w:rPr>
                <w:sz w:val="13"/>
                <w:szCs w:val="13"/>
                <w:color w:val="auto"/>
              </w:rPr>
            </w:pPr>
          </w:p>
        </w:tc>
        <w:tc>
          <w:tcPr>
            <w:tcW w:w="88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rPr>
              <w:t>4,057</w:t>
            </w:r>
          </w:p>
        </w:tc>
      </w:tr>
      <w:tr>
        <w:trPr>
          <w:trHeight w:val="153"/>
        </w:trPr>
        <w:tc>
          <w:tcPr>
            <w:tcW w:w="8780" w:type="dxa"/>
            <w:vAlign w:val="bottom"/>
          </w:tcPr>
          <w:p>
            <w:pPr>
              <w:spacing w:after="0"/>
              <w:rPr>
                <w:sz w:val="20"/>
                <w:szCs w:val="20"/>
                <w:color w:val="auto"/>
              </w:rPr>
            </w:pPr>
            <w:r>
              <w:rPr>
                <w:rFonts w:ascii="Arial" w:cs="Arial" w:eastAsia="Arial" w:hAnsi="Arial"/>
                <w:sz w:val="12"/>
                <w:szCs w:val="12"/>
                <w:color w:val="auto"/>
              </w:rPr>
              <w:t>Core FFO per basic share</w:t>
            </w:r>
          </w:p>
        </w:tc>
        <w:tc>
          <w:tcPr>
            <w:tcW w:w="164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0.01</w:t>
            </w:r>
          </w:p>
        </w:tc>
      </w:tr>
      <w:tr>
        <w:trPr>
          <w:trHeight w:val="153"/>
        </w:trPr>
        <w:tc>
          <w:tcPr>
            <w:tcW w:w="8780" w:type="dxa"/>
            <w:vAlign w:val="bottom"/>
            <w:shd w:val="clear" w:color="auto" w:fill="DBDBDB"/>
          </w:tcPr>
          <w:p>
            <w:pPr>
              <w:spacing w:after="0"/>
              <w:rPr>
                <w:sz w:val="20"/>
                <w:szCs w:val="20"/>
                <w:color w:val="auto"/>
              </w:rPr>
            </w:pPr>
            <w:r>
              <w:rPr>
                <w:rFonts w:ascii="Arial" w:cs="Arial" w:eastAsia="Arial" w:hAnsi="Arial"/>
                <w:sz w:val="12"/>
                <w:szCs w:val="12"/>
                <w:color w:val="auto"/>
              </w:rPr>
              <w:t>Adjusted EBITDA</w:t>
            </w:r>
          </w:p>
        </w:tc>
        <w:tc>
          <w:tcPr>
            <w:tcW w:w="1640" w:type="dxa"/>
            <w:vAlign w:val="bottom"/>
            <w:shd w:val="clear" w:color="auto" w:fill="DBDBDB"/>
          </w:tcPr>
          <w:p>
            <w:pPr>
              <w:spacing w:after="0"/>
              <w:rPr>
                <w:sz w:val="13"/>
                <w:szCs w:val="13"/>
                <w:color w:val="auto"/>
              </w:rPr>
            </w:pPr>
          </w:p>
        </w:tc>
        <w:tc>
          <w:tcPr>
            <w:tcW w:w="88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rPr>
              <w:t>56,132</w:t>
            </w:r>
          </w:p>
        </w:tc>
      </w:tr>
      <w:tr>
        <w:trPr>
          <w:trHeight w:val="333"/>
        </w:trPr>
        <w:tc>
          <w:tcPr>
            <w:tcW w:w="8780" w:type="dxa"/>
            <w:vAlign w:val="bottom"/>
          </w:tcPr>
          <w:p>
            <w:pPr>
              <w:spacing w:after="0"/>
              <w:rPr>
                <w:sz w:val="20"/>
                <w:szCs w:val="20"/>
                <w:color w:val="auto"/>
              </w:rPr>
            </w:pPr>
            <w:r>
              <w:rPr>
                <w:rFonts w:ascii="Arial" w:cs="Arial" w:eastAsia="Arial" w:hAnsi="Arial"/>
                <w:sz w:val="12"/>
                <w:szCs w:val="12"/>
                <w:b w:val="1"/>
                <w:bCs w:val="1"/>
                <w:i w:val="1"/>
                <w:iCs w:val="1"/>
                <w:color w:val="003366"/>
              </w:rPr>
              <w:t>Balance Sheet, Capitalization and Trading Statistics</w:t>
            </w: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3"/>
        </w:trPr>
        <w:tc>
          <w:tcPr>
            <w:tcW w:w="8780" w:type="dxa"/>
            <w:vAlign w:val="bottom"/>
            <w:shd w:val="clear" w:color="auto" w:fill="DBDBDB"/>
          </w:tcPr>
          <w:p>
            <w:pPr>
              <w:spacing w:after="0"/>
              <w:rPr>
                <w:sz w:val="20"/>
                <w:szCs w:val="20"/>
                <w:color w:val="auto"/>
              </w:rPr>
            </w:pPr>
            <w:r>
              <w:rPr>
                <w:rFonts w:ascii="Arial" w:cs="Arial" w:eastAsia="Arial" w:hAnsi="Arial"/>
                <w:sz w:val="12"/>
                <w:szCs w:val="12"/>
                <w:color w:val="auto"/>
              </w:rPr>
              <w:t>Total consolidated assets</w:t>
            </w:r>
          </w:p>
        </w:tc>
        <w:tc>
          <w:tcPr>
            <w:tcW w:w="164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rPr>
              <w:t>16,625,250</w:t>
            </w:r>
          </w:p>
        </w:tc>
      </w:tr>
      <w:tr>
        <w:trPr>
          <w:trHeight w:val="153"/>
        </w:trPr>
        <w:tc>
          <w:tcPr>
            <w:tcW w:w="8780" w:type="dxa"/>
            <w:vAlign w:val="bottom"/>
          </w:tcPr>
          <w:p>
            <w:pPr>
              <w:ind w:left="120"/>
              <w:spacing w:after="0"/>
              <w:rPr>
                <w:sz w:val="20"/>
                <w:szCs w:val="20"/>
                <w:color w:val="auto"/>
              </w:rPr>
            </w:pPr>
            <w:r>
              <w:rPr>
                <w:rFonts w:ascii="Arial" w:cs="Arial" w:eastAsia="Arial" w:hAnsi="Arial"/>
                <w:sz w:val="12"/>
                <w:szCs w:val="12"/>
                <w:color w:val="auto"/>
              </w:rPr>
              <w:t>CLNY OP share of consolidated assets</w:t>
            </w:r>
          </w:p>
        </w:tc>
        <w:tc>
          <w:tcPr>
            <w:tcW w:w="164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7,324,784</w:t>
            </w:r>
          </w:p>
        </w:tc>
      </w:tr>
      <w:tr>
        <w:trPr>
          <w:trHeight w:val="153"/>
        </w:trPr>
        <w:tc>
          <w:tcPr>
            <w:tcW w:w="8780" w:type="dxa"/>
            <w:vAlign w:val="bottom"/>
            <w:shd w:val="clear" w:color="auto" w:fill="DBDBDB"/>
          </w:tcPr>
          <w:p>
            <w:pPr>
              <w:spacing w:after="0" w:line="153" w:lineRule="exact"/>
              <w:rPr>
                <w:sz w:val="20"/>
                <w:szCs w:val="20"/>
                <w:color w:val="auto"/>
              </w:rPr>
            </w:pPr>
            <w:r>
              <w:rPr>
                <w:rFonts w:ascii="Arial" w:cs="Arial" w:eastAsia="Arial" w:hAnsi="Arial"/>
                <w:sz w:val="12"/>
                <w:szCs w:val="12"/>
                <w:color w:val="auto"/>
              </w:rPr>
              <w:t>Total consolidated debt</w:t>
            </w:r>
            <w:r>
              <w:rPr>
                <w:rFonts w:ascii="Arial" w:cs="Arial" w:eastAsia="Arial" w:hAnsi="Arial"/>
                <w:sz w:val="15"/>
                <w:szCs w:val="15"/>
                <w:color w:val="auto"/>
                <w:vertAlign w:val="superscript"/>
              </w:rPr>
              <w:t>(1)</w:t>
            </w:r>
          </w:p>
        </w:tc>
        <w:tc>
          <w:tcPr>
            <w:tcW w:w="1640" w:type="dxa"/>
            <w:vAlign w:val="bottom"/>
            <w:shd w:val="clear" w:color="auto" w:fill="DBDBDB"/>
          </w:tcPr>
          <w:p>
            <w:pPr>
              <w:spacing w:after="0"/>
              <w:rPr>
                <w:sz w:val="13"/>
                <w:szCs w:val="13"/>
                <w:color w:val="auto"/>
              </w:rPr>
            </w:pPr>
          </w:p>
        </w:tc>
        <w:tc>
          <w:tcPr>
            <w:tcW w:w="88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rPr>
              <w:t>7,023,226</w:t>
            </w:r>
          </w:p>
        </w:tc>
      </w:tr>
      <w:tr>
        <w:trPr>
          <w:trHeight w:val="153"/>
        </w:trPr>
        <w:tc>
          <w:tcPr>
            <w:tcW w:w="8780" w:type="dxa"/>
            <w:vAlign w:val="bottom"/>
          </w:tcPr>
          <w:p>
            <w:pPr>
              <w:ind w:left="120"/>
              <w:spacing w:after="0" w:line="153" w:lineRule="exact"/>
              <w:rPr>
                <w:sz w:val="20"/>
                <w:szCs w:val="20"/>
                <w:color w:val="auto"/>
              </w:rPr>
            </w:pPr>
            <w:r>
              <w:rPr>
                <w:rFonts w:ascii="Arial" w:cs="Arial" w:eastAsia="Arial" w:hAnsi="Arial"/>
                <w:sz w:val="12"/>
                <w:szCs w:val="12"/>
                <w:color w:val="auto"/>
              </w:rPr>
              <w:t>CLNY OP share of consolidated debt</w:t>
            </w:r>
            <w:r>
              <w:rPr>
                <w:rFonts w:ascii="Arial" w:cs="Arial" w:eastAsia="Arial" w:hAnsi="Arial"/>
                <w:sz w:val="15"/>
                <w:szCs w:val="15"/>
                <w:color w:val="auto"/>
                <w:vertAlign w:val="superscript"/>
              </w:rPr>
              <w:t>(1)</w:t>
            </w:r>
          </w:p>
        </w:tc>
        <w:tc>
          <w:tcPr>
            <w:tcW w:w="164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3,392,620</w:t>
            </w:r>
          </w:p>
        </w:tc>
      </w:tr>
      <w:tr>
        <w:trPr>
          <w:trHeight w:val="153"/>
        </w:trPr>
        <w:tc>
          <w:tcPr>
            <w:tcW w:w="8780" w:type="dxa"/>
            <w:vAlign w:val="bottom"/>
            <w:shd w:val="clear" w:color="auto" w:fill="DBDBDB"/>
          </w:tcPr>
          <w:p>
            <w:pPr>
              <w:spacing w:after="0" w:line="153" w:lineRule="exact"/>
              <w:rPr>
                <w:sz w:val="20"/>
                <w:szCs w:val="20"/>
                <w:color w:val="auto"/>
              </w:rPr>
            </w:pPr>
            <w:r>
              <w:rPr>
                <w:rFonts w:ascii="Arial" w:cs="Arial" w:eastAsia="Arial" w:hAnsi="Arial"/>
                <w:sz w:val="12"/>
                <w:szCs w:val="12"/>
                <w:color w:val="auto"/>
              </w:rPr>
              <w:t>Basic shares and OP units outstanding as of March 31, 2021</w:t>
            </w:r>
            <w:r>
              <w:rPr>
                <w:rFonts w:ascii="Arial" w:cs="Arial" w:eastAsia="Arial" w:hAnsi="Arial"/>
                <w:sz w:val="15"/>
                <w:szCs w:val="15"/>
                <w:color w:val="auto"/>
                <w:vertAlign w:val="superscript"/>
              </w:rPr>
              <w:t>(2)</w:t>
            </w:r>
          </w:p>
        </w:tc>
        <w:tc>
          <w:tcPr>
            <w:tcW w:w="1640" w:type="dxa"/>
            <w:vAlign w:val="bottom"/>
            <w:shd w:val="clear" w:color="auto" w:fill="DBDBDB"/>
          </w:tcPr>
          <w:p>
            <w:pPr>
              <w:spacing w:after="0"/>
              <w:rPr>
                <w:sz w:val="13"/>
                <w:szCs w:val="13"/>
                <w:color w:val="auto"/>
              </w:rPr>
            </w:pPr>
          </w:p>
        </w:tc>
        <w:tc>
          <w:tcPr>
            <w:tcW w:w="88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rPr>
              <w:t>538,908</w:t>
            </w:r>
          </w:p>
        </w:tc>
      </w:tr>
      <w:tr>
        <w:trPr>
          <w:trHeight w:val="153"/>
        </w:trPr>
        <w:tc>
          <w:tcPr>
            <w:tcW w:w="8780" w:type="dxa"/>
            <w:vAlign w:val="bottom"/>
          </w:tcPr>
          <w:p>
            <w:pPr>
              <w:spacing w:after="0" w:line="153" w:lineRule="exact"/>
              <w:rPr>
                <w:sz w:val="20"/>
                <w:szCs w:val="20"/>
                <w:color w:val="auto"/>
              </w:rPr>
            </w:pPr>
            <w:r>
              <w:rPr>
                <w:rFonts w:ascii="Arial" w:cs="Arial" w:eastAsia="Arial" w:hAnsi="Arial"/>
                <w:sz w:val="12"/>
                <w:szCs w:val="12"/>
                <w:color w:val="auto"/>
              </w:rPr>
              <w:t>Basic shares and OP units outstanding as of May 3, 2021</w:t>
            </w:r>
            <w:r>
              <w:rPr>
                <w:rFonts w:ascii="Arial" w:cs="Arial" w:eastAsia="Arial" w:hAnsi="Arial"/>
                <w:sz w:val="15"/>
                <w:szCs w:val="15"/>
                <w:color w:val="auto"/>
                <w:vertAlign w:val="superscript"/>
              </w:rPr>
              <w:t>(2)</w:t>
            </w:r>
          </w:p>
        </w:tc>
        <w:tc>
          <w:tcPr>
            <w:tcW w:w="164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538,227</w:t>
            </w:r>
          </w:p>
        </w:tc>
      </w:tr>
      <w:tr>
        <w:trPr>
          <w:trHeight w:val="153"/>
        </w:trPr>
        <w:tc>
          <w:tcPr>
            <w:tcW w:w="8780" w:type="dxa"/>
            <w:vAlign w:val="bottom"/>
            <w:shd w:val="clear" w:color="auto" w:fill="DBDBDB"/>
          </w:tcPr>
          <w:p>
            <w:pPr>
              <w:spacing w:after="0"/>
              <w:rPr>
                <w:sz w:val="20"/>
                <w:szCs w:val="20"/>
                <w:color w:val="auto"/>
              </w:rPr>
            </w:pPr>
            <w:r>
              <w:rPr>
                <w:rFonts w:ascii="Arial" w:cs="Arial" w:eastAsia="Arial" w:hAnsi="Arial"/>
                <w:sz w:val="12"/>
                <w:szCs w:val="12"/>
                <w:color w:val="auto"/>
              </w:rPr>
              <w:t>Liquidation preference of perpetual preferred equity</w:t>
            </w:r>
          </w:p>
        </w:tc>
        <w:tc>
          <w:tcPr>
            <w:tcW w:w="1640" w:type="dxa"/>
            <w:vAlign w:val="bottom"/>
            <w:shd w:val="clear" w:color="auto" w:fill="DBDBDB"/>
          </w:tcPr>
          <w:p>
            <w:pPr>
              <w:spacing w:after="0"/>
              <w:rPr>
                <w:sz w:val="13"/>
                <w:szCs w:val="13"/>
                <w:color w:val="auto"/>
              </w:rPr>
            </w:pPr>
          </w:p>
        </w:tc>
        <w:tc>
          <w:tcPr>
            <w:tcW w:w="88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rPr>
              <w:t>1,033,750</w:t>
            </w:r>
          </w:p>
        </w:tc>
      </w:tr>
      <w:tr>
        <w:trPr>
          <w:trHeight w:val="153"/>
        </w:trPr>
        <w:tc>
          <w:tcPr>
            <w:tcW w:w="8780" w:type="dxa"/>
            <w:vAlign w:val="bottom"/>
          </w:tcPr>
          <w:p>
            <w:pPr>
              <w:spacing w:after="0"/>
              <w:rPr>
                <w:sz w:val="20"/>
                <w:szCs w:val="20"/>
                <w:color w:val="auto"/>
              </w:rPr>
            </w:pPr>
            <w:r>
              <w:rPr>
                <w:rFonts w:ascii="Arial" w:cs="Arial" w:eastAsia="Arial" w:hAnsi="Arial"/>
                <w:sz w:val="12"/>
                <w:szCs w:val="12"/>
                <w:color w:val="auto"/>
              </w:rPr>
              <w:t>Insider ownership of shares and OP units as of May 3, 2021</w:t>
            </w:r>
          </w:p>
        </w:tc>
        <w:tc>
          <w:tcPr>
            <w:tcW w:w="164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9.4%</w:t>
            </w:r>
          </w:p>
        </w:tc>
      </w:tr>
      <w:tr>
        <w:trPr>
          <w:trHeight w:val="153"/>
        </w:trPr>
        <w:tc>
          <w:tcPr>
            <w:tcW w:w="8780" w:type="dxa"/>
            <w:vAlign w:val="bottom"/>
            <w:shd w:val="clear" w:color="auto" w:fill="DBDBDB"/>
          </w:tcPr>
          <w:p>
            <w:pPr>
              <w:spacing w:after="0"/>
              <w:rPr>
                <w:sz w:val="20"/>
                <w:szCs w:val="20"/>
                <w:color w:val="auto"/>
              </w:rPr>
            </w:pPr>
            <w:r>
              <w:rPr>
                <w:rFonts w:ascii="Arial" w:cs="Arial" w:eastAsia="Arial" w:hAnsi="Arial"/>
                <w:sz w:val="12"/>
                <w:szCs w:val="12"/>
                <w:color w:val="auto"/>
              </w:rPr>
              <w:t>Digital Assets Under Management ("AUM")</w:t>
            </w:r>
          </w:p>
        </w:tc>
        <w:tc>
          <w:tcPr>
            <w:tcW w:w="1640" w:type="dxa"/>
            <w:vAlign w:val="bottom"/>
            <w:shd w:val="clear" w:color="auto" w:fill="DBDBDB"/>
          </w:tcPr>
          <w:p>
            <w:pPr>
              <w:spacing w:after="0"/>
              <w:rPr>
                <w:sz w:val="13"/>
                <w:szCs w:val="13"/>
                <w:color w:val="auto"/>
              </w:rPr>
            </w:pPr>
          </w:p>
        </w:tc>
        <w:tc>
          <w:tcPr>
            <w:tcW w:w="88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rPr>
              <w:t>$32.0 billion</w:t>
            </w:r>
          </w:p>
        </w:tc>
      </w:tr>
      <w:tr>
        <w:trPr>
          <w:trHeight w:val="153"/>
        </w:trPr>
        <w:tc>
          <w:tcPr>
            <w:tcW w:w="8780" w:type="dxa"/>
            <w:vAlign w:val="bottom"/>
          </w:tcPr>
          <w:p>
            <w:pPr>
              <w:spacing w:after="0"/>
              <w:rPr>
                <w:sz w:val="20"/>
                <w:szCs w:val="20"/>
                <w:color w:val="auto"/>
              </w:rPr>
            </w:pPr>
            <w:r>
              <w:rPr>
                <w:rFonts w:ascii="Arial" w:cs="Arial" w:eastAsia="Arial" w:hAnsi="Arial"/>
                <w:sz w:val="12"/>
                <w:szCs w:val="12"/>
                <w:color w:val="auto"/>
              </w:rPr>
              <w:t>% of total company AUM</w:t>
            </w:r>
          </w:p>
        </w:tc>
        <w:tc>
          <w:tcPr>
            <w:tcW w:w="164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69.4%</w:t>
            </w:r>
          </w:p>
        </w:tc>
      </w:tr>
      <w:tr>
        <w:trPr>
          <w:trHeight w:val="153"/>
        </w:trPr>
        <w:tc>
          <w:tcPr>
            <w:tcW w:w="8780" w:type="dxa"/>
            <w:vAlign w:val="bottom"/>
            <w:shd w:val="clear" w:color="auto" w:fill="DBDBDB"/>
          </w:tcPr>
          <w:p>
            <w:pPr>
              <w:spacing w:after="0"/>
              <w:rPr>
                <w:sz w:val="20"/>
                <w:szCs w:val="20"/>
                <w:color w:val="auto"/>
              </w:rPr>
            </w:pPr>
            <w:r>
              <w:rPr>
                <w:rFonts w:ascii="Arial" w:cs="Arial" w:eastAsia="Arial" w:hAnsi="Arial"/>
                <w:sz w:val="12"/>
                <w:szCs w:val="12"/>
                <w:color w:val="auto"/>
              </w:rPr>
              <w:t>Digital Fee Earning Equity Under Management ("FEEUM")</w:t>
            </w:r>
          </w:p>
        </w:tc>
        <w:tc>
          <w:tcPr>
            <w:tcW w:w="1640" w:type="dxa"/>
            <w:vAlign w:val="bottom"/>
            <w:shd w:val="clear" w:color="auto" w:fill="DBDBDB"/>
          </w:tcPr>
          <w:p>
            <w:pPr>
              <w:spacing w:after="0"/>
              <w:rPr>
                <w:sz w:val="13"/>
                <w:szCs w:val="13"/>
                <w:color w:val="auto"/>
              </w:rPr>
            </w:pPr>
          </w:p>
        </w:tc>
        <w:tc>
          <w:tcPr>
            <w:tcW w:w="88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rPr>
              <w:t>$12.9 billion</w:t>
            </w:r>
          </w:p>
        </w:tc>
      </w:tr>
      <w:tr>
        <w:trPr>
          <w:trHeight w:val="153"/>
        </w:trPr>
        <w:tc>
          <w:tcPr>
            <w:tcW w:w="8780" w:type="dxa"/>
            <w:vAlign w:val="bottom"/>
          </w:tcPr>
          <w:p>
            <w:pPr>
              <w:spacing w:after="0"/>
              <w:rPr>
                <w:sz w:val="20"/>
                <w:szCs w:val="20"/>
                <w:color w:val="auto"/>
              </w:rPr>
            </w:pPr>
            <w:r>
              <w:rPr>
                <w:rFonts w:ascii="Arial" w:cs="Arial" w:eastAsia="Arial" w:hAnsi="Arial"/>
                <w:sz w:val="12"/>
                <w:szCs w:val="12"/>
                <w:color w:val="auto"/>
              </w:rPr>
              <w:t>% of total company FEEUM</w:t>
            </w:r>
          </w:p>
        </w:tc>
        <w:tc>
          <w:tcPr>
            <w:tcW w:w="164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71.6%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7" w:lineRule="exact"/>
        <w:rPr>
          <w:sz w:val="20"/>
          <w:szCs w:val="20"/>
          <w:color w:val="auto"/>
        </w:rPr>
      </w:pPr>
    </w:p>
    <w:p>
      <w:pPr>
        <w:ind w:left="8"/>
        <w:spacing w:after="0"/>
        <w:rPr>
          <w:sz w:val="20"/>
          <w:szCs w:val="20"/>
          <w:color w:val="auto"/>
        </w:rPr>
      </w:pPr>
      <w:r>
        <w:rPr>
          <w:rFonts w:ascii="Arial" w:cs="Arial" w:eastAsia="Arial" w:hAnsi="Arial"/>
          <w:sz w:val="8"/>
          <w:szCs w:val="8"/>
          <w:color w:val="424242"/>
        </w:rPr>
        <w:t>In evaluating the information presented throughout this presentation see the appendices to this presentation for definitions and reconciliations of non-GAAP financial measures to GAAP measures.</w:t>
      </w:r>
    </w:p>
    <w:p>
      <w:pPr>
        <w:spacing w:after="0" w:line="7" w:lineRule="exact"/>
        <w:rPr>
          <w:sz w:val="20"/>
          <w:szCs w:val="20"/>
          <w:color w:val="auto"/>
        </w:rPr>
      </w:pPr>
    </w:p>
    <w:p>
      <w:pPr>
        <w:ind w:left="208" w:right="60" w:hanging="208"/>
        <w:spacing w:after="0" w:line="258" w:lineRule="auto"/>
        <w:tabs>
          <w:tab w:leader="none" w:pos="188" w:val="left"/>
        </w:tabs>
        <w:numPr>
          <w:ilvl w:val="0"/>
          <w:numId w:val="17"/>
        </w:numPr>
        <w:rPr>
          <w:rFonts w:ascii="Arial" w:cs="Arial" w:eastAsia="Arial" w:hAnsi="Arial"/>
          <w:sz w:val="8"/>
          <w:szCs w:val="8"/>
          <w:color w:val="424242"/>
        </w:rPr>
      </w:pPr>
      <w:r>
        <w:rPr>
          <w:rFonts w:ascii="Arial" w:cs="Arial" w:eastAsia="Arial" w:hAnsi="Arial"/>
          <w:sz w:val="8"/>
          <w:szCs w:val="8"/>
          <w:color w:val="424242"/>
        </w:rPr>
        <w:t>Represents principal balance and excludes debt issuance costs, discounts and premiums. Excluded from above presentation is debt of assets which are presented under discontinued operations for the first quarter 2021, including, one hospitality portfolio under receivership, with related $780 million consolidated, or $702 million CLNY OP share, of debt, and substantially all of Other OED assets with related $884 million consolidated, or $331 million CLNY OP share, of debt.</w:t>
      </w:r>
    </w:p>
    <w:p>
      <w:pPr>
        <w:ind w:left="208" w:right="100" w:hanging="208"/>
        <w:spacing w:after="0" w:line="255" w:lineRule="auto"/>
        <w:tabs>
          <w:tab w:leader="none" w:pos="211" w:val="left"/>
        </w:tabs>
        <w:numPr>
          <w:ilvl w:val="0"/>
          <w:numId w:val="17"/>
        </w:numPr>
        <w:rPr>
          <w:rFonts w:ascii="Arial" w:cs="Arial" w:eastAsia="Arial" w:hAnsi="Arial"/>
          <w:sz w:val="8"/>
          <w:szCs w:val="8"/>
          <w:color w:val="424242"/>
        </w:rPr>
      </w:pPr>
      <w:r>
        <w:rPr>
          <w:rFonts w:ascii="Arial" w:cs="Arial" w:eastAsia="Arial" w:hAnsi="Arial"/>
          <w:sz w:val="8"/>
          <w:szCs w:val="8"/>
          <w:color w:val="424242"/>
        </w:rPr>
        <w:t>Shares and OP units outstanding include all vested and unvested restricted stock, but excludes LTIP units, performance stock units, performance based restricted stock units and Wafra’s warrants, of which the issuance and/or vesting are subject to the performance of the Company's stock price or the achievement of certain Company-specific metrics.</w:t>
      </w:r>
    </w:p>
    <w:p>
      <w:pPr>
        <w:spacing w:after="0" w:line="30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50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0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6</w:t>
            </w:r>
          </w:p>
        </w:tc>
      </w:tr>
    </w:tbl>
    <w:p>
      <w:pPr>
        <w:sectPr>
          <w:pgSz w:w="11900" w:h="16838" w:orient="portrait"/>
          <w:cols w:equalWidth="0" w:num="1">
            <w:col w:w="11308"/>
          </w:cols>
          <w:pgMar w:left="292" w:top="158" w:right="299" w:bottom="1440" w:gutter="0" w:footer="0" w:header="0"/>
        </w:sectPr>
      </w:pPr>
    </w:p>
    <w:bookmarkStart w:id="21" w:name="page22"/>
    <w:bookmarkEnd w:id="21"/>
    <w:p>
      <w:pPr>
        <w:ind w:left="8"/>
        <w:spacing w:after="0"/>
        <w:rPr>
          <w:sz w:val="20"/>
          <w:szCs w:val="20"/>
          <w:color w:val="auto"/>
        </w:rPr>
      </w:pPr>
      <w:r>
        <w:rPr>
          <w:rFonts w:ascii="Arial" w:cs="Arial" w:eastAsia="Arial" w:hAnsi="Arial"/>
          <w:sz w:val="29"/>
          <w:szCs w:val="29"/>
          <w:color w:val="auto"/>
        </w:rPr>
        <w:t>Ib. Financial Overview - Summary of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8340" w:type="dxa"/>
            <w:vAlign w:val="bottom"/>
            <w:vMerge w:val="restart"/>
          </w:tcPr>
          <w:p>
            <w:pPr>
              <w:ind w:left="80"/>
              <w:spacing w:after="0"/>
              <w:rPr>
                <w:sz w:val="20"/>
                <w:szCs w:val="20"/>
                <w:color w:val="auto"/>
              </w:rPr>
            </w:pPr>
            <w:r>
              <w:rPr>
                <w:rFonts w:ascii="Arial" w:cs="Arial" w:eastAsia="Arial" w:hAnsi="Arial"/>
                <w:sz w:val="11"/>
                <w:szCs w:val="11"/>
                <w:i w:val="1"/>
                <w:iCs w:val="1"/>
                <w:color w:val="auto"/>
              </w:rPr>
              <w:t>($ in thousands; as of or for the three months ended March 31, 2021, unless otherwise noted)</w:t>
            </w:r>
          </w:p>
        </w:tc>
        <w:tc>
          <w:tcPr>
            <w:tcW w:w="1500" w:type="dxa"/>
            <w:vAlign w:val="bottom"/>
            <w:gridSpan w:val="3"/>
            <w:vMerge w:val="restart"/>
          </w:tcPr>
          <w:p>
            <w:pPr>
              <w:jc w:val="right"/>
              <w:ind w:right="320"/>
              <w:spacing w:after="0"/>
              <w:rPr>
                <w:sz w:val="20"/>
                <w:szCs w:val="20"/>
                <w:color w:val="auto"/>
              </w:rPr>
            </w:pPr>
            <w:r>
              <w:rPr>
                <w:rFonts w:ascii="Arial" w:cs="Arial" w:eastAsia="Arial" w:hAnsi="Arial"/>
                <w:sz w:val="11"/>
                <w:szCs w:val="11"/>
                <w:b w:val="1"/>
                <w:bCs w:val="1"/>
                <w:color w:val="auto"/>
              </w:rPr>
              <w:t>Consolidated amount</w:t>
            </w:r>
          </w:p>
        </w:tc>
        <w:tc>
          <w:tcPr>
            <w:tcW w:w="1460" w:type="dxa"/>
            <w:vAlign w:val="bottom"/>
          </w:tcPr>
          <w:p>
            <w:pPr>
              <w:jc w:val="right"/>
              <w:ind w:right="282"/>
              <w:spacing w:after="0"/>
              <w:rPr>
                <w:sz w:val="20"/>
                <w:szCs w:val="20"/>
                <w:color w:val="auto"/>
              </w:rPr>
            </w:pPr>
            <w:r>
              <w:rPr>
                <w:rFonts w:ascii="Arial" w:cs="Arial" w:eastAsia="Arial" w:hAnsi="Arial"/>
                <w:sz w:val="11"/>
                <w:szCs w:val="11"/>
                <w:b w:val="1"/>
                <w:bCs w:val="1"/>
                <w:color w:val="auto"/>
              </w:rPr>
              <w:t>CLNY OP share of</w:t>
            </w:r>
          </w:p>
        </w:tc>
        <w:tc>
          <w:tcPr>
            <w:tcW w:w="0" w:type="dxa"/>
            <w:vAlign w:val="bottom"/>
          </w:tcPr>
          <w:p>
            <w:pPr>
              <w:spacing w:after="0"/>
              <w:rPr>
                <w:sz w:val="1"/>
                <w:szCs w:val="1"/>
                <w:color w:val="auto"/>
              </w:rPr>
            </w:pPr>
          </w:p>
        </w:tc>
      </w:tr>
      <w:tr>
        <w:trPr>
          <w:trHeight w:val="142"/>
        </w:trPr>
        <w:tc>
          <w:tcPr>
            <w:tcW w:w="8340" w:type="dxa"/>
            <w:vAlign w:val="bottom"/>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460" w:type="dxa"/>
            <w:vAlign w:val="bottom"/>
          </w:tcPr>
          <w:p>
            <w:pPr>
              <w:jc w:val="right"/>
              <w:ind w:right="222"/>
              <w:spacing w:after="0"/>
              <w:rPr>
                <w:sz w:val="20"/>
                <w:szCs w:val="20"/>
                <w:color w:val="auto"/>
              </w:rPr>
            </w:pPr>
            <w:r>
              <w:rPr>
                <w:rFonts w:ascii="Arial" w:cs="Arial" w:eastAsia="Arial" w:hAnsi="Arial"/>
                <w:sz w:val="11"/>
                <w:szCs w:val="11"/>
                <w:b w:val="1"/>
                <w:bCs w:val="1"/>
                <w:color w:val="auto"/>
              </w:rPr>
              <w:t>consolidated amount</w:t>
            </w:r>
          </w:p>
        </w:tc>
        <w:tc>
          <w:tcPr>
            <w:tcW w:w="0" w:type="dxa"/>
            <w:vAlign w:val="bottom"/>
          </w:tcPr>
          <w:p>
            <w:pPr>
              <w:spacing w:after="0"/>
              <w:rPr>
                <w:sz w:val="1"/>
                <w:szCs w:val="1"/>
                <w:color w:val="auto"/>
              </w:rPr>
            </w:pPr>
          </w:p>
        </w:tc>
      </w:tr>
      <w:tr>
        <w:trPr>
          <w:trHeight w:val="135"/>
        </w:trPr>
        <w:tc>
          <w:tcPr>
            <w:tcW w:w="8340" w:type="dxa"/>
            <w:vAlign w:val="bottom"/>
          </w:tcPr>
          <w:p>
            <w:pPr>
              <w:spacing w:after="0" w:line="136" w:lineRule="exact"/>
              <w:rPr>
                <w:sz w:val="20"/>
                <w:szCs w:val="20"/>
                <w:color w:val="auto"/>
              </w:rPr>
            </w:pPr>
            <w:r>
              <w:rPr>
                <w:rFonts w:ascii="Arial" w:cs="Arial" w:eastAsia="Arial" w:hAnsi="Arial"/>
                <w:sz w:val="12"/>
                <w:szCs w:val="12"/>
                <w:b w:val="1"/>
                <w:bCs w:val="1"/>
                <w:i w:val="1"/>
                <w:iCs w:val="1"/>
                <w:color w:val="003366"/>
              </w:rPr>
              <w:t>Digital Investment Management</w:t>
            </w:r>
            <w:r>
              <w:rPr>
                <w:rFonts w:ascii="Arial" w:cs="Arial" w:eastAsia="Arial" w:hAnsi="Arial"/>
                <w:sz w:val="15"/>
                <w:szCs w:val="15"/>
                <w:b w:val="1"/>
                <w:bCs w:val="1"/>
                <w:i w:val="1"/>
                <w:iCs w:val="1"/>
                <w:color w:val="003366"/>
                <w:vertAlign w:val="superscript"/>
              </w:rPr>
              <w:t>(1)</w:t>
            </w:r>
          </w:p>
        </w:tc>
        <w:tc>
          <w:tcPr>
            <w:tcW w:w="1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340" w:type="dxa"/>
            <w:vAlign w:val="bottom"/>
            <w:shd w:val="clear" w:color="auto" w:fill="DBDBDB"/>
          </w:tcPr>
          <w:p>
            <w:pPr>
              <w:spacing w:after="0"/>
              <w:rPr>
                <w:sz w:val="20"/>
                <w:szCs w:val="20"/>
                <w:color w:val="auto"/>
              </w:rPr>
            </w:pPr>
            <w:r>
              <w:rPr>
                <w:rFonts w:ascii="Arial" w:cs="Arial" w:eastAsia="Arial" w:hAnsi="Arial"/>
                <w:sz w:val="12"/>
                <w:szCs w:val="12"/>
                <w:color w:val="auto"/>
              </w:rPr>
              <w:t>Third-party AUM ($ in millions)</w:t>
            </w:r>
          </w:p>
        </w:tc>
        <w:tc>
          <w:tcPr>
            <w:tcW w:w="1500" w:type="dxa"/>
            <w:vAlign w:val="bottom"/>
            <w:gridSpan w:val="3"/>
            <w:shd w:val="clear" w:color="auto" w:fill="DBDBDB"/>
          </w:tcPr>
          <w:p>
            <w:pPr>
              <w:jc w:val="right"/>
              <w:ind w:right="80"/>
              <w:spacing w:after="0"/>
              <w:rPr>
                <w:sz w:val="20"/>
                <w:szCs w:val="20"/>
                <w:color w:val="auto"/>
              </w:rPr>
            </w:pPr>
            <w:r>
              <w:rPr>
                <w:rFonts w:ascii="Arial" w:cs="Arial" w:eastAsia="Arial" w:hAnsi="Arial"/>
                <w:sz w:val="12"/>
                <w:szCs w:val="12"/>
                <w:color w:val="auto"/>
              </w:rPr>
              <w:t>$</w:t>
            </w:r>
          </w:p>
        </w:tc>
        <w:tc>
          <w:tcPr>
            <w:tcW w:w="146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30,711</w:t>
            </w:r>
          </w:p>
        </w:tc>
        <w:tc>
          <w:tcPr>
            <w:tcW w:w="0" w:type="dxa"/>
            <w:vAlign w:val="bottom"/>
          </w:tcPr>
          <w:p>
            <w:pPr>
              <w:spacing w:after="0"/>
              <w:rPr>
                <w:sz w:val="1"/>
                <w:szCs w:val="1"/>
                <w:color w:val="auto"/>
              </w:rPr>
            </w:pPr>
          </w:p>
        </w:tc>
      </w:tr>
      <w:tr>
        <w:trPr>
          <w:trHeight w:val="153"/>
        </w:trPr>
        <w:tc>
          <w:tcPr>
            <w:tcW w:w="8340" w:type="dxa"/>
            <w:vAlign w:val="bottom"/>
          </w:tcPr>
          <w:p>
            <w:pPr>
              <w:spacing w:after="0"/>
              <w:rPr>
                <w:sz w:val="20"/>
                <w:szCs w:val="20"/>
                <w:color w:val="auto"/>
              </w:rPr>
            </w:pPr>
            <w:r>
              <w:rPr>
                <w:rFonts w:ascii="Arial" w:cs="Arial" w:eastAsia="Arial" w:hAnsi="Arial"/>
                <w:sz w:val="12"/>
                <w:szCs w:val="12"/>
                <w:color w:val="auto"/>
              </w:rPr>
              <w:t>FEEUM ($ in millions)</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12,853</w:t>
            </w:r>
          </w:p>
        </w:tc>
        <w:tc>
          <w:tcPr>
            <w:tcW w:w="0" w:type="dxa"/>
            <w:vAlign w:val="bottom"/>
          </w:tcPr>
          <w:p>
            <w:pPr>
              <w:spacing w:after="0"/>
              <w:rPr>
                <w:sz w:val="1"/>
                <w:szCs w:val="1"/>
                <w:color w:val="auto"/>
              </w:rPr>
            </w:pPr>
          </w:p>
        </w:tc>
      </w:tr>
      <w:tr>
        <w:trPr>
          <w:trHeight w:val="153"/>
        </w:trPr>
        <w:tc>
          <w:tcPr>
            <w:tcW w:w="8340" w:type="dxa"/>
            <w:vAlign w:val="bottom"/>
            <w:shd w:val="clear" w:color="auto" w:fill="DBDBDB"/>
          </w:tcPr>
          <w:p>
            <w:pPr>
              <w:spacing w:after="0" w:line="153" w:lineRule="exact"/>
              <w:rPr>
                <w:sz w:val="20"/>
                <w:szCs w:val="20"/>
                <w:color w:val="auto"/>
              </w:rPr>
            </w:pPr>
            <w:r>
              <w:rPr>
                <w:rFonts w:ascii="Arial" w:cs="Arial" w:eastAsia="Arial" w:hAnsi="Arial"/>
                <w:sz w:val="12"/>
                <w:szCs w:val="12"/>
                <w:color w:val="auto"/>
              </w:rPr>
              <w:t>Q1 2021 fee related earnings (FRE)</w:t>
            </w:r>
            <w:r>
              <w:rPr>
                <w:rFonts w:ascii="Arial" w:cs="Arial" w:eastAsia="Arial" w:hAnsi="Arial"/>
                <w:sz w:val="15"/>
                <w:szCs w:val="15"/>
                <w:color w:val="auto"/>
                <w:vertAlign w:val="superscript"/>
              </w:rPr>
              <w:t>(2)(3)</w:t>
            </w:r>
          </w:p>
        </w:tc>
        <w:tc>
          <w:tcPr>
            <w:tcW w:w="12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46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18,200</w:t>
            </w:r>
          </w:p>
        </w:tc>
        <w:tc>
          <w:tcPr>
            <w:tcW w:w="0" w:type="dxa"/>
            <w:vAlign w:val="bottom"/>
          </w:tcPr>
          <w:p>
            <w:pPr>
              <w:spacing w:after="0"/>
              <w:rPr>
                <w:sz w:val="1"/>
                <w:szCs w:val="1"/>
                <w:color w:val="auto"/>
              </w:rPr>
            </w:pPr>
          </w:p>
        </w:tc>
      </w:tr>
      <w:tr>
        <w:trPr>
          <w:trHeight w:val="261"/>
        </w:trPr>
        <w:tc>
          <w:tcPr>
            <w:tcW w:w="8340" w:type="dxa"/>
            <w:vAlign w:val="bottom"/>
          </w:tcPr>
          <w:p>
            <w:pPr>
              <w:spacing w:after="0"/>
              <w:rPr>
                <w:sz w:val="20"/>
                <w:szCs w:val="20"/>
                <w:color w:val="auto"/>
              </w:rPr>
            </w:pPr>
            <w:r>
              <w:rPr>
                <w:rFonts w:ascii="Arial" w:cs="Arial" w:eastAsia="Arial" w:hAnsi="Arial"/>
                <w:sz w:val="12"/>
                <w:szCs w:val="12"/>
                <w:b w:val="1"/>
                <w:bCs w:val="1"/>
                <w:i w:val="1"/>
                <w:iCs w:val="1"/>
                <w:color w:val="003366"/>
              </w:rPr>
              <w:t>Digital Operating</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8340" w:type="dxa"/>
            <w:vAlign w:val="bottom"/>
            <w:shd w:val="clear" w:color="auto" w:fill="DBDBDB"/>
          </w:tcPr>
          <w:p>
            <w:pPr>
              <w:spacing w:after="0" w:line="153" w:lineRule="exact"/>
              <w:rPr>
                <w:sz w:val="20"/>
                <w:szCs w:val="20"/>
                <w:color w:val="auto"/>
              </w:rPr>
            </w:pPr>
            <w:r>
              <w:rPr>
                <w:rFonts w:ascii="Arial" w:cs="Arial" w:eastAsia="Arial" w:hAnsi="Arial"/>
                <w:sz w:val="12"/>
                <w:szCs w:val="12"/>
                <w:color w:val="auto"/>
              </w:rPr>
              <w:t>Q1 2021 Adjusted EBITDA</w:t>
            </w:r>
            <w:r>
              <w:rPr>
                <w:rFonts w:ascii="Arial" w:cs="Arial" w:eastAsia="Arial" w:hAnsi="Arial"/>
                <w:sz w:val="15"/>
                <w:szCs w:val="15"/>
                <w:color w:val="auto"/>
                <w:vertAlign w:val="superscript"/>
              </w:rPr>
              <w:t>(4)</w:t>
            </w:r>
          </w:p>
        </w:tc>
        <w:tc>
          <w:tcPr>
            <w:tcW w:w="1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80,800</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46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14,440</w:t>
            </w:r>
          </w:p>
        </w:tc>
        <w:tc>
          <w:tcPr>
            <w:tcW w:w="0" w:type="dxa"/>
            <w:vAlign w:val="bottom"/>
          </w:tcPr>
          <w:p>
            <w:pPr>
              <w:spacing w:after="0"/>
              <w:rPr>
                <w:sz w:val="1"/>
                <w:szCs w:val="1"/>
                <w:color w:val="auto"/>
              </w:rPr>
            </w:pPr>
          </w:p>
        </w:tc>
      </w:tr>
      <w:tr>
        <w:trPr>
          <w:trHeight w:val="200"/>
        </w:trPr>
        <w:tc>
          <w:tcPr>
            <w:tcW w:w="8340" w:type="dxa"/>
            <w:vAlign w:val="bottom"/>
          </w:tcPr>
          <w:p>
            <w:pPr>
              <w:ind w:left="140"/>
              <w:spacing w:after="0"/>
              <w:rPr>
                <w:sz w:val="20"/>
                <w:szCs w:val="20"/>
                <w:color w:val="auto"/>
              </w:rPr>
            </w:pPr>
            <w:r>
              <w:rPr>
                <w:rFonts w:ascii="Arial" w:cs="Arial" w:eastAsia="Arial" w:hAnsi="Arial"/>
                <w:sz w:val="12"/>
                <w:szCs w:val="12"/>
                <w:color w:val="auto"/>
              </w:rPr>
              <w:t>Investment-level non-recourse financing</w:t>
            </w:r>
            <w:r>
              <w:rPr>
                <w:rFonts w:ascii="Arial" w:cs="Arial" w:eastAsia="Arial" w:hAnsi="Arial"/>
                <w:sz w:val="15"/>
                <w:szCs w:val="15"/>
                <w:color w:val="auto"/>
                <w:vertAlign w:val="superscript"/>
              </w:rPr>
              <w:t>(5)(6)</w:t>
            </w:r>
          </w:p>
        </w:tc>
        <w:tc>
          <w:tcPr>
            <w:tcW w:w="1260" w:type="dxa"/>
            <w:vAlign w:val="bottom"/>
          </w:tcPr>
          <w:p>
            <w:pPr>
              <w:jc w:val="right"/>
              <w:spacing w:after="0"/>
              <w:rPr>
                <w:sz w:val="20"/>
                <w:szCs w:val="20"/>
                <w:color w:val="auto"/>
              </w:rPr>
            </w:pPr>
            <w:r>
              <w:rPr>
                <w:rFonts w:ascii="Arial" w:cs="Arial" w:eastAsia="Arial" w:hAnsi="Arial"/>
                <w:sz w:val="12"/>
                <w:szCs w:val="12"/>
                <w:color w:val="auto"/>
              </w:rPr>
              <w:t>3,369,338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527,520</w:t>
            </w:r>
          </w:p>
        </w:tc>
        <w:tc>
          <w:tcPr>
            <w:tcW w:w="0" w:type="dxa"/>
            <w:vAlign w:val="bottom"/>
          </w:tcPr>
          <w:p>
            <w:pPr>
              <w:spacing w:after="0"/>
              <w:rPr>
                <w:sz w:val="1"/>
                <w:szCs w:val="1"/>
                <w:color w:val="auto"/>
              </w:rPr>
            </w:pPr>
          </w:p>
        </w:tc>
      </w:tr>
      <w:tr>
        <w:trPr>
          <w:trHeight w:val="322"/>
        </w:trPr>
        <w:tc>
          <w:tcPr>
            <w:tcW w:w="8340" w:type="dxa"/>
            <w:vAlign w:val="bottom"/>
          </w:tcPr>
          <w:p>
            <w:pPr>
              <w:spacing w:after="0"/>
              <w:rPr>
                <w:sz w:val="20"/>
                <w:szCs w:val="20"/>
                <w:color w:val="auto"/>
              </w:rPr>
            </w:pPr>
            <w:r>
              <w:rPr>
                <w:rFonts w:ascii="Arial" w:cs="Arial" w:eastAsia="Arial" w:hAnsi="Arial"/>
                <w:sz w:val="12"/>
                <w:szCs w:val="12"/>
                <w:b w:val="1"/>
                <w:bCs w:val="1"/>
                <w:i w:val="1"/>
                <w:iCs w:val="1"/>
                <w:color w:val="003366"/>
              </w:rPr>
              <w:t>Digital Other</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340" w:type="dxa"/>
            <w:vAlign w:val="bottom"/>
            <w:shd w:val="clear" w:color="auto" w:fill="DBDBDB"/>
          </w:tcPr>
          <w:p>
            <w:pPr>
              <w:spacing w:after="0"/>
              <w:rPr>
                <w:sz w:val="20"/>
                <w:szCs w:val="20"/>
                <w:color w:val="auto"/>
              </w:rPr>
            </w:pPr>
            <w:r>
              <w:rPr>
                <w:rFonts w:ascii="Arial" w:cs="Arial" w:eastAsia="Arial" w:hAnsi="Arial"/>
                <w:sz w:val="12"/>
                <w:szCs w:val="12"/>
                <w:color w:val="auto"/>
              </w:rPr>
              <w:t>Net carrying value</w:t>
            </w:r>
          </w:p>
        </w:tc>
        <w:tc>
          <w:tcPr>
            <w:tcW w:w="1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353,776</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46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243,726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6" w:lineRule="exact"/>
        <w:rPr>
          <w:sz w:val="20"/>
          <w:szCs w:val="20"/>
          <w:color w:val="auto"/>
        </w:rPr>
      </w:pPr>
    </w:p>
    <w:p>
      <w:pPr>
        <w:ind w:left="188" w:hanging="188"/>
        <w:spacing w:after="0"/>
        <w:tabs>
          <w:tab w:leader="none" w:pos="188" w:val="left"/>
        </w:tabs>
        <w:numPr>
          <w:ilvl w:val="0"/>
          <w:numId w:val="18"/>
        </w:numPr>
        <w:rPr>
          <w:rFonts w:ascii="Arial" w:cs="Arial" w:eastAsia="Arial" w:hAnsi="Arial"/>
          <w:sz w:val="8"/>
          <w:szCs w:val="8"/>
          <w:color w:val="424242"/>
        </w:rPr>
      </w:pPr>
      <w:r>
        <w:rPr>
          <w:rFonts w:ascii="Arial" w:cs="Arial" w:eastAsia="Arial" w:hAnsi="Arial"/>
          <w:sz w:val="8"/>
          <w:szCs w:val="8"/>
          <w:color w:val="424242"/>
        </w:rPr>
        <w:t>In July 2020, the Company closed on a strategic investment from Wafra for a 31.5% ownership stake in the Digital Investment Management business.</w:t>
      </w:r>
    </w:p>
    <w:p>
      <w:pPr>
        <w:spacing w:after="0" w:line="7" w:lineRule="exact"/>
        <w:rPr>
          <w:rFonts w:ascii="Arial" w:cs="Arial" w:eastAsia="Arial" w:hAnsi="Arial"/>
          <w:sz w:val="8"/>
          <w:szCs w:val="8"/>
          <w:color w:val="424242"/>
        </w:rPr>
      </w:pPr>
    </w:p>
    <w:p>
      <w:pPr>
        <w:ind w:left="188" w:hanging="188"/>
        <w:spacing w:after="0"/>
        <w:tabs>
          <w:tab w:leader="none" w:pos="188" w:val="left"/>
        </w:tabs>
        <w:numPr>
          <w:ilvl w:val="0"/>
          <w:numId w:val="18"/>
        </w:numPr>
        <w:rPr>
          <w:rFonts w:ascii="Arial" w:cs="Arial" w:eastAsia="Arial" w:hAnsi="Arial"/>
          <w:sz w:val="8"/>
          <w:szCs w:val="8"/>
          <w:color w:val="424242"/>
        </w:rPr>
      </w:pPr>
      <w:r>
        <w:rPr>
          <w:rFonts w:ascii="Arial" w:cs="Arial" w:eastAsia="Arial" w:hAnsi="Arial"/>
          <w:sz w:val="8"/>
          <w:szCs w:val="8"/>
          <w:color w:val="424242"/>
        </w:rPr>
        <w:t>For a reconciliation of net income/(loss) to FRE, please refer to the appendix to this presentation.</w:t>
      </w:r>
    </w:p>
    <w:p>
      <w:pPr>
        <w:spacing w:after="0" w:line="7" w:lineRule="exact"/>
        <w:rPr>
          <w:rFonts w:ascii="Arial" w:cs="Arial" w:eastAsia="Arial" w:hAnsi="Arial"/>
          <w:sz w:val="8"/>
          <w:szCs w:val="8"/>
          <w:color w:val="424242"/>
        </w:rPr>
      </w:pPr>
    </w:p>
    <w:p>
      <w:pPr>
        <w:ind w:left="188" w:hanging="188"/>
        <w:spacing w:after="0"/>
        <w:tabs>
          <w:tab w:leader="none" w:pos="188" w:val="left"/>
        </w:tabs>
        <w:numPr>
          <w:ilvl w:val="0"/>
          <w:numId w:val="18"/>
        </w:numPr>
        <w:rPr>
          <w:rFonts w:ascii="Arial" w:cs="Arial" w:eastAsia="Arial" w:hAnsi="Arial"/>
          <w:sz w:val="8"/>
          <w:szCs w:val="8"/>
          <w:color w:val="424242"/>
        </w:rPr>
      </w:pPr>
      <w:r>
        <w:rPr>
          <w:rFonts w:ascii="Arial" w:cs="Arial" w:eastAsia="Arial" w:hAnsi="Arial"/>
          <w:sz w:val="8"/>
          <w:szCs w:val="8"/>
          <w:color w:val="424242"/>
        </w:rPr>
        <w:t>Includes a $2.7 million benefit from the unused portion of a one-time fourth quarter 2020 outperformance incentive expense.</w:t>
      </w:r>
    </w:p>
    <w:p>
      <w:pPr>
        <w:spacing w:after="0" w:line="7" w:lineRule="exact"/>
        <w:rPr>
          <w:rFonts w:ascii="Arial" w:cs="Arial" w:eastAsia="Arial" w:hAnsi="Arial"/>
          <w:sz w:val="8"/>
          <w:szCs w:val="8"/>
          <w:color w:val="424242"/>
        </w:rPr>
      </w:pPr>
    </w:p>
    <w:p>
      <w:pPr>
        <w:ind w:left="188" w:hanging="188"/>
        <w:spacing w:after="0"/>
        <w:tabs>
          <w:tab w:leader="none" w:pos="188" w:val="left"/>
        </w:tabs>
        <w:numPr>
          <w:ilvl w:val="0"/>
          <w:numId w:val="18"/>
        </w:numPr>
        <w:rPr>
          <w:rFonts w:ascii="Arial" w:cs="Arial" w:eastAsia="Arial" w:hAnsi="Arial"/>
          <w:sz w:val="8"/>
          <w:szCs w:val="8"/>
          <w:color w:val="424242"/>
        </w:rPr>
      </w:pPr>
      <w:r>
        <w:rPr>
          <w:rFonts w:ascii="Arial" w:cs="Arial" w:eastAsia="Arial" w:hAnsi="Arial"/>
          <w:sz w:val="8"/>
          <w:szCs w:val="8"/>
          <w:color w:val="424242"/>
        </w:rPr>
        <w:t>For a reconciliation of net income/(loss) to Adjusted EBITDA, please refer to the appendix to this presentation.</w:t>
      </w:r>
    </w:p>
    <w:p>
      <w:pPr>
        <w:spacing w:after="0" w:line="7" w:lineRule="exact"/>
        <w:rPr>
          <w:rFonts w:ascii="Arial" w:cs="Arial" w:eastAsia="Arial" w:hAnsi="Arial"/>
          <w:sz w:val="8"/>
          <w:szCs w:val="8"/>
          <w:color w:val="424242"/>
        </w:rPr>
      </w:pPr>
    </w:p>
    <w:p>
      <w:pPr>
        <w:ind w:left="188" w:hanging="188"/>
        <w:spacing w:after="0"/>
        <w:tabs>
          <w:tab w:leader="none" w:pos="188" w:val="left"/>
        </w:tabs>
        <w:numPr>
          <w:ilvl w:val="0"/>
          <w:numId w:val="18"/>
        </w:numPr>
        <w:rPr>
          <w:rFonts w:ascii="Arial" w:cs="Arial" w:eastAsia="Arial" w:hAnsi="Arial"/>
          <w:sz w:val="8"/>
          <w:szCs w:val="8"/>
          <w:color w:val="424242"/>
        </w:rPr>
      </w:pPr>
      <w:r>
        <w:rPr>
          <w:rFonts w:ascii="Arial" w:cs="Arial" w:eastAsia="Arial" w:hAnsi="Arial"/>
          <w:sz w:val="8"/>
          <w:szCs w:val="8"/>
          <w:color w:val="424242"/>
        </w:rPr>
        <w:t>Represents unpaid principal balance.</w:t>
      </w:r>
    </w:p>
    <w:p>
      <w:pPr>
        <w:spacing w:after="0" w:line="7" w:lineRule="exact"/>
        <w:rPr>
          <w:rFonts w:ascii="Arial" w:cs="Arial" w:eastAsia="Arial" w:hAnsi="Arial"/>
          <w:sz w:val="8"/>
          <w:szCs w:val="8"/>
          <w:color w:val="424242"/>
        </w:rPr>
      </w:pPr>
    </w:p>
    <w:p>
      <w:pPr>
        <w:ind w:left="208" w:right="80" w:hanging="208"/>
        <w:spacing w:after="0" w:line="247" w:lineRule="auto"/>
        <w:tabs>
          <w:tab w:leader="none" w:pos="188" w:val="left"/>
        </w:tabs>
        <w:numPr>
          <w:ilvl w:val="0"/>
          <w:numId w:val="18"/>
        </w:numPr>
        <w:rPr>
          <w:rFonts w:ascii="Arial" w:cs="Arial" w:eastAsia="Arial" w:hAnsi="Arial"/>
          <w:sz w:val="8"/>
          <w:szCs w:val="8"/>
          <w:color w:val="424242"/>
        </w:rPr>
      </w:pPr>
      <w:r>
        <w:rPr>
          <w:rFonts w:ascii="Arial" w:cs="Arial" w:eastAsia="Arial" w:hAnsi="Arial"/>
          <w:sz w:val="8"/>
          <w:szCs w:val="8"/>
          <w:color w:val="424242"/>
        </w:rPr>
        <w:t>In addition to debt presented, the Digital operating segment has $149 million consolidated, or $30 million CLNY OP share, of finance lease obligations, which represents the present value of payments on leases classified as finance leases, in the Other Liabilities line item on the Company’s Balance Sheet.</w:t>
      </w:r>
    </w:p>
    <w:p>
      <w:pPr>
        <w:spacing w:after="0" w:line="200" w:lineRule="exact"/>
        <w:rPr>
          <w:sz w:val="20"/>
          <w:szCs w:val="20"/>
          <w:color w:val="auto"/>
        </w:rPr>
      </w:pPr>
    </w:p>
    <w:p>
      <w:pPr>
        <w:spacing w:after="0" w:line="20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50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0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7</w:t>
            </w:r>
          </w:p>
        </w:tc>
      </w:tr>
    </w:tbl>
    <w:p>
      <w:pPr>
        <w:sectPr>
          <w:pgSz w:w="11900" w:h="16838" w:orient="portrait"/>
          <w:cols w:equalWidth="0" w:num="1">
            <w:col w:w="11308"/>
          </w:cols>
          <w:pgMar w:left="292" w:top="158" w:right="299" w:bottom="1440" w:gutter="0" w:footer="0" w:header="0"/>
        </w:sectPr>
      </w:pPr>
    </w:p>
    <w:bookmarkStart w:id="22" w:name="page23"/>
    <w:bookmarkEnd w:id="22"/>
    <w:p>
      <w:pPr>
        <w:ind w:left="8"/>
        <w:spacing w:after="0"/>
        <w:rPr>
          <w:sz w:val="20"/>
          <w:szCs w:val="20"/>
          <w:color w:val="auto"/>
        </w:rPr>
      </w:pPr>
      <w:r>
        <w:rPr>
          <w:rFonts w:ascii="Arial" w:cs="Arial" w:eastAsia="Arial" w:hAnsi="Arial"/>
          <w:sz w:val="29"/>
          <w:szCs w:val="29"/>
          <w:color w:val="auto"/>
        </w:rPr>
        <w:t>Ib. Financial Overview - Summary of Segments (cont’d)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7900" w:type="dxa"/>
            <w:vAlign w:val="bottom"/>
            <w:vMerge w:val="restart"/>
          </w:tcPr>
          <w:p>
            <w:pPr>
              <w:ind w:left="80"/>
              <w:spacing w:after="0"/>
              <w:rPr>
                <w:sz w:val="20"/>
                <w:szCs w:val="20"/>
                <w:color w:val="auto"/>
              </w:rPr>
            </w:pPr>
            <w:r>
              <w:rPr>
                <w:rFonts w:ascii="Arial" w:cs="Arial" w:eastAsia="Arial" w:hAnsi="Arial"/>
                <w:sz w:val="11"/>
                <w:szCs w:val="11"/>
                <w:i w:val="1"/>
                <w:iCs w:val="1"/>
                <w:color w:val="auto"/>
              </w:rPr>
              <w:t>($ in thousands except as noted; as of or for the three months ended March 31, 2021, unless otherwise noted)</w:t>
            </w:r>
          </w:p>
        </w:tc>
        <w:tc>
          <w:tcPr>
            <w:tcW w:w="140" w:type="dxa"/>
            <w:vAlign w:val="bottom"/>
          </w:tcPr>
          <w:p>
            <w:pPr>
              <w:spacing w:after="0"/>
              <w:rPr>
                <w:sz w:val="10"/>
                <w:szCs w:val="10"/>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Consolidated amount</w:t>
            </w:r>
          </w:p>
        </w:tc>
        <w:tc>
          <w:tcPr>
            <w:tcW w:w="160" w:type="dxa"/>
            <w:vAlign w:val="bottom"/>
          </w:tcPr>
          <w:p>
            <w:pPr>
              <w:spacing w:after="0"/>
              <w:rPr>
                <w:sz w:val="10"/>
                <w:szCs w:val="10"/>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9"/>
              </w:rPr>
              <w:t>CLNY OP share of</w:t>
            </w:r>
          </w:p>
        </w:tc>
        <w:tc>
          <w:tcPr>
            <w:tcW w:w="0" w:type="dxa"/>
            <w:vAlign w:val="bottom"/>
          </w:tcPr>
          <w:p>
            <w:pPr>
              <w:spacing w:after="0"/>
              <w:rPr>
                <w:sz w:val="1"/>
                <w:szCs w:val="1"/>
                <w:color w:val="auto"/>
              </w:rPr>
            </w:pPr>
          </w:p>
        </w:tc>
      </w:tr>
      <w:tr>
        <w:trPr>
          <w:trHeight w:val="142"/>
        </w:trPr>
        <w:tc>
          <w:tcPr>
            <w:tcW w:w="7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7"/>
              </w:rPr>
              <w:t>consolidated amount</w:t>
            </w:r>
          </w:p>
        </w:tc>
        <w:tc>
          <w:tcPr>
            <w:tcW w:w="0" w:type="dxa"/>
            <w:vAlign w:val="bottom"/>
          </w:tcPr>
          <w:p>
            <w:pPr>
              <w:spacing w:after="0"/>
              <w:rPr>
                <w:sz w:val="1"/>
                <w:szCs w:val="1"/>
                <w:color w:val="auto"/>
              </w:rPr>
            </w:pPr>
          </w:p>
        </w:tc>
      </w:tr>
      <w:tr>
        <w:trPr>
          <w:trHeight w:val="135"/>
        </w:trPr>
        <w:tc>
          <w:tcPr>
            <w:tcW w:w="7900" w:type="dxa"/>
            <w:vAlign w:val="bottom"/>
          </w:tcPr>
          <w:p>
            <w:pPr>
              <w:spacing w:after="0" w:line="136" w:lineRule="exact"/>
              <w:rPr>
                <w:sz w:val="20"/>
                <w:szCs w:val="20"/>
                <w:color w:val="auto"/>
              </w:rPr>
            </w:pPr>
            <w:r>
              <w:rPr>
                <w:rFonts w:ascii="Arial" w:cs="Arial" w:eastAsia="Arial" w:hAnsi="Arial"/>
                <w:sz w:val="12"/>
                <w:szCs w:val="12"/>
                <w:b w:val="1"/>
                <w:bCs w:val="1"/>
                <w:i w:val="1"/>
                <w:iCs w:val="1"/>
                <w:color w:val="003366"/>
              </w:rPr>
              <w:t>Wellness Infrastructure</w:t>
            </w: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DBDBDB"/>
          </w:tcPr>
          <w:p>
            <w:pPr>
              <w:spacing w:after="0" w:line="153" w:lineRule="exact"/>
              <w:rPr>
                <w:sz w:val="20"/>
                <w:szCs w:val="20"/>
                <w:color w:val="auto"/>
              </w:rPr>
            </w:pPr>
            <w:r>
              <w:rPr>
                <w:rFonts w:ascii="Arial" w:cs="Arial" w:eastAsia="Arial" w:hAnsi="Arial"/>
                <w:sz w:val="12"/>
                <w:szCs w:val="12"/>
                <w:color w:val="auto"/>
              </w:rPr>
              <w:t>Q1 2021 net operating income</w:t>
            </w:r>
            <w:r>
              <w:rPr>
                <w:rFonts w:ascii="Arial" w:cs="Arial" w:eastAsia="Arial" w:hAnsi="Arial"/>
                <w:sz w:val="15"/>
                <w:szCs w:val="15"/>
                <w:color w:val="auto"/>
                <w:vertAlign w:val="superscript"/>
              </w:rPr>
              <w:t>(1)(2)</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60,784</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43,104</w:t>
            </w:r>
          </w:p>
        </w:tc>
        <w:tc>
          <w:tcPr>
            <w:tcW w:w="2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spacing w:after="0" w:line="153" w:lineRule="exact"/>
              <w:rPr>
                <w:sz w:val="20"/>
                <w:szCs w:val="20"/>
                <w:color w:val="auto"/>
              </w:rPr>
            </w:pPr>
            <w:r>
              <w:rPr>
                <w:rFonts w:ascii="Arial" w:cs="Arial" w:eastAsia="Arial" w:hAnsi="Arial"/>
                <w:sz w:val="12"/>
                <w:szCs w:val="12"/>
                <w:color w:val="auto"/>
              </w:rPr>
              <w:t>Other net carrying value</w:t>
            </w:r>
            <w:r>
              <w:rPr>
                <w:rFonts w:ascii="Arial" w:cs="Arial" w:eastAsia="Arial" w:hAnsi="Arial"/>
                <w:sz w:val="15"/>
                <w:szCs w:val="15"/>
                <w:color w:val="auto"/>
                <w:vertAlign w:val="superscript"/>
              </w:rPr>
              <w:t>(3)</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101,528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101,528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DBDBDB"/>
          </w:tcPr>
          <w:p>
            <w:pPr>
              <w:ind w:left="140"/>
              <w:spacing w:after="0" w:line="153" w:lineRule="exact"/>
              <w:rPr>
                <w:sz w:val="20"/>
                <w:szCs w:val="20"/>
                <w:color w:val="auto"/>
              </w:rPr>
            </w:pPr>
            <w:r>
              <w:rPr>
                <w:rFonts w:ascii="Arial" w:cs="Arial" w:eastAsia="Arial" w:hAnsi="Arial"/>
                <w:sz w:val="12"/>
                <w:szCs w:val="12"/>
                <w:color w:val="auto"/>
              </w:rPr>
              <w:t>Investment-level non-recourse financing</w:t>
            </w:r>
            <w:r>
              <w:rPr>
                <w:rFonts w:ascii="Arial" w:cs="Arial" w:eastAsia="Arial" w:hAnsi="Arial"/>
                <w:sz w:val="15"/>
                <w:szCs w:val="15"/>
                <w:color w:val="auto"/>
                <w:vertAlign w:val="superscript"/>
              </w:rPr>
              <w:t>(4)</w:t>
            </w:r>
          </w:p>
        </w:tc>
        <w:tc>
          <w:tcPr>
            <w:tcW w:w="140" w:type="dxa"/>
            <w:vAlign w:val="bottom"/>
            <w:shd w:val="clear" w:color="auto" w:fill="DBDBDB"/>
          </w:tcPr>
          <w:p>
            <w:pPr>
              <w:spacing w:after="0"/>
              <w:rPr>
                <w:sz w:val="13"/>
                <w:szCs w:val="13"/>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2,683,533</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1,894,745</w:t>
            </w:r>
          </w:p>
        </w:tc>
        <w:tc>
          <w:tcPr>
            <w:tcW w:w="2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7900" w:type="dxa"/>
            <w:vAlign w:val="bottom"/>
          </w:tcPr>
          <w:p>
            <w:pPr>
              <w:ind w:left="140"/>
              <w:spacing w:after="0"/>
              <w:rPr>
                <w:sz w:val="20"/>
                <w:szCs w:val="20"/>
                <w:color w:val="auto"/>
              </w:rPr>
            </w:pPr>
            <w:r>
              <w:rPr>
                <w:rFonts w:ascii="Arial" w:cs="Arial" w:eastAsia="Arial" w:hAnsi="Arial"/>
                <w:sz w:val="12"/>
                <w:szCs w:val="12"/>
                <w:color w:val="auto"/>
              </w:rPr>
              <w:t>5.375% Exchangeable senior notes and TruPS</w:t>
            </w:r>
            <w:r>
              <w:rPr>
                <w:rFonts w:ascii="Arial" w:cs="Arial" w:eastAsia="Arial" w:hAnsi="Arial"/>
                <w:sz w:val="15"/>
                <w:szCs w:val="15"/>
                <w:color w:val="auto"/>
                <w:vertAlign w:val="superscript"/>
              </w:rPr>
              <w:t>(4)</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293,722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293,722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7900" w:type="dxa"/>
            <w:vAlign w:val="bottom"/>
          </w:tcPr>
          <w:p>
            <w:pPr>
              <w:spacing w:after="0"/>
              <w:rPr>
                <w:sz w:val="20"/>
                <w:szCs w:val="20"/>
                <w:color w:val="auto"/>
              </w:rPr>
            </w:pPr>
            <w:r>
              <w:rPr>
                <w:rFonts w:ascii="Arial" w:cs="Arial" w:eastAsia="Arial" w:hAnsi="Arial"/>
                <w:sz w:val="12"/>
                <w:szCs w:val="12"/>
                <w:b w:val="1"/>
                <w:bCs w:val="1"/>
                <w:i w:val="1"/>
                <w:iCs w:val="1"/>
                <w:color w:val="003366"/>
              </w:rPr>
              <w:t>Other</w:t>
            </w:r>
            <w:r>
              <w:rPr>
                <w:rFonts w:ascii="Arial" w:cs="Arial" w:eastAsia="Arial" w:hAnsi="Arial"/>
                <w:sz w:val="15"/>
                <w:szCs w:val="15"/>
                <w:b w:val="1"/>
                <w:bCs w:val="1"/>
                <w:i w:val="1"/>
                <w:iCs w:val="1"/>
                <w:color w:val="003366"/>
                <w:vertAlign w:val="superscript"/>
              </w:rPr>
              <w:t>(5)</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900" w:type="dxa"/>
            <w:vAlign w:val="bottom"/>
          </w:tcPr>
          <w:p>
            <w:pPr>
              <w:spacing w:after="0"/>
              <w:rPr>
                <w:sz w:val="20"/>
                <w:szCs w:val="20"/>
                <w:color w:val="auto"/>
              </w:rPr>
            </w:pPr>
            <w:r>
              <w:rPr>
                <w:rFonts w:ascii="Arial" w:cs="Arial" w:eastAsia="Arial" w:hAnsi="Arial"/>
                <w:sz w:val="12"/>
                <w:szCs w:val="12"/>
                <w:b w:val="1"/>
                <w:bCs w:val="1"/>
                <w:color w:val="auto"/>
              </w:rPr>
              <w:t>Other Equity &amp; Debt ("OED")</w:t>
            </w: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DBDBDB"/>
          </w:tcPr>
          <w:p>
            <w:pPr>
              <w:ind w:left="220"/>
              <w:spacing w:after="0" w:line="153" w:lineRule="exact"/>
              <w:rPr>
                <w:sz w:val="20"/>
                <w:szCs w:val="20"/>
                <w:color w:val="auto"/>
              </w:rPr>
            </w:pPr>
            <w:r>
              <w:rPr>
                <w:rFonts w:ascii="Arial" w:cs="Arial" w:eastAsia="Arial" w:hAnsi="Arial"/>
                <w:sz w:val="12"/>
                <w:szCs w:val="12"/>
                <w:color w:val="auto"/>
              </w:rPr>
              <w:t>Assets</w:t>
            </w:r>
            <w:r>
              <w:rPr>
                <w:rFonts w:ascii="Arial" w:cs="Arial" w:eastAsia="Arial" w:hAnsi="Arial"/>
                <w:sz w:val="15"/>
                <w:szCs w:val="15"/>
                <w:color w:val="auto"/>
                <w:vertAlign w:val="superscript"/>
              </w:rPr>
              <w:t>(6)</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3,331,696</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1,605,373</w:t>
            </w:r>
          </w:p>
        </w:tc>
        <w:tc>
          <w:tcPr>
            <w:tcW w:w="2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Borders>
              <w:bottom w:val="single" w:sz="8" w:color="DBDBDB"/>
            </w:tcBorders>
          </w:tcPr>
          <w:p>
            <w:pPr>
              <w:ind w:left="220"/>
              <w:spacing w:after="0" w:line="153" w:lineRule="exact"/>
              <w:rPr>
                <w:sz w:val="20"/>
                <w:szCs w:val="20"/>
                <w:color w:val="auto"/>
              </w:rPr>
            </w:pPr>
            <w:r>
              <w:rPr>
                <w:rFonts w:ascii="Arial" w:cs="Arial" w:eastAsia="Arial" w:hAnsi="Arial"/>
                <w:sz w:val="12"/>
                <w:szCs w:val="12"/>
                <w:color w:val="auto"/>
              </w:rPr>
              <w:t>Debt</w:t>
            </w:r>
            <w:r>
              <w:rPr>
                <w:rFonts w:ascii="Arial" w:cs="Arial" w:eastAsia="Arial" w:hAnsi="Arial"/>
                <w:sz w:val="15"/>
                <w:szCs w:val="15"/>
                <w:color w:val="auto"/>
                <w:vertAlign w:val="superscript"/>
              </w:rPr>
              <w:t>(4)</w:t>
            </w: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1,060,687</w:t>
            </w:r>
          </w:p>
        </w:tc>
        <w:tc>
          <w:tcPr>
            <w:tcW w:w="80" w:type="dxa"/>
            <w:vAlign w:val="bottom"/>
            <w:tcBorders>
              <w:bottom w:val="single" w:sz="8" w:color="DBDBDB"/>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507,824</w:t>
            </w:r>
          </w:p>
        </w:tc>
        <w:tc>
          <w:tcPr>
            <w:tcW w:w="240" w:type="dxa"/>
            <w:vAlign w:val="bottom"/>
            <w:tcBorders>
              <w:bottom w:val="single" w:sz="8" w:color="DBDBDB"/>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900" w:type="dxa"/>
            <w:vAlign w:val="bottom"/>
            <w:shd w:val="clear" w:color="auto" w:fill="DBDBDB"/>
          </w:tcPr>
          <w:p>
            <w:pPr>
              <w:spacing w:after="0"/>
              <w:rPr>
                <w:sz w:val="20"/>
                <w:szCs w:val="20"/>
                <w:color w:val="auto"/>
              </w:rPr>
            </w:pPr>
            <w:r>
              <w:rPr>
                <w:rFonts w:ascii="Arial" w:cs="Arial" w:eastAsia="Arial" w:hAnsi="Arial"/>
                <w:sz w:val="12"/>
                <w:szCs w:val="12"/>
                <w:color w:val="auto"/>
              </w:rPr>
              <w:t>Equity</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2,271,009</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1,097,549</w:t>
            </w:r>
          </w:p>
        </w:tc>
        <w:tc>
          <w:tcPr>
            <w:tcW w:w="2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tcPr>
          <w:p>
            <w:pPr>
              <w:spacing w:after="0"/>
              <w:rPr>
                <w:sz w:val="20"/>
                <w:szCs w:val="20"/>
                <w:color w:val="auto"/>
              </w:rPr>
            </w:pPr>
            <w:r>
              <w:rPr>
                <w:rFonts w:ascii="Arial" w:cs="Arial" w:eastAsia="Arial" w:hAnsi="Arial"/>
                <w:sz w:val="12"/>
                <w:szCs w:val="12"/>
                <w:b w:val="1"/>
                <w:bCs w:val="1"/>
                <w:color w:val="auto"/>
              </w:rPr>
              <w:t>Other Investment Management</w:t>
            </w: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DBDBDB"/>
          </w:tcPr>
          <w:p>
            <w:pPr>
              <w:spacing w:after="0"/>
              <w:rPr>
                <w:sz w:val="20"/>
                <w:szCs w:val="20"/>
                <w:color w:val="auto"/>
              </w:rPr>
            </w:pPr>
            <w:r>
              <w:rPr>
                <w:rFonts w:ascii="Arial" w:cs="Arial" w:eastAsia="Arial" w:hAnsi="Arial"/>
                <w:sz w:val="12"/>
                <w:szCs w:val="12"/>
                <w:color w:val="auto"/>
              </w:rPr>
              <w:t>Third-party AUM ($ in millions)</w:t>
            </w:r>
          </w:p>
        </w:tc>
        <w:tc>
          <w:tcPr>
            <w:tcW w:w="14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9,871</w:t>
            </w:r>
          </w:p>
        </w:tc>
        <w:tc>
          <w:tcPr>
            <w:tcW w:w="2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spacing w:after="0"/>
              <w:rPr>
                <w:sz w:val="20"/>
                <w:szCs w:val="20"/>
                <w:color w:val="auto"/>
              </w:rPr>
            </w:pPr>
            <w:r>
              <w:rPr>
                <w:rFonts w:ascii="Arial" w:cs="Arial" w:eastAsia="Arial" w:hAnsi="Arial"/>
                <w:sz w:val="12"/>
                <w:szCs w:val="12"/>
                <w:color w:val="auto"/>
              </w:rPr>
              <w:t>FEEUM ($ in millions)</w:t>
            </w: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5,093</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1"/>
        </w:trPr>
        <w:tc>
          <w:tcPr>
            <w:tcW w:w="7900" w:type="dxa"/>
            <w:vAlign w:val="bottom"/>
          </w:tcPr>
          <w:p>
            <w:pPr>
              <w:spacing w:after="0"/>
              <w:rPr>
                <w:sz w:val="20"/>
                <w:szCs w:val="20"/>
                <w:color w:val="auto"/>
              </w:rPr>
            </w:pPr>
            <w:r>
              <w:rPr>
                <w:rFonts w:ascii="Arial" w:cs="Arial" w:eastAsia="Arial" w:hAnsi="Arial"/>
                <w:sz w:val="12"/>
                <w:szCs w:val="12"/>
                <w:b w:val="1"/>
                <w:bCs w:val="1"/>
                <w:i w:val="1"/>
                <w:iCs w:val="1"/>
                <w:color w:val="003366"/>
              </w:rPr>
              <w:t>Unallocated Segment &amp; Corporate Net Assets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DBDBDB"/>
          </w:tcPr>
          <w:p>
            <w:pPr>
              <w:ind w:left="220"/>
              <w:spacing w:after="0"/>
              <w:rPr>
                <w:sz w:val="20"/>
                <w:szCs w:val="20"/>
                <w:color w:val="auto"/>
              </w:rPr>
            </w:pPr>
            <w:r>
              <w:rPr>
                <w:rFonts w:ascii="Arial" w:cs="Arial" w:eastAsia="Arial" w:hAnsi="Arial"/>
                <w:sz w:val="12"/>
                <w:szCs w:val="12"/>
                <w:color w:val="auto"/>
              </w:rPr>
              <w:t>Cash and cash equivalents, restricted cash and other assets</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360,318</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360,318</w:t>
            </w:r>
          </w:p>
        </w:tc>
        <w:tc>
          <w:tcPr>
            <w:tcW w:w="2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Borders>
              <w:bottom w:val="single" w:sz="8" w:color="DBDBDB"/>
            </w:tcBorders>
          </w:tcPr>
          <w:p>
            <w:pPr>
              <w:ind w:left="220"/>
              <w:spacing w:after="0"/>
              <w:rPr>
                <w:sz w:val="20"/>
                <w:szCs w:val="20"/>
                <w:color w:val="auto"/>
              </w:rPr>
            </w:pPr>
            <w:r>
              <w:rPr>
                <w:rFonts w:ascii="Arial" w:cs="Arial" w:eastAsia="Arial" w:hAnsi="Arial"/>
                <w:sz w:val="12"/>
                <w:szCs w:val="12"/>
                <w:color w:val="auto"/>
              </w:rPr>
              <w:t>Accrued and other liabilities and dividends payable</w:t>
            </w: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167,411</w:t>
            </w:r>
          </w:p>
        </w:tc>
        <w:tc>
          <w:tcPr>
            <w:tcW w:w="80" w:type="dxa"/>
            <w:vAlign w:val="bottom"/>
            <w:tcBorders>
              <w:bottom w:val="single" w:sz="8" w:color="DBDBDB"/>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167,411</w:t>
            </w: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900" w:type="dxa"/>
            <w:vAlign w:val="bottom"/>
            <w:shd w:val="clear" w:color="auto" w:fill="DBDBDB"/>
          </w:tcPr>
          <w:p>
            <w:pPr>
              <w:spacing w:after="0"/>
              <w:rPr>
                <w:sz w:val="20"/>
                <w:szCs w:val="20"/>
                <w:color w:val="auto"/>
              </w:rPr>
            </w:pPr>
            <w:r>
              <w:rPr>
                <w:rFonts w:ascii="Arial" w:cs="Arial" w:eastAsia="Arial" w:hAnsi="Arial"/>
                <w:sz w:val="12"/>
                <w:szCs w:val="12"/>
                <w:color w:val="auto"/>
              </w:rPr>
              <w:t>Net assets</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192,907</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192,907</w:t>
            </w:r>
          </w:p>
        </w:tc>
        <w:tc>
          <w:tcPr>
            <w:tcW w:w="2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7" w:lineRule="exact"/>
        <w:rPr>
          <w:sz w:val="20"/>
          <w:szCs w:val="20"/>
          <w:color w:val="auto"/>
        </w:rPr>
      </w:pPr>
    </w:p>
    <w:p>
      <w:pPr>
        <w:ind w:left="208" w:right="80" w:hanging="208"/>
        <w:spacing w:after="0" w:line="258" w:lineRule="auto"/>
        <w:tabs>
          <w:tab w:leader="none" w:pos="188" w:val="left"/>
        </w:tabs>
        <w:numPr>
          <w:ilvl w:val="0"/>
          <w:numId w:val="19"/>
        </w:numPr>
        <w:rPr>
          <w:rFonts w:ascii="Arial" w:cs="Arial" w:eastAsia="Arial" w:hAnsi="Arial"/>
          <w:sz w:val="8"/>
          <w:szCs w:val="8"/>
          <w:color w:val="424242"/>
        </w:rPr>
      </w:pPr>
      <w:r>
        <w:rPr>
          <w:rFonts w:ascii="Arial" w:cs="Arial" w:eastAsia="Arial" w:hAnsi="Arial"/>
          <w:sz w:val="8"/>
          <w:szCs w:val="8"/>
          <w:color w:val="424242"/>
        </w:rPr>
        <w:t>NOI includes $0.8 million consolidated or $0.6 million CLNY OP share of interest earned related to $48 million consolidated or $34 million CLNY OP share carrying value of Wellness Infrastructure real estate loans. This interest income is in the Interest Income line item on the Company’s Statement of Operations.</w:t>
      </w:r>
    </w:p>
    <w:p>
      <w:pPr>
        <w:spacing w:after="0" w:line="99" w:lineRule="exact"/>
        <w:rPr>
          <w:rFonts w:ascii="Arial" w:cs="Arial" w:eastAsia="Arial" w:hAnsi="Arial"/>
          <w:sz w:val="8"/>
          <w:szCs w:val="8"/>
          <w:color w:val="424242"/>
        </w:rPr>
      </w:pPr>
    </w:p>
    <w:p>
      <w:pPr>
        <w:ind w:left="188" w:hanging="188"/>
        <w:spacing w:after="0"/>
        <w:tabs>
          <w:tab w:leader="none" w:pos="188" w:val="left"/>
        </w:tabs>
        <w:numPr>
          <w:ilvl w:val="0"/>
          <w:numId w:val="19"/>
        </w:numPr>
        <w:rPr>
          <w:rFonts w:ascii="Arial" w:cs="Arial" w:eastAsia="Arial" w:hAnsi="Arial"/>
          <w:sz w:val="8"/>
          <w:szCs w:val="8"/>
          <w:color w:val="424242"/>
        </w:rPr>
      </w:pPr>
      <w:r>
        <w:rPr>
          <w:rFonts w:ascii="Arial" w:cs="Arial" w:eastAsia="Arial" w:hAnsi="Arial"/>
          <w:sz w:val="8"/>
          <w:szCs w:val="8"/>
          <w:color w:val="424242"/>
        </w:rPr>
        <w:t>For a reconciliation of net income/(loss) from continuing operations to NOI, please refer to the appendix to this presentation.</w:t>
      </w:r>
    </w:p>
    <w:p>
      <w:pPr>
        <w:spacing w:after="0" w:line="7" w:lineRule="exact"/>
        <w:rPr>
          <w:rFonts w:ascii="Arial" w:cs="Arial" w:eastAsia="Arial" w:hAnsi="Arial"/>
          <w:sz w:val="8"/>
          <w:szCs w:val="8"/>
          <w:color w:val="424242"/>
        </w:rPr>
      </w:pPr>
    </w:p>
    <w:p>
      <w:pPr>
        <w:ind w:left="208" w:right="80" w:hanging="208"/>
        <w:spacing w:after="0" w:line="258" w:lineRule="auto"/>
        <w:tabs>
          <w:tab w:leader="none" w:pos="188" w:val="left"/>
        </w:tabs>
        <w:numPr>
          <w:ilvl w:val="0"/>
          <w:numId w:val="19"/>
        </w:numPr>
        <w:rPr>
          <w:rFonts w:ascii="Arial" w:cs="Arial" w:eastAsia="Arial" w:hAnsi="Arial"/>
          <w:sz w:val="8"/>
          <w:szCs w:val="8"/>
          <w:color w:val="424242"/>
        </w:rPr>
      </w:pPr>
      <w:r>
        <w:rPr>
          <w:rFonts w:ascii="Arial" w:cs="Arial" w:eastAsia="Arial" w:hAnsi="Arial"/>
          <w:sz w:val="8"/>
          <w:szCs w:val="8"/>
          <w:color w:val="424242"/>
        </w:rPr>
        <w:t>In connection with accelerating the monetization of substantially all of the assets in the Company's Other segment in the first quarter of 2021, the Company reorganized its Wellness Infrastructure segment to retrospectively include other healthcare related assets and obligations. These assets and obligations encompass: (i) the Company's management contract and equity interests in NorthStar Healthcare Income, equity investment in a healthcare asset manager, and N-Star CDO bonds collateralized largely by certain debt and preferred equity within the capital structure of Wellness Infrastructure, all of which previously resided in the Other segment; as well as (ii) the 5.375% exchangeable senior notes, trust preferred securities and corresponding junior subordinated debt that were not previously allocated to reportable segments, all of which were issued by NRF Holdco, which holds the Wellness Infrastructure portfolio as its primary asset and acts as guarantor.</w:t>
      </w:r>
    </w:p>
    <w:p>
      <w:pPr>
        <w:ind w:left="188" w:hanging="188"/>
        <w:spacing w:after="0"/>
        <w:tabs>
          <w:tab w:leader="none" w:pos="188" w:val="left"/>
        </w:tabs>
        <w:numPr>
          <w:ilvl w:val="0"/>
          <w:numId w:val="19"/>
        </w:numPr>
        <w:rPr>
          <w:rFonts w:ascii="Arial" w:cs="Arial" w:eastAsia="Arial" w:hAnsi="Arial"/>
          <w:sz w:val="8"/>
          <w:szCs w:val="8"/>
          <w:color w:val="424242"/>
        </w:rPr>
      </w:pPr>
      <w:r>
        <w:rPr>
          <w:rFonts w:ascii="Arial" w:cs="Arial" w:eastAsia="Arial" w:hAnsi="Arial"/>
          <w:sz w:val="8"/>
          <w:szCs w:val="8"/>
          <w:color w:val="424242"/>
        </w:rPr>
        <w:t>Represents unpaid principal balance.</w:t>
      </w:r>
    </w:p>
    <w:p>
      <w:pPr>
        <w:spacing w:after="0" w:line="7" w:lineRule="exact"/>
        <w:rPr>
          <w:rFonts w:ascii="Arial" w:cs="Arial" w:eastAsia="Arial" w:hAnsi="Arial"/>
          <w:sz w:val="8"/>
          <w:szCs w:val="8"/>
          <w:color w:val="424242"/>
        </w:rPr>
      </w:pPr>
    </w:p>
    <w:p>
      <w:pPr>
        <w:ind w:left="208" w:right="40" w:hanging="208"/>
        <w:spacing w:after="0" w:line="234" w:lineRule="auto"/>
        <w:tabs>
          <w:tab w:leader="none" w:pos="186" w:val="left"/>
        </w:tabs>
        <w:numPr>
          <w:ilvl w:val="0"/>
          <w:numId w:val="19"/>
        </w:numPr>
        <w:rPr>
          <w:rFonts w:ascii="Arial" w:cs="Arial" w:eastAsia="Arial" w:hAnsi="Arial"/>
          <w:sz w:val="8"/>
          <w:szCs w:val="8"/>
          <w:color w:val="424242"/>
        </w:rPr>
      </w:pPr>
      <w:r>
        <w:rPr>
          <w:rFonts w:ascii="Arial" w:cs="Arial" w:eastAsia="Arial" w:hAnsi="Arial"/>
          <w:sz w:val="8"/>
          <w:szCs w:val="8"/>
          <w:color w:val="424242"/>
        </w:rPr>
        <w:t>The Company is pursuing a potential monetization of a substantial majority of the assets in its Other segment and has classified $2.9 billion of consolidated assets ($1.2 billion CLNY OP share) and $884 million of consolidated debt ($331 million CLNY OP share) within OED as discontinued operations. These assets and related debt are included in the figures above to account for the related carrying values. Within Other Investment Management, $5.8 billion of third-party AUM and $4.0 billion of FEEUM are related to assets and businesses classified as discontinued operations and are included in the figures above; however, the third-party AUM and FEEUM related to the CLNC management contract, which is also classified as discontinued operations, are not included in the figures as the contract was terminated on April 30, 2021 and the Company received $102.3 million of consideration. The Company's management contract with NorthStar Healthcare Income is included in the Wellness Infrastructure segment.</w:t>
      </w:r>
    </w:p>
    <w:p>
      <w:pPr>
        <w:spacing w:after="0" w:line="1" w:lineRule="exact"/>
        <w:rPr>
          <w:rFonts w:ascii="Arial" w:cs="Arial" w:eastAsia="Arial" w:hAnsi="Arial"/>
          <w:sz w:val="8"/>
          <w:szCs w:val="8"/>
          <w:color w:val="424242"/>
        </w:rPr>
      </w:pPr>
    </w:p>
    <w:p>
      <w:pPr>
        <w:ind w:left="188" w:hanging="188"/>
        <w:spacing w:after="0"/>
        <w:tabs>
          <w:tab w:leader="none" w:pos="188" w:val="left"/>
        </w:tabs>
        <w:numPr>
          <w:ilvl w:val="0"/>
          <w:numId w:val="19"/>
        </w:numPr>
        <w:rPr>
          <w:rFonts w:ascii="Arial" w:cs="Arial" w:eastAsia="Arial" w:hAnsi="Arial"/>
          <w:sz w:val="8"/>
          <w:szCs w:val="8"/>
          <w:color w:val="424242"/>
        </w:rPr>
      </w:pPr>
      <w:r>
        <w:rPr>
          <w:rFonts w:ascii="Arial" w:cs="Arial" w:eastAsia="Arial" w:hAnsi="Arial"/>
          <w:sz w:val="8"/>
          <w:szCs w:val="8"/>
          <w:color w:val="424242"/>
        </w:rPr>
        <w:t>Includes all components related to real estate assets, including tangible real estate and lease-related intangibles.</w:t>
      </w: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50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0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8</w:t>
            </w:r>
          </w:p>
        </w:tc>
      </w:tr>
    </w:tbl>
    <w:p>
      <w:pPr>
        <w:sectPr>
          <w:pgSz w:w="11900" w:h="16838" w:orient="portrait"/>
          <w:cols w:equalWidth="0" w:num="1">
            <w:col w:w="11308"/>
          </w:cols>
          <w:pgMar w:left="292" w:top="158" w:right="299" w:bottom="1440" w:gutter="0" w:footer="0" w:header="0"/>
        </w:sectPr>
      </w:pPr>
    </w:p>
    <w:bookmarkStart w:id="23" w:name="page24"/>
    <w:bookmarkEnd w:id="23"/>
    <w:p>
      <w:pPr>
        <w:spacing w:after="0"/>
        <w:rPr>
          <w:sz w:val="20"/>
          <w:szCs w:val="20"/>
          <w:color w:val="auto"/>
        </w:rPr>
      </w:pPr>
      <w:r>
        <w:rPr>
          <w:rFonts w:ascii="Arial" w:cs="Arial" w:eastAsia="Arial" w:hAnsi="Arial"/>
          <w:sz w:val="29"/>
          <w:szCs w:val="29"/>
          <w:color w:val="auto"/>
        </w:rPr>
        <w:t>IIa. Financial Results -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78040" cy="22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720" w:type="dxa"/>
            <w:vAlign w:val="bottom"/>
          </w:tcPr>
          <w:p>
            <w:pPr>
              <w:spacing w:after="0"/>
              <w:rPr>
                <w:sz w:val="20"/>
                <w:szCs w:val="20"/>
                <w:color w:val="auto"/>
              </w:rPr>
            </w:pPr>
            <w:r>
              <w:rPr>
                <w:rFonts w:ascii="Arial" w:cs="Arial" w:eastAsia="Arial" w:hAnsi="Arial"/>
                <w:sz w:val="10"/>
                <w:szCs w:val="10"/>
                <w:i w:val="1"/>
                <w:iCs w:val="1"/>
                <w:color w:val="auto"/>
              </w:rPr>
              <w:t>($ in thousands, except per share data) (unaudited)</w:t>
            </w:r>
          </w:p>
        </w:tc>
        <w:tc>
          <w:tcPr>
            <w:tcW w:w="180" w:type="dxa"/>
            <w:vAlign w:val="bottom"/>
          </w:tcPr>
          <w:p>
            <w:pPr>
              <w:spacing w:after="0"/>
              <w:rPr>
                <w:sz w:val="11"/>
                <w:szCs w:val="11"/>
                <w:color w:val="auto"/>
              </w:rPr>
            </w:pPr>
          </w:p>
        </w:tc>
        <w:tc>
          <w:tcPr>
            <w:tcW w:w="4400" w:type="dxa"/>
            <w:vAlign w:val="bottom"/>
            <w:gridSpan w:val="2"/>
          </w:tcPr>
          <w:p>
            <w:pPr>
              <w:jc w:val="right"/>
              <w:ind w:right="3280"/>
              <w:spacing w:after="0"/>
              <w:rPr>
                <w:sz w:val="20"/>
                <w:szCs w:val="20"/>
                <w:color w:val="auto"/>
              </w:rPr>
            </w:pPr>
            <w:r>
              <w:rPr>
                <w:rFonts w:ascii="Arial" w:cs="Arial" w:eastAsia="Arial" w:hAnsi="Arial"/>
                <w:sz w:val="10"/>
                <w:szCs w:val="10"/>
                <w:b w:val="1"/>
                <w:bCs w:val="1"/>
                <w:color w:val="auto"/>
              </w:rPr>
              <w:t>As of March 31, 2021</w:t>
            </w:r>
          </w:p>
        </w:tc>
      </w:tr>
      <w:tr>
        <w:trPr>
          <w:trHeight w:val="128"/>
        </w:trPr>
        <w:tc>
          <w:tcPr>
            <w:tcW w:w="6720" w:type="dxa"/>
            <w:vAlign w:val="bottom"/>
          </w:tcPr>
          <w:p>
            <w:pPr>
              <w:spacing w:after="0"/>
              <w:rPr>
                <w:sz w:val="20"/>
                <w:szCs w:val="20"/>
                <w:color w:val="auto"/>
              </w:rPr>
            </w:pPr>
            <w:r>
              <w:rPr>
                <w:rFonts w:ascii="Arial" w:cs="Arial" w:eastAsia="Arial" w:hAnsi="Arial"/>
                <w:sz w:val="11"/>
                <w:szCs w:val="11"/>
                <w:b w:val="1"/>
                <w:bCs w:val="1"/>
                <w:i w:val="1"/>
                <w:iCs w:val="1"/>
                <w:color w:val="003366"/>
              </w:rPr>
              <w:t>Assets</w:t>
            </w: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3000" w:type="dxa"/>
            <w:vAlign w:val="bottom"/>
          </w:tcPr>
          <w:p>
            <w:pPr>
              <w:spacing w:after="0"/>
              <w:rPr>
                <w:sz w:val="11"/>
                <w:szCs w:val="11"/>
                <w:color w:val="auto"/>
              </w:rPr>
            </w:pPr>
          </w:p>
        </w:tc>
      </w:tr>
      <w:tr>
        <w:trPr>
          <w:trHeight w:val="146"/>
        </w:trPr>
        <w:tc>
          <w:tcPr>
            <w:tcW w:w="67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Cash and cash equivalents</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788,361</w:t>
            </w:r>
          </w:p>
        </w:tc>
        <w:tc>
          <w:tcPr>
            <w:tcW w:w="3000" w:type="dxa"/>
            <w:vAlign w:val="bottom"/>
          </w:tcPr>
          <w:p>
            <w:pPr>
              <w:spacing w:after="0"/>
              <w:rPr>
                <w:sz w:val="12"/>
                <w:szCs w:val="12"/>
                <w:color w:val="auto"/>
              </w:rPr>
            </w:pPr>
          </w:p>
        </w:tc>
      </w:tr>
      <w:tr>
        <w:trPr>
          <w:trHeight w:val="142"/>
        </w:trPr>
        <w:tc>
          <w:tcPr>
            <w:tcW w:w="6720" w:type="dxa"/>
            <w:vAlign w:val="bottom"/>
          </w:tcPr>
          <w:p>
            <w:pPr>
              <w:ind w:left="140"/>
              <w:spacing w:after="0"/>
              <w:rPr>
                <w:sz w:val="20"/>
                <w:szCs w:val="20"/>
                <w:color w:val="auto"/>
              </w:rPr>
            </w:pPr>
            <w:r>
              <w:rPr>
                <w:rFonts w:ascii="Arial" w:cs="Arial" w:eastAsia="Arial" w:hAnsi="Arial"/>
                <w:sz w:val="11"/>
                <w:szCs w:val="11"/>
                <w:color w:val="auto"/>
              </w:rPr>
              <w:t>Restricted cash</w:t>
            </w: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125,959</w:t>
            </w:r>
          </w:p>
        </w:tc>
        <w:tc>
          <w:tcPr>
            <w:tcW w:w="3000" w:type="dxa"/>
            <w:vAlign w:val="bottom"/>
          </w:tcPr>
          <w:p>
            <w:pPr>
              <w:spacing w:after="0"/>
              <w:rPr>
                <w:sz w:val="12"/>
                <w:szCs w:val="12"/>
                <w:color w:val="auto"/>
              </w:rPr>
            </w:pPr>
          </w:p>
        </w:tc>
      </w:tr>
      <w:tr>
        <w:trPr>
          <w:trHeight w:val="146"/>
        </w:trPr>
        <w:tc>
          <w:tcPr>
            <w:tcW w:w="67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Real estate, net</w:t>
            </w:r>
          </w:p>
        </w:tc>
        <w:tc>
          <w:tcPr>
            <w:tcW w:w="180" w:type="dxa"/>
            <w:vAlign w:val="bottom"/>
            <w:shd w:val="clear" w:color="auto" w:fill="DBDBDB"/>
          </w:tcPr>
          <w:p>
            <w:pPr>
              <w:spacing w:after="0"/>
              <w:rPr>
                <w:sz w:val="12"/>
                <w:szCs w:val="12"/>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7,702,711</w:t>
            </w:r>
          </w:p>
        </w:tc>
        <w:tc>
          <w:tcPr>
            <w:tcW w:w="3000" w:type="dxa"/>
            <w:vAlign w:val="bottom"/>
          </w:tcPr>
          <w:p>
            <w:pPr>
              <w:spacing w:after="0"/>
              <w:rPr>
                <w:sz w:val="12"/>
                <w:szCs w:val="12"/>
                <w:color w:val="auto"/>
              </w:rPr>
            </w:pPr>
          </w:p>
        </w:tc>
      </w:tr>
      <w:tr>
        <w:trPr>
          <w:trHeight w:val="142"/>
        </w:trPr>
        <w:tc>
          <w:tcPr>
            <w:tcW w:w="6720" w:type="dxa"/>
            <w:vAlign w:val="bottom"/>
          </w:tcPr>
          <w:p>
            <w:pPr>
              <w:ind w:left="140"/>
              <w:spacing w:after="0"/>
              <w:rPr>
                <w:sz w:val="20"/>
                <w:szCs w:val="20"/>
                <w:color w:val="auto"/>
              </w:rPr>
            </w:pPr>
            <w:r>
              <w:rPr>
                <w:rFonts w:ascii="Arial" w:cs="Arial" w:eastAsia="Arial" w:hAnsi="Arial"/>
                <w:sz w:val="11"/>
                <w:szCs w:val="11"/>
                <w:color w:val="auto"/>
              </w:rPr>
              <w:t>Loans receivable</w:t>
            </w: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85,272</w:t>
            </w:r>
          </w:p>
        </w:tc>
        <w:tc>
          <w:tcPr>
            <w:tcW w:w="3000" w:type="dxa"/>
            <w:vAlign w:val="bottom"/>
          </w:tcPr>
          <w:p>
            <w:pPr>
              <w:spacing w:after="0"/>
              <w:rPr>
                <w:sz w:val="12"/>
                <w:szCs w:val="12"/>
                <w:color w:val="auto"/>
              </w:rPr>
            </w:pPr>
          </w:p>
        </w:tc>
      </w:tr>
      <w:tr>
        <w:trPr>
          <w:trHeight w:val="146"/>
        </w:trPr>
        <w:tc>
          <w:tcPr>
            <w:tcW w:w="67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Equity and debt investments</w:t>
            </w:r>
          </w:p>
        </w:tc>
        <w:tc>
          <w:tcPr>
            <w:tcW w:w="180" w:type="dxa"/>
            <w:vAlign w:val="bottom"/>
            <w:shd w:val="clear" w:color="auto" w:fill="DBDBDB"/>
          </w:tcPr>
          <w:p>
            <w:pPr>
              <w:spacing w:after="0"/>
              <w:rPr>
                <w:sz w:val="12"/>
                <w:szCs w:val="12"/>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777,819</w:t>
            </w:r>
          </w:p>
        </w:tc>
        <w:tc>
          <w:tcPr>
            <w:tcW w:w="3000" w:type="dxa"/>
            <w:vAlign w:val="bottom"/>
          </w:tcPr>
          <w:p>
            <w:pPr>
              <w:spacing w:after="0"/>
              <w:rPr>
                <w:sz w:val="12"/>
                <w:szCs w:val="12"/>
                <w:color w:val="auto"/>
              </w:rPr>
            </w:pPr>
          </w:p>
        </w:tc>
      </w:tr>
      <w:tr>
        <w:trPr>
          <w:trHeight w:val="142"/>
        </w:trPr>
        <w:tc>
          <w:tcPr>
            <w:tcW w:w="6720" w:type="dxa"/>
            <w:vAlign w:val="bottom"/>
          </w:tcPr>
          <w:p>
            <w:pPr>
              <w:ind w:left="140"/>
              <w:spacing w:after="0"/>
              <w:rPr>
                <w:sz w:val="20"/>
                <w:szCs w:val="20"/>
                <w:color w:val="auto"/>
              </w:rPr>
            </w:pPr>
            <w:r>
              <w:rPr>
                <w:rFonts w:ascii="Arial" w:cs="Arial" w:eastAsia="Arial" w:hAnsi="Arial"/>
                <w:sz w:val="11"/>
                <w:szCs w:val="11"/>
                <w:color w:val="auto"/>
              </w:rPr>
              <w:t>Goodwill</w:t>
            </w: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761,368</w:t>
            </w:r>
          </w:p>
        </w:tc>
        <w:tc>
          <w:tcPr>
            <w:tcW w:w="3000" w:type="dxa"/>
            <w:vAlign w:val="bottom"/>
          </w:tcPr>
          <w:p>
            <w:pPr>
              <w:spacing w:after="0"/>
              <w:rPr>
                <w:sz w:val="12"/>
                <w:szCs w:val="12"/>
                <w:color w:val="auto"/>
              </w:rPr>
            </w:pPr>
          </w:p>
        </w:tc>
      </w:tr>
      <w:tr>
        <w:trPr>
          <w:trHeight w:val="146"/>
        </w:trPr>
        <w:tc>
          <w:tcPr>
            <w:tcW w:w="67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Deferred leasing costs and intangible assets, net</w:t>
            </w:r>
          </w:p>
        </w:tc>
        <w:tc>
          <w:tcPr>
            <w:tcW w:w="180" w:type="dxa"/>
            <w:vAlign w:val="bottom"/>
            <w:shd w:val="clear" w:color="auto" w:fill="DBDBDB"/>
          </w:tcPr>
          <w:p>
            <w:pPr>
              <w:spacing w:after="0"/>
              <w:rPr>
                <w:sz w:val="12"/>
                <w:szCs w:val="12"/>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1,392,528</w:t>
            </w:r>
          </w:p>
        </w:tc>
        <w:tc>
          <w:tcPr>
            <w:tcW w:w="3000" w:type="dxa"/>
            <w:vAlign w:val="bottom"/>
          </w:tcPr>
          <w:p>
            <w:pPr>
              <w:spacing w:after="0"/>
              <w:rPr>
                <w:sz w:val="12"/>
                <w:szCs w:val="12"/>
                <w:color w:val="auto"/>
              </w:rPr>
            </w:pPr>
          </w:p>
        </w:tc>
      </w:tr>
      <w:tr>
        <w:trPr>
          <w:trHeight w:val="142"/>
        </w:trPr>
        <w:tc>
          <w:tcPr>
            <w:tcW w:w="6720" w:type="dxa"/>
            <w:vAlign w:val="bottom"/>
          </w:tcPr>
          <w:p>
            <w:pPr>
              <w:ind w:left="140"/>
              <w:spacing w:after="0"/>
              <w:rPr>
                <w:sz w:val="20"/>
                <w:szCs w:val="20"/>
                <w:color w:val="auto"/>
              </w:rPr>
            </w:pPr>
            <w:r>
              <w:rPr>
                <w:rFonts w:ascii="Arial" w:cs="Arial" w:eastAsia="Arial" w:hAnsi="Arial"/>
                <w:sz w:val="11"/>
                <w:szCs w:val="11"/>
                <w:color w:val="auto"/>
              </w:rPr>
              <w:t>Assets held for disposition</w:t>
            </w: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4,094,657</w:t>
            </w:r>
          </w:p>
        </w:tc>
        <w:tc>
          <w:tcPr>
            <w:tcW w:w="3000" w:type="dxa"/>
            <w:vAlign w:val="bottom"/>
          </w:tcPr>
          <w:p>
            <w:pPr>
              <w:spacing w:after="0"/>
              <w:rPr>
                <w:sz w:val="12"/>
                <w:szCs w:val="12"/>
                <w:color w:val="auto"/>
              </w:rPr>
            </w:pPr>
          </w:p>
        </w:tc>
      </w:tr>
      <w:tr>
        <w:trPr>
          <w:trHeight w:val="146"/>
        </w:trPr>
        <w:tc>
          <w:tcPr>
            <w:tcW w:w="67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Other assets</w:t>
            </w:r>
          </w:p>
        </w:tc>
        <w:tc>
          <w:tcPr>
            <w:tcW w:w="180" w:type="dxa"/>
            <w:vAlign w:val="bottom"/>
            <w:shd w:val="clear" w:color="auto" w:fill="DBDBDB"/>
          </w:tcPr>
          <w:p>
            <w:pPr>
              <w:spacing w:after="0"/>
              <w:rPr>
                <w:sz w:val="12"/>
                <w:szCs w:val="12"/>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834,318</w:t>
            </w:r>
          </w:p>
        </w:tc>
        <w:tc>
          <w:tcPr>
            <w:tcW w:w="3000" w:type="dxa"/>
            <w:vAlign w:val="bottom"/>
          </w:tcPr>
          <w:p>
            <w:pPr>
              <w:spacing w:after="0"/>
              <w:rPr>
                <w:sz w:val="12"/>
                <w:szCs w:val="12"/>
                <w:color w:val="auto"/>
              </w:rPr>
            </w:pPr>
          </w:p>
        </w:tc>
      </w:tr>
      <w:tr>
        <w:trPr>
          <w:trHeight w:val="142"/>
        </w:trPr>
        <w:tc>
          <w:tcPr>
            <w:tcW w:w="672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Due from affiliates</w:t>
            </w: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62,257</w:t>
            </w:r>
          </w:p>
        </w:tc>
        <w:tc>
          <w:tcPr>
            <w:tcW w:w="3000" w:type="dxa"/>
            <w:vAlign w:val="bottom"/>
          </w:tcPr>
          <w:p>
            <w:pPr>
              <w:spacing w:after="0"/>
              <w:rPr>
                <w:sz w:val="12"/>
                <w:szCs w:val="12"/>
                <w:color w:val="auto"/>
              </w:rPr>
            </w:pPr>
          </w:p>
        </w:tc>
      </w:tr>
      <w:tr>
        <w:trPr>
          <w:trHeight w:val="155"/>
        </w:trPr>
        <w:tc>
          <w:tcPr>
            <w:tcW w:w="67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Total assets</w:t>
            </w:r>
          </w:p>
        </w:tc>
        <w:tc>
          <w:tcPr>
            <w:tcW w:w="180" w:type="dxa"/>
            <w:vAlign w:val="bottom"/>
            <w:tcBorders>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16,625,250</w:t>
            </w:r>
          </w:p>
        </w:tc>
        <w:tc>
          <w:tcPr>
            <w:tcW w:w="3000" w:type="dxa"/>
            <w:vAlign w:val="bottom"/>
          </w:tcPr>
          <w:p>
            <w:pPr>
              <w:spacing w:after="0"/>
              <w:rPr>
                <w:sz w:val="13"/>
                <w:szCs w:val="13"/>
                <w:color w:val="auto"/>
              </w:rPr>
            </w:pPr>
          </w:p>
        </w:tc>
      </w:tr>
      <w:tr>
        <w:trPr>
          <w:trHeight w:val="112"/>
        </w:trPr>
        <w:tc>
          <w:tcPr>
            <w:tcW w:w="6720" w:type="dxa"/>
            <w:vAlign w:val="bottom"/>
          </w:tcPr>
          <w:p>
            <w:pPr>
              <w:spacing w:after="0" w:line="112" w:lineRule="exact"/>
              <w:rPr>
                <w:sz w:val="20"/>
                <w:szCs w:val="20"/>
                <w:color w:val="auto"/>
              </w:rPr>
            </w:pPr>
            <w:r>
              <w:rPr>
                <w:rFonts w:ascii="Arial" w:cs="Arial" w:eastAsia="Arial" w:hAnsi="Arial"/>
                <w:sz w:val="11"/>
                <w:szCs w:val="11"/>
                <w:b w:val="1"/>
                <w:bCs w:val="1"/>
                <w:i w:val="1"/>
                <w:iCs w:val="1"/>
                <w:color w:val="003366"/>
              </w:rPr>
              <w:t>Liabilities</w:t>
            </w: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0" w:type="dxa"/>
            <w:vAlign w:val="bottom"/>
          </w:tcPr>
          <w:p>
            <w:pPr>
              <w:spacing w:after="0"/>
              <w:rPr>
                <w:sz w:val="9"/>
                <w:szCs w:val="9"/>
                <w:color w:val="auto"/>
              </w:rPr>
            </w:pPr>
          </w:p>
        </w:tc>
      </w:tr>
      <w:tr>
        <w:trPr>
          <w:trHeight w:val="145"/>
        </w:trPr>
        <w:tc>
          <w:tcPr>
            <w:tcW w:w="67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Debt, net</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6,877,291</w:t>
            </w:r>
          </w:p>
        </w:tc>
        <w:tc>
          <w:tcPr>
            <w:tcW w:w="3000" w:type="dxa"/>
            <w:vAlign w:val="bottom"/>
          </w:tcPr>
          <w:p>
            <w:pPr>
              <w:spacing w:after="0"/>
              <w:rPr>
                <w:sz w:val="12"/>
                <w:szCs w:val="12"/>
                <w:color w:val="auto"/>
              </w:rPr>
            </w:pPr>
          </w:p>
        </w:tc>
      </w:tr>
      <w:tr>
        <w:trPr>
          <w:trHeight w:val="142"/>
        </w:trPr>
        <w:tc>
          <w:tcPr>
            <w:tcW w:w="6720" w:type="dxa"/>
            <w:vAlign w:val="bottom"/>
          </w:tcPr>
          <w:p>
            <w:pPr>
              <w:ind w:left="140"/>
              <w:spacing w:after="0"/>
              <w:rPr>
                <w:sz w:val="20"/>
                <w:szCs w:val="20"/>
                <w:color w:val="auto"/>
              </w:rPr>
            </w:pPr>
            <w:r>
              <w:rPr>
                <w:rFonts w:ascii="Arial" w:cs="Arial" w:eastAsia="Arial" w:hAnsi="Arial"/>
                <w:sz w:val="11"/>
                <w:szCs w:val="11"/>
                <w:color w:val="auto"/>
              </w:rPr>
              <w:t>Accrued and other liabilities</w:t>
            </w: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1,036,218</w:t>
            </w:r>
          </w:p>
        </w:tc>
        <w:tc>
          <w:tcPr>
            <w:tcW w:w="3000" w:type="dxa"/>
            <w:vAlign w:val="bottom"/>
          </w:tcPr>
          <w:p>
            <w:pPr>
              <w:spacing w:after="0"/>
              <w:rPr>
                <w:sz w:val="12"/>
                <w:szCs w:val="12"/>
                <w:color w:val="auto"/>
              </w:rPr>
            </w:pPr>
          </w:p>
        </w:tc>
      </w:tr>
      <w:tr>
        <w:trPr>
          <w:trHeight w:val="146"/>
        </w:trPr>
        <w:tc>
          <w:tcPr>
            <w:tcW w:w="67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Intangible liabilities, net</w:t>
            </w:r>
          </w:p>
        </w:tc>
        <w:tc>
          <w:tcPr>
            <w:tcW w:w="180" w:type="dxa"/>
            <w:vAlign w:val="bottom"/>
            <w:shd w:val="clear" w:color="auto" w:fill="DBDBDB"/>
          </w:tcPr>
          <w:p>
            <w:pPr>
              <w:spacing w:after="0"/>
              <w:rPr>
                <w:sz w:val="12"/>
                <w:szCs w:val="12"/>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89,915</w:t>
            </w:r>
          </w:p>
        </w:tc>
        <w:tc>
          <w:tcPr>
            <w:tcW w:w="3000" w:type="dxa"/>
            <w:vAlign w:val="bottom"/>
          </w:tcPr>
          <w:p>
            <w:pPr>
              <w:spacing w:after="0"/>
              <w:rPr>
                <w:sz w:val="12"/>
                <w:szCs w:val="12"/>
                <w:color w:val="auto"/>
              </w:rPr>
            </w:pPr>
          </w:p>
        </w:tc>
      </w:tr>
      <w:tr>
        <w:trPr>
          <w:trHeight w:val="142"/>
        </w:trPr>
        <w:tc>
          <w:tcPr>
            <w:tcW w:w="6720" w:type="dxa"/>
            <w:vAlign w:val="bottom"/>
          </w:tcPr>
          <w:p>
            <w:pPr>
              <w:ind w:left="140"/>
              <w:spacing w:after="0"/>
              <w:rPr>
                <w:sz w:val="20"/>
                <w:szCs w:val="20"/>
                <w:color w:val="auto"/>
              </w:rPr>
            </w:pPr>
            <w:r>
              <w:rPr>
                <w:rFonts w:ascii="Arial" w:cs="Arial" w:eastAsia="Arial" w:hAnsi="Arial"/>
                <w:sz w:val="11"/>
                <w:szCs w:val="11"/>
                <w:color w:val="auto"/>
              </w:rPr>
              <w:t>Liabilities related to assets held for disposition</w:t>
            </w: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1,936,643</w:t>
            </w:r>
          </w:p>
        </w:tc>
        <w:tc>
          <w:tcPr>
            <w:tcW w:w="3000" w:type="dxa"/>
            <w:vAlign w:val="bottom"/>
          </w:tcPr>
          <w:p>
            <w:pPr>
              <w:spacing w:after="0"/>
              <w:rPr>
                <w:sz w:val="12"/>
                <w:szCs w:val="12"/>
                <w:color w:val="auto"/>
              </w:rPr>
            </w:pPr>
          </w:p>
        </w:tc>
      </w:tr>
      <w:tr>
        <w:trPr>
          <w:trHeight w:val="146"/>
        </w:trPr>
        <w:tc>
          <w:tcPr>
            <w:tcW w:w="67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Due to affiliates</w:t>
            </w:r>
          </w:p>
        </w:tc>
        <w:tc>
          <w:tcPr>
            <w:tcW w:w="180" w:type="dxa"/>
            <w:vAlign w:val="bottom"/>
            <w:shd w:val="clear" w:color="auto" w:fill="DBDBDB"/>
          </w:tcPr>
          <w:p>
            <w:pPr>
              <w:spacing w:after="0"/>
              <w:rPr>
                <w:sz w:val="12"/>
                <w:szCs w:val="12"/>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408</w:t>
            </w:r>
          </w:p>
        </w:tc>
        <w:tc>
          <w:tcPr>
            <w:tcW w:w="3000" w:type="dxa"/>
            <w:vAlign w:val="bottom"/>
          </w:tcPr>
          <w:p>
            <w:pPr>
              <w:spacing w:after="0"/>
              <w:rPr>
                <w:sz w:val="12"/>
                <w:szCs w:val="12"/>
                <w:color w:val="auto"/>
              </w:rPr>
            </w:pPr>
          </w:p>
        </w:tc>
      </w:tr>
      <w:tr>
        <w:trPr>
          <w:trHeight w:val="142"/>
        </w:trPr>
        <w:tc>
          <w:tcPr>
            <w:tcW w:w="672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Dividends and distributions payable</w:t>
            </w: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18,516</w:t>
            </w:r>
          </w:p>
        </w:tc>
        <w:tc>
          <w:tcPr>
            <w:tcW w:w="3000" w:type="dxa"/>
            <w:vAlign w:val="bottom"/>
          </w:tcPr>
          <w:p>
            <w:pPr>
              <w:spacing w:after="0"/>
              <w:rPr>
                <w:sz w:val="12"/>
                <w:szCs w:val="12"/>
                <w:color w:val="auto"/>
              </w:rPr>
            </w:pPr>
          </w:p>
        </w:tc>
      </w:tr>
      <w:tr>
        <w:trPr>
          <w:trHeight w:val="135"/>
        </w:trPr>
        <w:tc>
          <w:tcPr>
            <w:tcW w:w="672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Total liabilities</w:t>
            </w:r>
          </w:p>
        </w:tc>
        <w:tc>
          <w:tcPr>
            <w:tcW w:w="180" w:type="dxa"/>
            <w:vAlign w:val="bottom"/>
            <w:tcBorders>
              <w:bottom w:val="single" w:sz="8" w:color="auto"/>
            </w:tcBorders>
            <w:shd w:val="clear" w:color="auto" w:fill="DBDBDB"/>
          </w:tcPr>
          <w:p>
            <w:pPr>
              <w:spacing w:after="0"/>
              <w:rPr>
                <w:sz w:val="11"/>
                <w:szCs w:val="11"/>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9,958,991</w:t>
            </w:r>
          </w:p>
        </w:tc>
        <w:tc>
          <w:tcPr>
            <w:tcW w:w="3000" w:type="dxa"/>
            <w:vAlign w:val="bottom"/>
          </w:tcPr>
          <w:p>
            <w:pPr>
              <w:spacing w:after="0"/>
              <w:rPr>
                <w:sz w:val="11"/>
                <w:szCs w:val="11"/>
                <w:color w:val="auto"/>
              </w:rPr>
            </w:pPr>
          </w:p>
        </w:tc>
      </w:tr>
      <w:tr>
        <w:trPr>
          <w:trHeight w:val="122"/>
        </w:trPr>
        <w:tc>
          <w:tcPr>
            <w:tcW w:w="6720" w:type="dxa"/>
            <w:vAlign w:val="bottom"/>
          </w:tcPr>
          <w:p>
            <w:pPr>
              <w:spacing w:after="0" w:line="120" w:lineRule="exact"/>
              <w:rPr>
                <w:sz w:val="20"/>
                <w:szCs w:val="20"/>
                <w:color w:val="auto"/>
              </w:rPr>
            </w:pPr>
            <w:r>
              <w:rPr>
                <w:rFonts w:ascii="Arial" w:cs="Arial" w:eastAsia="Arial" w:hAnsi="Arial"/>
                <w:sz w:val="11"/>
                <w:szCs w:val="11"/>
                <w:color w:val="auto"/>
              </w:rPr>
              <w:t>Commitments and contingencies</w:t>
            </w: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146"/>
        </w:trPr>
        <w:tc>
          <w:tcPr>
            <w:tcW w:w="672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Redeemable noncontrolling interests</w:t>
            </w:r>
          </w:p>
        </w:tc>
        <w:tc>
          <w:tcPr>
            <w:tcW w:w="180" w:type="dxa"/>
            <w:vAlign w:val="bottom"/>
            <w:shd w:val="clear" w:color="auto" w:fill="DBDBDB"/>
          </w:tcPr>
          <w:p>
            <w:pPr>
              <w:spacing w:after="0"/>
              <w:rPr>
                <w:sz w:val="12"/>
                <w:szCs w:val="12"/>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315,922</w:t>
            </w:r>
          </w:p>
        </w:tc>
        <w:tc>
          <w:tcPr>
            <w:tcW w:w="3000" w:type="dxa"/>
            <w:vAlign w:val="bottom"/>
          </w:tcPr>
          <w:p>
            <w:pPr>
              <w:spacing w:after="0"/>
              <w:rPr>
                <w:sz w:val="12"/>
                <w:szCs w:val="12"/>
                <w:color w:val="auto"/>
              </w:rPr>
            </w:pPr>
          </w:p>
        </w:tc>
      </w:tr>
      <w:tr>
        <w:trPr>
          <w:trHeight w:val="143"/>
        </w:trPr>
        <w:tc>
          <w:tcPr>
            <w:tcW w:w="6720" w:type="dxa"/>
            <w:vAlign w:val="bottom"/>
          </w:tcPr>
          <w:p>
            <w:pPr>
              <w:spacing w:after="0"/>
              <w:rPr>
                <w:sz w:val="20"/>
                <w:szCs w:val="20"/>
                <w:color w:val="auto"/>
              </w:rPr>
            </w:pPr>
            <w:r>
              <w:rPr>
                <w:rFonts w:ascii="Arial" w:cs="Arial" w:eastAsia="Arial" w:hAnsi="Arial"/>
                <w:sz w:val="11"/>
                <w:szCs w:val="11"/>
                <w:b w:val="1"/>
                <w:bCs w:val="1"/>
                <w:i w:val="1"/>
                <w:iCs w:val="1"/>
                <w:color w:val="003366"/>
              </w:rPr>
              <w:t>Equity</w:t>
            </w: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0" w:type="dxa"/>
            <w:vAlign w:val="bottom"/>
          </w:tcPr>
          <w:p>
            <w:pPr>
              <w:spacing w:after="0"/>
              <w:rPr>
                <w:sz w:val="12"/>
                <w:szCs w:val="12"/>
                <w:color w:val="auto"/>
              </w:rPr>
            </w:pPr>
          </w:p>
        </w:tc>
      </w:tr>
      <w:tr>
        <w:trPr>
          <w:trHeight w:val="145"/>
        </w:trPr>
        <w:tc>
          <w:tcPr>
            <w:tcW w:w="6720" w:type="dxa"/>
            <w:vAlign w:val="bottom"/>
            <w:shd w:val="clear" w:color="auto" w:fill="DBDBDB"/>
          </w:tcPr>
          <w:p>
            <w:pPr>
              <w:spacing w:after="0"/>
              <w:rPr>
                <w:sz w:val="20"/>
                <w:szCs w:val="20"/>
                <w:color w:val="auto"/>
              </w:rPr>
            </w:pPr>
            <w:r>
              <w:rPr>
                <w:rFonts w:ascii="Arial" w:cs="Arial" w:eastAsia="Arial" w:hAnsi="Arial"/>
                <w:sz w:val="11"/>
                <w:szCs w:val="11"/>
                <w:color w:val="auto"/>
              </w:rPr>
              <w:t>Stockholders’ equity:</w:t>
            </w:r>
          </w:p>
        </w:tc>
        <w:tc>
          <w:tcPr>
            <w:tcW w:w="180" w:type="dxa"/>
            <w:vAlign w:val="bottom"/>
            <w:shd w:val="clear" w:color="auto" w:fill="DBDBDB"/>
          </w:tcPr>
          <w:p>
            <w:pPr>
              <w:spacing w:after="0"/>
              <w:rPr>
                <w:sz w:val="12"/>
                <w:szCs w:val="12"/>
                <w:color w:val="auto"/>
              </w:rPr>
            </w:pPr>
          </w:p>
        </w:tc>
        <w:tc>
          <w:tcPr>
            <w:tcW w:w="1400" w:type="dxa"/>
            <w:vAlign w:val="bottom"/>
            <w:shd w:val="clear" w:color="auto" w:fill="DBDBDB"/>
          </w:tcPr>
          <w:p>
            <w:pPr>
              <w:spacing w:after="0"/>
              <w:rPr>
                <w:sz w:val="12"/>
                <w:szCs w:val="12"/>
                <w:color w:val="auto"/>
              </w:rPr>
            </w:pPr>
          </w:p>
        </w:tc>
        <w:tc>
          <w:tcPr>
            <w:tcW w:w="3000" w:type="dxa"/>
            <w:vAlign w:val="bottom"/>
          </w:tcPr>
          <w:p>
            <w:pPr>
              <w:spacing w:after="0"/>
              <w:rPr>
                <w:sz w:val="12"/>
                <w:szCs w:val="12"/>
                <w:color w:val="auto"/>
              </w:rPr>
            </w:pPr>
          </w:p>
        </w:tc>
      </w:tr>
      <w:tr>
        <w:trPr>
          <w:trHeight w:val="118"/>
        </w:trPr>
        <w:tc>
          <w:tcPr>
            <w:tcW w:w="6720" w:type="dxa"/>
            <w:vAlign w:val="bottom"/>
          </w:tcPr>
          <w:p>
            <w:pPr>
              <w:ind w:left="140"/>
              <w:spacing w:after="0" w:line="119" w:lineRule="exact"/>
              <w:rPr>
                <w:sz w:val="20"/>
                <w:szCs w:val="20"/>
                <w:color w:val="auto"/>
              </w:rPr>
            </w:pPr>
            <w:r>
              <w:rPr>
                <w:rFonts w:ascii="Arial" w:cs="Arial" w:eastAsia="Arial" w:hAnsi="Arial"/>
                <w:sz w:val="11"/>
                <w:szCs w:val="11"/>
                <w:color w:val="auto"/>
              </w:rPr>
              <w:t>Preferred stock, $0.01 par value per share; $1,033,750 liquidation preference; 250,000 shares authorized; 41,350 shares issued and</w:t>
            </w: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132"/>
        </w:trPr>
        <w:tc>
          <w:tcPr>
            <w:tcW w:w="6720" w:type="dxa"/>
            <w:vAlign w:val="bottom"/>
          </w:tcPr>
          <w:p>
            <w:pPr>
              <w:ind w:left="140"/>
              <w:spacing w:after="0"/>
              <w:rPr>
                <w:sz w:val="20"/>
                <w:szCs w:val="20"/>
                <w:color w:val="auto"/>
              </w:rPr>
            </w:pPr>
            <w:r>
              <w:rPr>
                <w:rFonts w:ascii="Arial" w:cs="Arial" w:eastAsia="Arial" w:hAnsi="Arial"/>
                <w:sz w:val="11"/>
                <w:szCs w:val="11"/>
                <w:color w:val="auto"/>
              </w:rPr>
              <w:t>outstanding</w:t>
            </w:r>
          </w:p>
        </w:tc>
        <w:tc>
          <w:tcPr>
            <w:tcW w:w="18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999,490</w:t>
            </w:r>
          </w:p>
        </w:tc>
        <w:tc>
          <w:tcPr>
            <w:tcW w:w="3000" w:type="dxa"/>
            <w:vAlign w:val="bottom"/>
          </w:tcPr>
          <w:p>
            <w:pPr>
              <w:spacing w:after="0"/>
              <w:rPr>
                <w:sz w:val="11"/>
                <w:szCs w:val="11"/>
                <w:color w:val="auto"/>
              </w:rPr>
            </w:pPr>
          </w:p>
        </w:tc>
      </w:tr>
      <w:tr>
        <w:trPr>
          <w:trHeight w:val="146"/>
        </w:trPr>
        <w:tc>
          <w:tcPr>
            <w:tcW w:w="67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Common stock, $0.01 par value per share</w:t>
            </w:r>
          </w:p>
        </w:tc>
        <w:tc>
          <w:tcPr>
            <w:tcW w:w="180" w:type="dxa"/>
            <w:vAlign w:val="bottom"/>
            <w:shd w:val="clear" w:color="auto" w:fill="DBDBDB"/>
          </w:tcPr>
          <w:p>
            <w:pPr>
              <w:spacing w:after="0"/>
              <w:rPr>
                <w:sz w:val="12"/>
                <w:szCs w:val="12"/>
                <w:color w:val="auto"/>
              </w:rPr>
            </w:pPr>
          </w:p>
        </w:tc>
        <w:tc>
          <w:tcPr>
            <w:tcW w:w="1400" w:type="dxa"/>
            <w:vAlign w:val="bottom"/>
            <w:shd w:val="clear" w:color="auto" w:fill="DBDBDB"/>
          </w:tcPr>
          <w:p>
            <w:pPr>
              <w:spacing w:after="0"/>
              <w:rPr>
                <w:sz w:val="12"/>
                <w:szCs w:val="12"/>
                <w:color w:val="auto"/>
              </w:rPr>
            </w:pPr>
          </w:p>
        </w:tc>
        <w:tc>
          <w:tcPr>
            <w:tcW w:w="3000" w:type="dxa"/>
            <w:vAlign w:val="bottom"/>
          </w:tcPr>
          <w:p>
            <w:pPr>
              <w:spacing w:after="0"/>
              <w:rPr>
                <w:sz w:val="12"/>
                <w:szCs w:val="12"/>
                <w:color w:val="auto"/>
              </w:rPr>
            </w:pPr>
          </w:p>
        </w:tc>
      </w:tr>
      <w:tr>
        <w:trPr>
          <w:trHeight w:val="142"/>
        </w:trPr>
        <w:tc>
          <w:tcPr>
            <w:tcW w:w="6720" w:type="dxa"/>
            <w:vAlign w:val="bottom"/>
          </w:tcPr>
          <w:p>
            <w:pPr>
              <w:ind w:left="300"/>
              <w:spacing w:after="0"/>
              <w:rPr>
                <w:sz w:val="20"/>
                <w:szCs w:val="20"/>
                <w:color w:val="auto"/>
              </w:rPr>
            </w:pPr>
            <w:r>
              <w:rPr>
                <w:rFonts w:ascii="Arial" w:cs="Arial" w:eastAsia="Arial" w:hAnsi="Arial"/>
                <w:sz w:val="11"/>
                <w:szCs w:val="11"/>
                <w:color w:val="auto"/>
              </w:rPr>
              <w:t>Class A, 949,000 shares authorized; 487,103 shares issued and outstanding</w:t>
            </w: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4,871</w:t>
            </w:r>
          </w:p>
        </w:tc>
        <w:tc>
          <w:tcPr>
            <w:tcW w:w="3000" w:type="dxa"/>
            <w:vAlign w:val="bottom"/>
          </w:tcPr>
          <w:p>
            <w:pPr>
              <w:spacing w:after="0"/>
              <w:rPr>
                <w:sz w:val="12"/>
                <w:szCs w:val="12"/>
                <w:color w:val="auto"/>
              </w:rPr>
            </w:pPr>
          </w:p>
        </w:tc>
      </w:tr>
      <w:tr>
        <w:trPr>
          <w:trHeight w:val="146"/>
        </w:trPr>
        <w:tc>
          <w:tcPr>
            <w:tcW w:w="6720" w:type="dxa"/>
            <w:vAlign w:val="bottom"/>
            <w:shd w:val="clear" w:color="auto" w:fill="DBDBDB"/>
          </w:tcPr>
          <w:p>
            <w:pPr>
              <w:ind w:left="300"/>
              <w:spacing w:after="0"/>
              <w:rPr>
                <w:sz w:val="20"/>
                <w:szCs w:val="20"/>
                <w:color w:val="auto"/>
              </w:rPr>
            </w:pPr>
            <w:r>
              <w:rPr>
                <w:rFonts w:ascii="Arial" w:cs="Arial" w:eastAsia="Arial" w:hAnsi="Arial"/>
                <w:sz w:val="11"/>
                <w:szCs w:val="11"/>
                <w:color w:val="auto"/>
              </w:rPr>
              <w:t>Class B, 1,000 shares authorized; 734 shares issued and outstanding</w:t>
            </w:r>
          </w:p>
        </w:tc>
        <w:tc>
          <w:tcPr>
            <w:tcW w:w="180" w:type="dxa"/>
            <w:vAlign w:val="bottom"/>
            <w:shd w:val="clear" w:color="auto" w:fill="DBDBDB"/>
          </w:tcPr>
          <w:p>
            <w:pPr>
              <w:spacing w:after="0"/>
              <w:rPr>
                <w:sz w:val="12"/>
                <w:szCs w:val="12"/>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w:t>
            </w:r>
          </w:p>
        </w:tc>
        <w:tc>
          <w:tcPr>
            <w:tcW w:w="3000" w:type="dxa"/>
            <w:vAlign w:val="bottom"/>
          </w:tcPr>
          <w:p>
            <w:pPr>
              <w:spacing w:after="0"/>
              <w:rPr>
                <w:sz w:val="12"/>
                <w:szCs w:val="12"/>
                <w:color w:val="auto"/>
              </w:rPr>
            </w:pPr>
          </w:p>
        </w:tc>
      </w:tr>
      <w:tr>
        <w:trPr>
          <w:trHeight w:val="142"/>
        </w:trPr>
        <w:tc>
          <w:tcPr>
            <w:tcW w:w="6720" w:type="dxa"/>
            <w:vAlign w:val="bottom"/>
          </w:tcPr>
          <w:p>
            <w:pPr>
              <w:ind w:left="140"/>
              <w:spacing w:after="0"/>
              <w:rPr>
                <w:sz w:val="20"/>
                <w:szCs w:val="20"/>
                <w:color w:val="auto"/>
              </w:rPr>
            </w:pPr>
            <w:r>
              <w:rPr>
                <w:rFonts w:ascii="Arial" w:cs="Arial" w:eastAsia="Arial" w:hAnsi="Arial"/>
                <w:sz w:val="11"/>
                <w:szCs w:val="11"/>
                <w:color w:val="auto"/>
              </w:rPr>
              <w:t>Additional paid-in capital</w:t>
            </w: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7,576,873</w:t>
            </w:r>
          </w:p>
        </w:tc>
        <w:tc>
          <w:tcPr>
            <w:tcW w:w="3000" w:type="dxa"/>
            <w:vAlign w:val="bottom"/>
          </w:tcPr>
          <w:p>
            <w:pPr>
              <w:spacing w:after="0"/>
              <w:rPr>
                <w:sz w:val="12"/>
                <w:szCs w:val="12"/>
                <w:color w:val="auto"/>
              </w:rPr>
            </w:pPr>
          </w:p>
        </w:tc>
      </w:tr>
      <w:tr>
        <w:trPr>
          <w:trHeight w:val="146"/>
        </w:trPr>
        <w:tc>
          <w:tcPr>
            <w:tcW w:w="67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Accumulated deficit</w:t>
            </w:r>
          </w:p>
        </w:tc>
        <w:tc>
          <w:tcPr>
            <w:tcW w:w="180" w:type="dxa"/>
            <w:vAlign w:val="bottom"/>
            <w:shd w:val="clear" w:color="auto" w:fill="DBDBDB"/>
          </w:tcPr>
          <w:p>
            <w:pPr>
              <w:spacing w:after="0"/>
              <w:rPr>
                <w:sz w:val="12"/>
                <w:szCs w:val="12"/>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(6,460,262)</w:t>
            </w:r>
          </w:p>
        </w:tc>
        <w:tc>
          <w:tcPr>
            <w:tcW w:w="3000" w:type="dxa"/>
            <w:vAlign w:val="bottom"/>
          </w:tcPr>
          <w:p>
            <w:pPr>
              <w:spacing w:after="0"/>
              <w:rPr>
                <w:sz w:val="12"/>
                <w:szCs w:val="12"/>
                <w:color w:val="auto"/>
              </w:rPr>
            </w:pPr>
          </w:p>
        </w:tc>
      </w:tr>
      <w:tr>
        <w:trPr>
          <w:trHeight w:val="142"/>
        </w:trPr>
        <w:tc>
          <w:tcPr>
            <w:tcW w:w="672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Accumulated other comprehensive income</w:t>
            </w: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101,056</w:t>
            </w:r>
          </w:p>
        </w:tc>
        <w:tc>
          <w:tcPr>
            <w:tcW w:w="3000" w:type="dxa"/>
            <w:vAlign w:val="bottom"/>
          </w:tcPr>
          <w:p>
            <w:pPr>
              <w:spacing w:after="0"/>
              <w:rPr>
                <w:sz w:val="12"/>
                <w:szCs w:val="12"/>
                <w:color w:val="auto"/>
              </w:rPr>
            </w:pPr>
          </w:p>
        </w:tc>
      </w:tr>
      <w:tr>
        <w:trPr>
          <w:trHeight w:val="135"/>
        </w:trPr>
        <w:tc>
          <w:tcPr>
            <w:tcW w:w="6720" w:type="dxa"/>
            <w:vAlign w:val="bottom"/>
            <w:shd w:val="clear" w:color="auto" w:fill="DBDBDB"/>
          </w:tcPr>
          <w:p>
            <w:pPr>
              <w:ind w:left="300"/>
              <w:spacing w:after="0"/>
              <w:rPr>
                <w:sz w:val="20"/>
                <w:szCs w:val="20"/>
                <w:color w:val="auto"/>
              </w:rPr>
            </w:pPr>
            <w:r>
              <w:rPr>
                <w:rFonts w:ascii="Arial" w:cs="Arial" w:eastAsia="Arial" w:hAnsi="Arial"/>
                <w:sz w:val="11"/>
                <w:szCs w:val="11"/>
                <w:color w:val="auto"/>
              </w:rPr>
              <w:t>Total stockholders’ equity</w:t>
            </w:r>
          </w:p>
        </w:tc>
        <w:tc>
          <w:tcPr>
            <w:tcW w:w="180" w:type="dxa"/>
            <w:vAlign w:val="bottom"/>
            <w:shd w:val="clear" w:color="auto" w:fill="DBDBDB"/>
          </w:tcPr>
          <w:p>
            <w:pPr>
              <w:spacing w:after="0"/>
              <w:rPr>
                <w:sz w:val="11"/>
                <w:szCs w:val="1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2,222,035</w:t>
            </w:r>
          </w:p>
        </w:tc>
        <w:tc>
          <w:tcPr>
            <w:tcW w:w="3000" w:type="dxa"/>
            <w:vAlign w:val="bottom"/>
          </w:tcPr>
          <w:p>
            <w:pPr>
              <w:spacing w:after="0"/>
              <w:rPr>
                <w:sz w:val="11"/>
                <w:szCs w:val="11"/>
                <w:color w:val="auto"/>
              </w:rPr>
            </w:pPr>
          </w:p>
        </w:tc>
      </w:tr>
      <w:tr>
        <w:trPr>
          <w:trHeight w:val="142"/>
        </w:trPr>
        <w:tc>
          <w:tcPr>
            <w:tcW w:w="6720" w:type="dxa"/>
            <w:vAlign w:val="bottom"/>
          </w:tcPr>
          <w:p>
            <w:pPr>
              <w:ind w:left="140"/>
              <w:spacing w:after="0"/>
              <w:rPr>
                <w:sz w:val="20"/>
                <w:szCs w:val="20"/>
                <w:color w:val="auto"/>
              </w:rPr>
            </w:pPr>
            <w:r>
              <w:rPr>
                <w:rFonts w:ascii="Arial" w:cs="Arial" w:eastAsia="Arial" w:hAnsi="Arial"/>
                <w:sz w:val="11"/>
                <w:szCs w:val="11"/>
                <w:color w:val="auto"/>
              </w:rPr>
              <w:t>Noncontrolling interests in investment entities</w:t>
            </w: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4,003,905</w:t>
            </w:r>
          </w:p>
        </w:tc>
        <w:tc>
          <w:tcPr>
            <w:tcW w:w="3000" w:type="dxa"/>
            <w:vAlign w:val="bottom"/>
          </w:tcPr>
          <w:p>
            <w:pPr>
              <w:spacing w:after="0"/>
              <w:rPr>
                <w:sz w:val="12"/>
                <w:szCs w:val="12"/>
                <w:color w:val="auto"/>
              </w:rPr>
            </w:pPr>
          </w:p>
        </w:tc>
      </w:tr>
      <w:tr>
        <w:trPr>
          <w:trHeight w:val="144"/>
        </w:trPr>
        <w:tc>
          <w:tcPr>
            <w:tcW w:w="67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Noncontrolling interests in Operating Company</w:t>
            </w:r>
          </w:p>
        </w:tc>
        <w:tc>
          <w:tcPr>
            <w:tcW w:w="180" w:type="dxa"/>
            <w:vAlign w:val="bottom"/>
            <w:tcBorders>
              <w:bottom w:val="single" w:sz="8" w:color="auto"/>
            </w:tcBorders>
            <w:shd w:val="clear" w:color="auto" w:fill="DBDBDB"/>
          </w:tcPr>
          <w:p>
            <w:pPr>
              <w:spacing w:after="0"/>
              <w:rPr>
                <w:sz w:val="12"/>
                <w:szCs w:val="12"/>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124,397</w:t>
            </w:r>
          </w:p>
        </w:tc>
        <w:tc>
          <w:tcPr>
            <w:tcW w:w="3000" w:type="dxa"/>
            <w:vAlign w:val="bottom"/>
          </w:tcPr>
          <w:p>
            <w:pPr>
              <w:spacing w:after="0"/>
              <w:rPr>
                <w:sz w:val="12"/>
                <w:szCs w:val="12"/>
                <w:color w:val="auto"/>
              </w:rPr>
            </w:pPr>
          </w:p>
        </w:tc>
      </w:tr>
      <w:tr>
        <w:trPr>
          <w:trHeight w:val="133"/>
        </w:trPr>
        <w:tc>
          <w:tcPr>
            <w:tcW w:w="672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Total equity</w:t>
            </w:r>
          </w:p>
        </w:tc>
        <w:tc>
          <w:tcPr>
            <w:tcW w:w="1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6,350,337</w:t>
            </w:r>
          </w:p>
        </w:tc>
        <w:tc>
          <w:tcPr>
            <w:tcW w:w="3000" w:type="dxa"/>
            <w:vAlign w:val="bottom"/>
          </w:tcPr>
          <w:p>
            <w:pPr>
              <w:spacing w:after="0"/>
              <w:rPr>
                <w:sz w:val="11"/>
                <w:szCs w:val="11"/>
                <w:color w:val="auto"/>
              </w:rPr>
            </w:pPr>
          </w:p>
        </w:tc>
      </w:tr>
      <w:tr>
        <w:trPr>
          <w:trHeight w:val="144"/>
        </w:trPr>
        <w:tc>
          <w:tcPr>
            <w:tcW w:w="67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Total liabilities, redeemable noncontrolling interests and equity</w:t>
            </w:r>
          </w:p>
        </w:tc>
        <w:tc>
          <w:tcPr>
            <w:tcW w:w="180" w:type="dxa"/>
            <w:vAlign w:val="bottom"/>
            <w:tcBorders>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16,625,250</w:t>
            </w:r>
          </w:p>
        </w:tc>
        <w:tc>
          <w:tcPr>
            <w:tcW w:w="3000" w:type="dxa"/>
            <w:vAlign w:val="bottom"/>
          </w:tcPr>
          <w:p>
            <w:pPr>
              <w:spacing w:after="0"/>
              <w:rPr>
                <w:sz w:val="12"/>
                <w:szCs w:val="12"/>
                <w:color w:val="auto"/>
              </w:rPr>
            </w:pPr>
          </w:p>
        </w:tc>
      </w:tr>
      <w:tr>
        <w:trPr>
          <w:trHeight w:val="394"/>
        </w:trPr>
        <w:tc>
          <w:tcPr>
            <w:tcW w:w="6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spacing w:after="0"/>
              <w:rPr>
                <w:sz w:val="24"/>
                <w:szCs w:val="24"/>
                <w:color w:val="auto"/>
              </w:rPr>
            </w:pPr>
          </w:p>
        </w:tc>
      </w:tr>
      <w:tr>
        <w:trPr>
          <w:trHeight w:val="118"/>
        </w:trPr>
        <w:tc>
          <w:tcPr>
            <w:tcW w:w="6720" w:type="dxa"/>
            <w:vAlign w:val="bottom"/>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180" w:type="dxa"/>
            <w:vAlign w:val="bottom"/>
          </w:tcPr>
          <w:p>
            <w:pPr>
              <w:spacing w:after="0"/>
              <w:rPr>
                <w:sz w:val="10"/>
                <w:szCs w:val="10"/>
                <w:color w:val="auto"/>
              </w:rPr>
            </w:pPr>
          </w:p>
        </w:tc>
        <w:tc>
          <w:tcPr>
            <w:tcW w:w="4400" w:type="dxa"/>
            <w:vAlign w:val="bottom"/>
            <w:gridSpan w:val="2"/>
          </w:tcPr>
          <w:p>
            <w:pPr>
              <w:jc w:val="right"/>
              <w:ind w:right="420"/>
              <w:spacing w:after="0"/>
              <w:rPr>
                <w:sz w:val="20"/>
                <w:szCs w:val="20"/>
                <w:color w:val="auto"/>
              </w:rPr>
            </w:pPr>
            <w:r>
              <w:rPr>
                <w:rFonts w:ascii="Arial" w:cs="Arial" w:eastAsia="Arial" w:hAnsi="Arial"/>
                <w:sz w:val="10"/>
                <w:szCs w:val="10"/>
                <w:color w:val="auto"/>
              </w:rPr>
              <w:t>9</w:t>
            </w:r>
          </w:p>
        </w:tc>
      </w:tr>
    </w:tbl>
    <w:p>
      <w:pPr>
        <w:sectPr>
          <w:pgSz w:w="11900" w:h="16838" w:orient="portrait"/>
          <w:cols w:equalWidth="0" w:num="1">
            <w:col w:w="11300"/>
          </w:cols>
          <w:pgMar w:left="300" w:top="158" w:right="299" w:bottom="1440" w:gutter="0" w:footer="0" w:header="0"/>
        </w:sectPr>
      </w:pPr>
    </w:p>
    <w:bookmarkStart w:id="24" w:name="page25"/>
    <w:bookmarkEnd w:id="24"/>
    <w:p>
      <w:pPr>
        <w:spacing w:after="0"/>
        <w:rPr>
          <w:sz w:val="20"/>
          <w:szCs w:val="20"/>
          <w:color w:val="auto"/>
        </w:rPr>
      </w:pPr>
      <w:r>
        <w:rPr>
          <w:rFonts w:ascii="Arial" w:cs="Arial" w:eastAsia="Arial" w:hAnsi="Arial"/>
          <w:sz w:val="26"/>
          <w:szCs w:val="26"/>
          <w:color w:val="auto"/>
        </w:rPr>
        <w:t>IIb. Financial Results - Noncontrolling Interests’ Share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22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700" w:type="dxa"/>
            <w:vAlign w:val="bottom"/>
          </w:tcPr>
          <w:p>
            <w:pPr>
              <w:spacing w:after="0"/>
              <w:rPr>
                <w:sz w:val="20"/>
                <w:szCs w:val="20"/>
                <w:color w:val="auto"/>
              </w:rPr>
            </w:pPr>
            <w:r>
              <w:rPr>
                <w:rFonts w:ascii="Arial" w:cs="Arial" w:eastAsia="Arial" w:hAnsi="Arial"/>
                <w:sz w:val="10"/>
                <w:szCs w:val="10"/>
                <w:i w:val="1"/>
                <w:iCs w:val="1"/>
                <w:color w:val="auto"/>
              </w:rPr>
              <w:t>($ in thousands, except per share data) (unaudited)</w:t>
            </w:r>
          </w:p>
        </w:tc>
        <w:tc>
          <w:tcPr>
            <w:tcW w:w="180" w:type="dxa"/>
            <w:vAlign w:val="bottom"/>
          </w:tcPr>
          <w:p>
            <w:pPr>
              <w:spacing w:after="0"/>
              <w:rPr>
                <w:sz w:val="11"/>
                <w:szCs w:val="11"/>
                <w:color w:val="auto"/>
              </w:rPr>
            </w:pPr>
          </w:p>
        </w:tc>
        <w:tc>
          <w:tcPr>
            <w:tcW w:w="4420" w:type="dxa"/>
            <w:vAlign w:val="bottom"/>
            <w:gridSpan w:val="2"/>
          </w:tcPr>
          <w:p>
            <w:pPr>
              <w:jc w:val="right"/>
              <w:ind w:right="3280"/>
              <w:spacing w:after="0"/>
              <w:rPr>
                <w:sz w:val="20"/>
                <w:szCs w:val="20"/>
                <w:color w:val="auto"/>
              </w:rPr>
            </w:pPr>
            <w:r>
              <w:rPr>
                <w:rFonts w:ascii="Arial" w:cs="Arial" w:eastAsia="Arial" w:hAnsi="Arial"/>
                <w:sz w:val="10"/>
                <w:szCs w:val="10"/>
                <w:b w:val="1"/>
                <w:bCs w:val="1"/>
                <w:color w:val="auto"/>
              </w:rPr>
              <w:t>As of March 31, 2021</w:t>
            </w:r>
          </w:p>
        </w:tc>
      </w:tr>
      <w:tr>
        <w:trPr>
          <w:trHeight w:val="128"/>
        </w:trPr>
        <w:tc>
          <w:tcPr>
            <w:tcW w:w="6700" w:type="dxa"/>
            <w:vAlign w:val="bottom"/>
          </w:tcPr>
          <w:p>
            <w:pPr>
              <w:spacing w:after="0"/>
              <w:rPr>
                <w:sz w:val="20"/>
                <w:szCs w:val="20"/>
                <w:color w:val="auto"/>
              </w:rPr>
            </w:pPr>
            <w:r>
              <w:rPr>
                <w:rFonts w:ascii="Arial" w:cs="Arial" w:eastAsia="Arial" w:hAnsi="Arial"/>
                <w:sz w:val="11"/>
                <w:szCs w:val="11"/>
                <w:b w:val="1"/>
                <w:bCs w:val="1"/>
                <w:i w:val="1"/>
                <w:iCs w:val="1"/>
                <w:color w:val="003366"/>
              </w:rPr>
              <w:t>Assets</w:t>
            </w: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3000" w:type="dxa"/>
            <w:vAlign w:val="bottom"/>
          </w:tcPr>
          <w:p>
            <w:pPr>
              <w:spacing w:after="0"/>
              <w:rPr>
                <w:sz w:val="11"/>
                <w:szCs w:val="11"/>
                <w:color w:val="auto"/>
              </w:rPr>
            </w:pPr>
          </w:p>
        </w:tc>
      </w:tr>
      <w:tr>
        <w:trPr>
          <w:trHeight w:val="146"/>
        </w:trPr>
        <w:tc>
          <w:tcPr>
            <w:tcW w:w="67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Cash and cash equivalents</w:t>
            </w:r>
          </w:p>
        </w:tc>
        <w:tc>
          <w:tcPr>
            <w:tcW w:w="18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269,946</w:t>
            </w:r>
          </w:p>
        </w:tc>
        <w:tc>
          <w:tcPr>
            <w:tcW w:w="3000" w:type="dxa"/>
            <w:vAlign w:val="bottom"/>
          </w:tcPr>
          <w:p>
            <w:pPr>
              <w:spacing w:after="0"/>
              <w:rPr>
                <w:sz w:val="12"/>
                <w:szCs w:val="12"/>
                <w:color w:val="auto"/>
              </w:rPr>
            </w:pPr>
          </w:p>
        </w:tc>
      </w:tr>
      <w:tr>
        <w:trPr>
          <w:trHeight w:val="142"/>
        </w:trPr>
        <w:tc>
          <w:tcPr>
            <w:tcW w:w="6700" w:type="dxa"/>
            <w:vAlign w:val="bottom"/>
          </w:tcPr>
          <w:p>
            <w:pPr>
              <w:ind w:left="140"/>
              <w:spacing w:after="0"/>
              <w:rPr>
                <w:sz w:val="20"/>
                <w:szCs w:val="20"/>
                <w:color w:val="auto"/>
              </w:rPr>
            </w:pPr>
            <w:r>
              <w:rPr>
                <w:rFonts w:ascii="Arial" w:cs="Arial" w:eastAsia="Arial" w:hAnsi="Arial"/>
                <w:sz w:val="11"/>
                <w:szCs w:val="11"/>
                <w:color w:val="auto"/>
              </w:rPr>
              <w:t>Restricted cash</w:t>
            </w:r>
          </w:p>
        </w:tc>
        <w:tc>
          <w:tcPr>
            <w:tcW w:w="18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86,844</w:t>
            </w:r>
          </w:p>
        </w:tc>
        <w:tc>
          <w:tcPr>
            <w:tcW w:w="3000" w:type="dxa"/>
            <w:vAlign w:val="bottom"/>
          </w:tcPr>
          <w:p>
            <w:pPr>
              <w:spacing w:after="0"/>
              <w:rPr>
                <w:sz w:val="12"/>
                <w:szCs w:val="12"/>
                <w:color w:val="auto"/>
              </w:rPr>
            </w:pPr>
          </w:p>
        </w:tc>
      </w:tr>
      <w:tr>
        <w:trPr>
          <w:trHeight w:val="146"/>
        </w:trPr>
        <w:tc>
          <w:tcPr>
            <w:tcW w:w="67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Real estate, net</w:t>
            </w:r>
          </w:p>
        </w:tc>
        <w:tc>
          <w:tcPr>
            <w:tcW w:w="180" w:type="dxa"/>
            <w:vAlign w:val="bottom"/>
            <w:shd w:val="clear" w:color="auto" w:fill="DBDBDB"/>
          </w:tcPr>
          <w:p>
            <w:pPr>
              <w:spacing w:after="0"/>
              <w:rPr>
                <w:sz w:val="12"/>
                <w:szCs w:val="12"/>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4,685,687</w:t>
            </w:r>
          </w:p>
        </w:tc>
        <w:tc>
          <w:tcPr>
            <w:tcW w:w="3000" w:type="dxa"/>
            <w:vAlign w:val="bottom"/>
          </w:tcPr>
          <w:p>
            <w:pPr>
              <w:spacing w:after="0"/>
              <w:rPr>
                <w:sz w:val="12"/>
                <w:szCs w:val="12"/>
                <w:color w:val="auto"/>
              </w:rPr>
            </w:pPr>
          </w:p>
        </w:tc>
      </w:tr>
      <w:tr>
        <w:trPr>
          <w:trHeight w:val="142"/>
        </w:trPr>
        <w:tc>
          <w:tcPr>
            <w:tcW w:w="6700" w:type="dxa"/>
            <w:vAlign w:val="bottom"/>
          </w:tcPr>
          <w:p>
            <w:pPr>
              <w:ind w:left="140"/>
              <w:spacing w:after="0"/>
              <w:rPr>
                <w:sz w:val="20"/>
                <w:szCs w:val="20"/>
                <w:color w:val="auto"/>
              </w:rPr>
            </w:pPr>
            <w:r>
              <w:rPr>
                <w:rFonts w:ascii="Arial" w:cs="Arial" w:eastAsia="Arial" w:hAnsi="Arial"/>
                <w:sz w:val="11"/>
                <w:szCs w:val="11"/>
                <w:color w:val="auto"/>
              </w:rPr>
              <w:t>Loans receivable</w:t>
            </w:r>
          </w:p>
        </w:tc>
        <w:tc>
          <w:tcPr>
            <w:tcW w:w="18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168,934</w:t>
            </w:r>
          </w:p>
        </w:tc>
        <w:tc>
          <w:tcPr>
            <w:tcW w:w="3000" w:type="dxa"/>
            <w:vAlign w:val="bottom"/>
          </w:tcPr>
          <w:p>
            <w:pPr>
              <w:spacing w:after="0"/>
              <w:rPr>
                <w:sz w:val="12"/>
                <w:szCs w:val="12"/>
                <w:color w:val="auto"/>
              </w:rPr>
            </w:pPr>
          </w:p>
        </w:tc>
      </w:tr>
      <w:tr>
        <w:trPr>
          <w:trHeight w:val="146"/>
        </w:trPr>
        <w:tc>
          <w:tcPr>
            <w:tcW w:w="67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Equity and debt investments</w:t>
            </w:r>
          </w:p>
        </w:tc>
        <w:tc>
          <w:tcPr>
            <w:tcW w:w="180" w:type="dxa"/>
            <w:vAlign w:val="bottom"/>
            <w:shd w:val="clear" w:color="auto" w:fill="DBDBDB"/>
          </w:tcPr>
          <w:p>
            <w:pPr>
              <w:spacing w:after="0"/>
              <w:rPr>
                <w:sz w:val="12"/>
                <w:szCs w:val="12"/>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472,794</w:t>
            </w:r>
          </w:p>
        </w:tc>
        <w:tc>
          <w:tcPr>
            <w:tcW w:w="3000" w:type="dxa"/>
            <w:vAlign w:val="bottom"/>
          </w:tcPr>
          <w:p>
            <w:pPr>
              <w:spacing w:after="0"/>
              <w:rPr>
                <w:sz w:val="12"/>
                <w:szCs w:val="12"/>
                <w:color w:val="auto"/>
              </w:rPr>
            </w:pPr>
          </w:p>
        </w:tc>
      </w:tr>
      <w:tr>
        <w:trPr>
          <w:trHeight w:val="142"/>
        </w:trPr>
        <w:tc>
          <w:tcPr>
            <w:tcW w:w="6700" w:type="dxa"/>
            <w:vAlign w:val="bottom"/>
          </w:tcPr>
          <w:p>
            <w:pPr>
              <w:ind w:left="140"/>
              <w:spacing w:after="0"/>
              <w:rPr>
                <w:sz w:val="20"/>
                <w:szCs w:val="20"/>
                <w:color w:val="auto"/>
              </w:rPr>
            </w:pPr>
            <w:r>
              <w:rPr>
                <w:rFonts w:ascii="Arial" w:cs="Arial" w:eastAsia="Arial" w:hAnsi="Arial"/>
                <w:sz w:val="11"/>
                <w:szCs w:val="11"/>
                <w:color w:val="auto"/>
              </w:rPr>
              <w:t>Goodwill</w:t>
            </w:r>
          </w:p>
        </w:tc>
        <w:tc>
          <w:tcPr>
            <w:tcW w:w="18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456,477</w:t>
            </w:r>
          </w:p>
        </w:tc>
        <w:tc>
          <w:tcPr>
            <w:tcW w:w="3000" w:type="dxa"/>
            <w:vAlign w:val="bottom"/>
          </w:tcPr>
          <w:p>
            <w:pPr>
              <w:spacing w:after="0"/>
              <w:rPr>
                <w:sz w:val="12"/>
                <w:szCs w:val="12"/>
                <w:color w:val="auto"/>
              </w:rPr>
            </w:pPr>
          </w:p>
        </w:tc>
      </w:tr>
      <w:tr>
        <w:trPr>
          <w:trHeight w:val="146"/>
        </w:trPr>
        <w:tc>
          <w:tcPr>
            <w:tcW w:w="67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Deferred leasing costs and intangible assets, net</w:t>
            </w:r>
          </w:p>
        </w:tc>
        <w:tc>
          <w:tcPr>
            <w:tcW w:w="180" w:type="dxa"/>
            <w:vAlign w:val="bottom"/>
            <w:shd w:val="clear" w:color="auto" w:fill="DBDBDB"/>
          </w:tcPr>
          <w:p>
            <w:pPr>
              <w:spacing w:after="0"/>
              <w:rPr>
                <w:sz w:val="12"/>
                <w:szCs w:val="12"/>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1,118,191</w:t>
            </w:r>
          </w:p>
        </w:tc>
        <w:tc>
          <w:tcPr>
            <w:tcW w:w="3000" w:type="dxa"/>
            <w:vAlign w:val="bottom"/>
          </w:tcPr>
          <w:p>
            <w:pPr>
              <w:spacing w:after="0"/>
              <w:rPr>
                <w:sz w:val="12"/>
                <w:szCs w:val="12"/>
                <w:color w:val="auto"/>
              </w:rPr>
            </w:pPr>
          </w:p>
        </w:tc>
      </w:tr>
      <w:tr>
        <w:trPr>
          <w:trHeight w:val="142"/>
        </w:trPr>
        <w:tc>
          <w:tcPr>
            <w:tcW w:w="6700" w:type="dxa"/>
            <w:vAlign w:val="bottom"/>
          </w:tcPr>
          <w:p>
            <w:pPr>
              <w:ind w:left="140"/>
              <w:spacing w:after="0"/>
              <w:rPr>
                <w:sz w:val="20"/>
                <w:szCs w:val="20"/>
                <w:color w:val="auto"/>
              </w:rPr>
            </w:pPr>
            <w:r>
              <w:rPr>
                <w:rFonts w:ascii="Arial" w:cs="Arial" w:eastAsia="Arial" w:hAnsi="Arial"/>
                <w:sz w:val="11"/>
                <w:szCs w:val="11"/>
                <w:color w:val="auto"/>
              </w:rPr>
              <w:t>Assets held for disposition</w:t>
            </w:r>
          </w:p>
        </w:tc>
        <w:tc>
          <w:tcPr>
            <w:tcW w:w="18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1,375,544</w:t>
            </w:r>
          </w:p>
        </w:tc>
        <w:tc>
          <w:tcPr>
            <w:tcW w:w="3000" w:type="dxa"/>
            <w:vAlign w:val="bottom"/>
          </w:tcPr>
          <w:p>
            <w:pPr>
              <w:spacing w:after="0"/>
              <w:rPr>
                <w:sz w:val="12"/>
                <w:szCs w:val="12"/>
                <w:color w:val="auto"/>
              </w:rPr>
            </w:pPr>
          </w:p>
        </w:tc>
      </w:tr>
      <w:tr>
        <w:trPr>
          <w:trHeight w:val="146"/>
        </w:trPr>
        <w:tc>
          <w:tcPr>
            <w:tcW w:w="67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Other assets</w:t>
            </w:r>
          </w:p>
        </w:tc>
        <w:tc>
          <w:tcPr>
            <w:tcW w:w="180" w:type="dxa"/>
            <w:vAlign w:val="bottom"/>
            <w:shd w:val="clear" w:color="auto" w:fill="DBDBDB"/>
          </w:tcPr>
          <w:p>
            <w:pPr>
              <w:spacing w:after="0"/>
              <w:rPr>
                <w:sz w:val="12"/>
                <w:szCs w:val="12"/>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659,071</w:t>
            </w:r>
          </w:p>
        </w:tc>
        <w:tc>
          <w:tcPr>
            <w:tcW w:w="3000" w:type="dxa"/>
            <w:vAlign w:val="bottom"/>
          </w:tcPr>
          <w:p>
            <w:pPr>
              <w:spacing w:after="0"/>
              <w:rPr>
                <w:sz w:val="12"/>
                <w:szCs w:val="12"/>
                <w:color w:val="auto"/>
              </w:rPr>
            </w:pPr>
          </w:p>
        </w:tc>
      </w:tr>
      <w:tr>
        <w:trPr>
          <w:trHeight w:val="142"/>
        </w:trPr>
        <w:tc>
          <w:tcPr>
            <w:tcW w:w="670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Due from affiliates</w:t>
            </w:r>
          </w:p>
        </w:tc>
        <w:tc>
          <w:tcPr>
            <w:tcW w:w="1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6,978</w:t>
            </w:r>
          </w:p>
        </w:tc>
        <w:tc>
          <w:tcPr>
            <w:tcW w:w="3000" w:type="dxa"/>
            <w:vAlign w:val="bottom"/>
          </w:tcPr>
          <w:p>
            <w:pPr>
              <w:spacing w:after="0"/>
              <w:rPr>
                <w:sz w:val="12"/>
                <w:szCs w:val="12"/>
                <w:color w:val="auto"/>
              </w:rPr>
            </w:pPr>
          </w:p>
        </w:tc>
      </w:tr>
      <w:tr>
        <w:trPr>
          <w:trHeight w:val="155"/>
        </w:trPr>
        <w:tc>
          <w:tcPr>
            <w:tcW w:w="67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Total assets</w:t>
            </w:r>
          </w:p>
        </w:tc>
        <w:tc>
          <w:tcPr>
            <w:tcW w:w="180" w:type="dxa"/>
            <w:vAlign w:val="bottom"/>
            <w:tcBorders>
              <w:bottom w:val="single" w:sz="8" w:color="auto"/>
            </w:tcBorders>
            <w:shd w:val="clear" w:color="auto" w:fill="DBDBDB"/>
          </w:tcPr>
          <w:p>
            <w:pPr>
              <w:jc w:val="right"/>
              <w:ind w:right="4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9,300,466</w:t>
            </w:r>
          </w:p>
        </w:tc>
        <w:tc>
          <w:tcPr>
            <w:tcW w:w="3000" w:type="dxa"/>
            <w:vAlign w:val="bottom"/>
          </w:tcPr>
          <w:p>
            <w:pPr>
              <w:spacing w:after="0"/>
              <w:rPr>
                <w:sz w:val="13"/>
                <w:szCs w:val="13"/>
                <w:color w:val="auto"/>
              </w:rPr>
            </w:pPr>
          </w:p>
        </w:tc>
      </w:tr>
      <w:tr>
        <w:trPr>
          <w:trHeight w:val="121"/>
        </w:trPr>
        <w:tc>
          <w:tcPr>
            <w:tcW w:w="6700" w:type="dxa"/>
            <w:vAlign w:val="bottom"/>
          </w:tcPr>
          <w:p>
            <w:pPr>
              <w:spacing w:after="0" w:line="121" w:lineRule="exact"/>
              <w:rPr>
                <w:sz w:val="20"/>
                <w:szCs w:val="20"/>
                <w:color w:val="auto"/>
              </w:rPr>
            </w:pPr>
            <w:r>
              <w:rPr>
                <w:rFonts w:ascii="Arial" w:cs="Arial" w:eastAsia="Arial" w:hAnsi="Arial"/>
                <w:sz w:val="11"/>
                <w:szCs w:val="11"/>
                <w:b w:val="1"/>
                <w:bCs w:val="1"/>
                <w:i w:val="1"/>
                <w:iCs w:val="1"/>
                <w:color w:val="003366"/>
              </w:rPr>
              <w:t>Liabilities</w:t>
            </w:r>
          </w:p>
        </w:tc>
        <w:tc>
          <w:tcPr>
            <w:tcW w:w="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145"/>
        </w:trPr>
        <w:tc>
          <w:tcPr>
            <w:tcW w:w="67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Debt, net</w:t>
            </w:r>
          </w:p>
        </w:tc>
        <w:tc>
          <w:tcPr>
            <w:tcW w:w="18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3,596,208</w:t>
            </w:r>
          </w:p>
        </w:tc>
        <w:tc>
          <w:tcPr>
            <w:tcW w:w="3000" w:type="dxa"/>
            <w:vAlign w:val="bottom"/>
          </w:tcPr>
          <w:p>
            <w:pPr>
              <w:spacing w:after="0"/>
              <w:rPr>
                <w:sz w:val="12"/>
                <w:szCs w:val="12"/>
                <w:color w:val="auto"/>
              </w:rPr>
            </w:pPr>
          </w:p>
        </w:tc>
      </w:tr>
      <w:tr>
        <w:trPr>
          <w:trHeight w:val="142"/>
        </w:trPr>
        <w:tc>
          <w:tcPr>
            <w:tcW w:w="6700" w:type="dxa"/>
            <w:vAlign w:val="bottom"/>
          </w:tcPr>
          <w:p>
            <w:pPr>
              <w:ind w:left="140"/>
              <w:spacing w:after="0"/>
              <w:rPr>
                <w:sz w:val="20"/>
                <w:szCs w:val="20"/>
                <w:color w:val="auto"/>
              </w:rPr>
            </w:pPr>
            <w:r>
              <w:rPr>
                <w:rFonts w:ascii="Arial" w:cs="Arial" w:eastAsia="Arial" w:hAnsi="Arial"/>
                <w:sz w:val="11"/>
                <w:szCs w:val="11"/>
                <w:color w:val="auto"/>
              </w:rPr>
              <w:t>Accrued and other liabilities</w:t>
            </w:r>
          </w:p>
        </w:tc>
        <w:tc>
          <w:tcPr>
            <w:tcW w:w="18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614,438</w:t>
            </w:r>
          </w:p>
        </w:tc>
        <w:tc>
          <w:tcPr>
            <w:tcW w:w="3000" w:type="dxa"/>
            <w:vAlign w:val="bottom"/>
          </w:tcPr>
          <w:p>
            <w:pPr>
              <w:spacing w:after="0"/>
              <w:rPr>
                <w:sz w:val="12"/>
                <w:szCs w:val="12"/>
                <w:color w:val="auto"/>
              </w:rPr>
            </w:pPr>
          </w:p>
        </w:tc>
      </w:tr>
      <w:tr>
        <w:trPr>
          <w:trHeight w:val="146"/>
        </w:trPr>
        <w:tc>
          <w:tcPr>
            <w:tcW w:w="67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Intangible liabilities, net</w:t>
            </w:r>
          </w:p>
        </w:tc>
        <w:tc>
          <w:tcPr>
            <w:tcW w:w="180" w:type="dxa"/>
            <w:vAlign w:val="bottom"/>
            <w:shd w:val="clear" w:color="auto" w:fill="DBDBDB"/>
          </w:tcPr>
          <w:p>
            <w:pPr>
              <w:spacing w:after="0"/>
              <w:rPr>
                <w:sz w:val="12"/>
                <w:szCs w:val="12"/>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47,787</w:t>
            </w:r>
          </w:p>
        </w:tc>
        <w:tc>
          <w:tcPr>
            <w:tcW w:w="3000" w:type="dxa"/>
            <w:vAlign w:val="bottom"/>
          </w:tcPr>
          <w:p>
            <w:pPr>
              <w:spacing w:after="0"/>
              <w:rPr>
                <w:sz w:val="12"/>
                <w:szCs w:val="12"/>
                <w:color w:val="auto"/>
              </w:rPr>
            </w:pPr>
          </w:p>
        </w:tc>
      </w:tr>
      <w:tr>
        <w:trPr>
          <w:trHeight w:val="142"/>
        </w:trPr>
        <w:tc>
          <w:tcPr>
            <w:tcW w:w="670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Liabilities related to assets held for disposition</w:t>
            </w:r>
          </w:p>
        </w:tc>
        <w:tc>
          <w:tcPr>
            <w:tcW w:w="1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722,206</w:t>
            </w:r>
          </w:p>
        </w:tc>
        <w:tc>
          <w:tcPr>
            <w:tcW w:w="3000" w:type="dxa"/>
            <w:vAlign w:val="bottom"/>
          </w:tcPr>
          <w:p>
            <w:pPr>
              <w:spacing w:after="0"/>
              <w:rPr>
                <w:sz w:val="12"/>
                <w:szCs w:val="12"/>
                <w:color w:val="auto"/>
              </w:rPr>
            </w:pPr>
          </w:p>
        </w:tc>
      </w:tr>
      <w:tr>
        <w:trPr>
          <w:trHeight w:val="135"/>
        </w:trPr>
        <w:tc>
          <w:tcPr>
            <w:tcW w:w="67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Total liabilities</w:t>
            </w:r>
          </w:p>
        </w:tc>
        <w:tc>
          <w:tcPr>
            <w:tcW w:w="180" w:type="dxa"/>
            <w:vAlign w:val="bottom"/>
            <w:tcBorders>
              <w:bottom w:val="single" w:sz="8" w:color="auto"/>
            </w:tcBorders>
            <w:shd w:val="clear" w:color="auto" w:fill="DBDBDB"/>
          </w:tcPr>
          <w:p>
            <w:pPr>
              <w:spacing w:after="0"/>
              <w:rPr>
                <w:sz w:val="11"/>
                <w:szCs w:val="11"/>
                <w:color w:val="auto"/>
              </w:rPr>
            </w:pPr>
          </w:p>
        </w:tc>
        <w:tc>
          <w:tcPr>
            <w:tcW w:w="14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4,980,639</w:t>
            </w:r>
          </w:p>
        </w:tc>
        <w:tc>
          <w:tcPr>
            <w:tcW w:w="3000" w:type="dxa"/>
            <w:vAlign w:val="bottom"/>
          </w:tcPr>
          <w:p>
            <w:pPr>
              <w:spacing w:after="0"/>
              <w:rPr>
                <w:sz w:val="11"/>
                <w:szCs w:val="11"/>
                <w:color w:val="auto"/>
              </w:rPr>
            </w:pPr>
          </w:p>
        </w:tc>
      </w:tr>
      <w:tr>
        <w:trPr>
          <w:trHeight w:val="122"/>
        </w:trPr>
        <w:tc>
          <w:tcPr>
            <w:tcW w:w="6700" w:type="dxa"/>
            <w:vAlign w:val="bottom"/>
          </w:tcPr>
          <w:p>
            <w:pPr>
              <w:spacing w:after="0" w:line="120" w:lineRule="exact"/>
              <w:rPr>
                <w:sz w:val="20"/>
                <w:szCs w:val="20"/>
                <w:color w:val="auto"/>
              </w:rPr>
            </w:pPr>
            <w:r>
              <w:rPr>
                <w:rFonts w:ascii="Arial" w:cs="Arial" w:eastAsia="Arial" w:hAnsi="Arial"/>
                <w:sz w:val="11"/>
                <w:szCs w:val="11"/>
                <w:color w:val="auto"/>
              </w:rPr>
              <w:t>Commitments and contingencies</w:t>
            </w:r>
          </w:p>
        </w:tc>
        <w:tc>
          <w:tcPr>
            <w:tcW w:w="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146"/>
        </w:trPr>
        <w:tc>
          <w:tcPr>
            <w:tcW w:w="67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Redeemable noncontrolling interests</w:t>
            </w:r>
          </w:p>
        </w:tc>
        <w:tc>
          <w:tcPr>
            <w:tcW w:w="180" w:type="dxa"/>
            <w:vAlign w:val="bottom"/>
            <w:shd w:val="clear" w:color="auto" w:fill="DBDBDB"/>
          </w:tcPr>
          <w:p>
            <w:pPr>
              <w:spacing w:after="0"/>
              <w:rPr>
                <w:sz w:val="12"/>
                <w:szCs w:val="12"/>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315,922</w:t>
            </w:r>
          </w:p>
        </w:tc>
        <w:tc>
          <w:tcPr>
            <w:tcW w:w="3000" w:type="dxa"/>
            <w:vAlign w:val="bottom"/>
          </w:tcPr>
          <w:p>
            <w:pPr>
              <w:spacing w:after="0"/>
              <w:rPr>
                <w:sz w:val="12"/>
                <w:szCs w:val="12"/>
                <w:color w:val="auto"/>
              </w:rPr>
            </w:pPr>
          </w:p>
        </w:tc>
      </w:tr>
      <w:tr>
        <w:trPr>
          <w:trHeight w:val="143"/>
        </w:trPr>
        <w:tc>
          <w:tcPr>
            <w:tcW w:w="6700" w:type="dxa"/>
            <w:vAlign w:val="bottom"/>
          </w:tcPr>
          <w:p>
            <w:pPr>
              <w:spacing w:after="0"/>
              <w:rPr>
                <w:sz w:val="20"/>
                <w:szCs w:val="20"/>
                <w:color w:val="auto"/>
              </w:rPr>
            </w:pPr>
            <w:r>
              <w:rPr>
                <w:rFonts w:ascii="Arial" w:cs="Arial" w:eastAsia="Arial" w:hAnsi="Arial"/>
                <w:sz w:val="11"/>
                <w:szCs w:val="11"/>
                <w:b w:val="1"/>
                <w:bCs w:val="1"/>
                <w:i w:val="1"/>
                <w:iCs w:val="1"/>
                <w:color w:val="003366"/>
              </w:rPr>
              <w:t>Equity</w:t>
            </w: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0" w:type="dxa"/>
            <w:vAlign w:val="bottom"/>
          </w:tcPr>
          <w:p>
            <w:pPr>
              <w:spacing w:after="0"/>
              <w:rPr>
                <w:sz w:val="12"/>
                <w:szCs w:val="12"/>
                <w:color w:val="auto"/>
              </w:rPr>
            </w:pPr>
          </w:p>
        </w:tc>
      </w:tr>
      <w:tr>
        <w:trPr>
          <w:trHeight w:val="145"/>
        </w:trPr>
        <w:tc>
          <w:tcPr>
            <w:tcW w:w="6700" w:type="dxa"/>
            <w:vAlign w:val="bottom"/>
            <w:shd w:val="clear" w:color="auto" w:fill="DBDBDB"/>
          </w:tcPr>
          <w:p>
            <w:pPr>
              <w:spacing w:after="0"/>
              <w:rPr>
                <w:sz w:val="20"/>
                <w:szCs w:val="20"/>
                <w:color w:val="auto"/>
              </w:rPr>
            </w:pPr>
            <w:r>
              <w:rPr>
                <w:rFonts w:ascii="Arial" w:cs="Arial" w:eastAsia="Arial" w:hAnsi="Arial"/>
                <w:sz w:val="11"/>
                <w:szCs w:val="11"/>
                <w:color w:val="auto"/>
              </w:rPr>
              <w:t>Stockholders’ equity:</w:t>
            </w:r>
          </w:p>
        </w:tc>
        <w:tc>
          <w:tcPr>
            <w:tcW w:w="18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3000" w:type="dxa"/>
            <w:vAlign w:val="bottom"/>
          </w:tcPr>
          <w:p>
            <w:pPr>
              <w:spacing w:after="0"/>
              <w:rPr>
                <w:sz w:val="12"/>
                <w:szCs w:val="12"/>
                <w:color w:val="auto"/>
              </w:rPr>
            </w:pPr>
          </w:p>
        </w:tc>
      </w:tr>
      <w:tr>
        <w:trPr>
          <w:trHeight w:val="118"/>
        </w:trPr>
        <w:tc>
          <w:tcPr>
            <w:tcW w:w="6700" w:type="dxa"/>
            <w:vAlign w:val="bottom"/>
          </w:tcPr>
          <w:p>
            <w:pPr>
              <w:ind w:left="140"/>
              <w:spacing w:after="0" w:line="119" w:lineRule="exact"/>
              <w:rPr>
                <w:sz w:val="20"/>
                <w:szCs w:val="20"/>
                <w:color w:val="auto"/>
              </w:rPr>
            </w:pPr>
            <w:r>
              <w:rPr>
                <w:rFonts w:ascii="Arial" w:cs="Arial" w:eastAsia="Arial" w:hAnsi="Arial"/>
                <w:sz w:val="11"/>
                <w:szCs w:val="11"/>
                <w:color w:val="auto"/>
              </w:rPr>
              <w:t>Preferred stock, $0.01 par value per share; $1,033,750 liquidation preference; 250,000 shares authorized; 41,350 shares issued and</w:t>
            </w:r>
          </w:p>
        </w:tc>
        <w:tc>
          <w:tcPr>
            <w:tcW w:w="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132"/>
        </w:trPr>
        <w:tc>
          <w:tcPr>
            <w:tcW w:w="6700" w:type="dxa"/>
            <w:vAlign w:val="bottom"/>
          </w:tcPr>
          <w:p>
            <w:pPr>
              <w:ind w:left="140"/>
              <w:spacing w:after="0"/>
              <w:rPr>
                <w:sz w:val="20"/>
                <w:szCs w:val="20"/>
                <w:color w:val="auto"/>
              </w:rPr>
            </w:pPr>
            <w:r>
              <w:rPr>
                <w:rFonts w:ascii="Arial" w:cs="Arial" w:eastAsia="Arial" w:hAnsi="Arial"/>
                <w:sz w:val="11"/>
                <w:szCs w:val="11"/>
                <w:color w:val="auto"/>
              </w:rPr>
              <w:t>outstanding</w:t>
            </w:r>
          </w:p>
        </w:tc>
        <w:tc>
          <w:tcPr>
            <w:tcW w:w="180" w:type="dxa"/>
            <w:vAlign w:val="bottom"/>
          </w:tcPr>
          <w:p>
            <w:pPr>
              <w:spacing w:after="0"/>
              <w:rPr>
                <w:sz w:val="11"/>
                <w:szCs w:val="11"/>
                <w:color w:val="auto"/>
              </w:rPr>
            </w:pPr>
          </w:p>
        </w:tc>
        <w:tc>
          <w:tcPr>
            <w:tcW w:w="4420" w:type="dxa"/>
            <w:vAlign w:val="bottom"/>
            <w:gridSpan w:val="2"/>
          </w:tcPr>
          <w:p>
            <w:pPr>
              <w:jc w:val="right"/>
              <w:ind w:right="3060"/>
              <w:spacing w:after="0"/>
              <w:rPr>
                <w:sz w:val="20"/>
                <w:szCs w:val="20"/>
                <w:color w:val="auto"/>
              </w:rPr>
            </w:pPr>
            <w:r>
              <w:rPr>
                <w:rFonts w:ascii="Arial" w:cs="Arial" w:eastAsia="Arial" w:hAnsi="Arial"/>
                <w:sz w:val="11"/>
                <w:szCs w:val="11"/>
                <w:color w:val="auto"/>
              </w:rPr>
              <w:t>—</w:t>
            </w:r>
          </w:p>
        </w:tc>
      </w:tr>
      <w:tr>
        <w:trPr>
          <w:trHeight w:val="146"/>
        </w:trPr>
        <w:tc>
          <w:tcPr>
            <w:tcW w:w="67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Common stock, $0.01 par value per share</w:t>
            </w:r>
          </w:p>
        </w:tc>
        <w:tc>
          <w:tcPr>
            <w:tcW w:w="18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3000" w:type="dxa"/>
            <w:vAlign w:val="bottom"/>
          </w:tcPr>
          <w:p>
            <w:pPr>
              <w:spacing w:after="0"/>
              <w:rPr>
                <w:sz w:val="12"/>
                <w:szCs w:val="12"/>
                <w:color w:val="auto"/>
              </w:rPr>
            </w:pPr>
          </w:p>
        </w:tc>
      </w:tr>
      <w:tr>
        <w:trPr>
          <w:trHeight w:val="142"/>
        </w:trPr>
        <w:tc>
          <w:tcPr>
            <w:tcW w:w="6700" w:type="dxa"/>
            <w:vAlign w:val="bottom"/>
          </w:tcPr>
          <w:p>
            <w:pPr>
              <w:ind w:left="300"/>
              <w:spacing w:after="0"/>
              <w:rPr>
                <w:sz w:val="20"/>
                <w:szCs w:val="20"/>
                <w:color w:val="auto"/>
              </w:rPr>
            </w:pPr>
            <w:r>
              <w:rPr>
                <w:rFonts w:ascii="Arial" w:cs="Arial" w:eastAsia="Arial" w:hAnsi="Arial"/>
                <w:sz w:val="11"/>
                <w:szCs w:val="11"/>
                <w:color w:val="auto"/>
              </w:rPr>
              <w:t>Class A, 949,000 shares authorized; 487,103 shares issued and outstanding</w:t>
            </w:r>
          </w:p>
        </w:tc>
        <w:tc>
          <w:tcPr>
            <w:tcW w:w="180" w:type="dxa"/>
            <w:vAlign w:val="bottom"/>
          </w:tcPr>
          <w:p>
            <w:pPr>
              <w:spacing w:after="0"/>
              <w:rPr>
                <w:sz w:val="12"/>
                <w:szCs w:val="12"/>
                <w:color w:val="auto"/>
              </w:rPr>
            </w:pPr>
          </w:p>
        </w:tc>
        <w:tc>
          <w:tcPr>
            <w:tcW w:w="4420" w:type="dxa"/>
            <w:vAlign w:val="bottom"/>
            <w:gridSpan w:val="2"/>
          </w:tcPr>
          <w:p>
            <w:pPr>
              <w:jc w:val="right"/>
              <w:ind w:right="3060"/>
              <w:spacing w:after="0"/>
              <w:rPr>
                <w:sz w:val="20"/>
                <w:szCs w:val="20"/>
                <w:color w:val="auto"/>
              </w:rPr>
            </w:pPr>
            <w:r>
              <w:rPr>
                <w:rFonts w:ascii="Arial" w:cs="Arial" w:eastAsia="Arial" w:hAnsi="Arial"/>
                <w:sz w:val="11"/>
                <w:szCs w:val="11"/>
                <w:color w:val="auto"/>
              </w:rPr>
              <w:t>—</w:t>
            </w:r>
          </w:p>
        </w:tc>
      </w:tr>
      <w:tr>
        <w:trPr>
          <w:trHeight w:val="146"/>
        </w:trPr>
        <w:tc>
          <w:tcPr>
            <w:tcW w:w="6700" w:type="dxa"/>
            <w:vAlign w:val="bottom"/>
            <w:shd w:val="clear" w:color="auto" w:fill="DBDBDB"/>
          </w:tcPr>
          <w:p>
            <w:pPr>
              <w:ind w:left="300"/>
              <w:spacing w:after="0"/>
              <w:rPr>
                <w:sz w:val="20"/>
                <w:szCs w:val="20"/>
                <w:color w:val="auto"/>
              </w:rPr>
            </w:pPr>
            <w:r>
              <w:rPr>
                <w:rFonts w:ascii="Arial" w:cs="Arial" w:eastAsia="Arial" w:hAnsi="Arial"/>
                <w:sz w:val="11"/>
                <w:szCs w:val="11"/>
                <w:color w:val="auto"/>
              </w:rPr>
              <w:t>Class B, 1,000 shares authorized; 734 shares issued and outstanding</w:t>
            </w:r>
          </w:p>
        </w:tc>
        <w:tc>
          <w:tcPr>
            <w:tcW w:w="180" w:type="dxa"/>
            <w:vAlign w:val="bottom"/>
            <w:shd w:val="clear" w:color="auto" w:fill="DBDBDB"/>
          </w:tcPr>
          <w:p>
            <w:pPr>
              <w:spacing w:after="0"/>
              <w:rPr>
                <w:sz w:val="12"/>
                <w:szCs w:val="12"/>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3000" w:type="dxa"/>
            <w:vAlign w:val="bottom"/>
          </w:tcPr>
          <w:p>
            <w:pPr>
              <w:spacing w:after="0"/>
              <w:rPr>
                <w:sz w:val="12"/>
                <w:szCs w:val="12"/>
                <w:color w:val="auto"/>
              </w:rPr>
            </w:pPr>
          </w:p>
        </w:tc>
      </w:tr>
      <w:tr>
        <w:trPr>
          <w:trHeight w:val="142"/>
        </w:trPr>
        <w:tc>
          <w:tcPr>
            <w:tcW w:w="6700" w:type="dxa"/>
            <w:vAlign w:val="bottom"/>
          </w:tcPr>
          <w:p>
            <w:pPr>
              <w:ind w:left="140"/>
              <w:spacing w:after="0"/>
              <w:rPr>
                <w:sz w:val="20"/>
                <w:szCs w:val="20"/>
                <w:color w:val="auto"/>
              </w:rPr>
            </w:pPr>
            <w:r>
              <w:rPr>
                <w:rFonts w:ascii="Arial" w:cs="Arial" w:eastAsia="Arial" w:hAnsi="Arial"/>
                <w:sz w:val="11"/>
                <w:szCs w:val="11"/>
                <w:color w:val="auto"/>
              </w:rPr>
              <w:t>Additional paid-in capital</w:t>
            </w:r>
          </w:p>
        </w:tc>
        <w:tc>
          <w:tcPr>
            <w:tcW w:w="180" w:type="dxa"/>
            <w:vAlign w:val="bottom"/>
          </w:tcPr>
          <w:p>
            <w:pPr>
              <w:spacing w:after="0"/>
              <w:rPr>
                <w:sz w:val="12"/>
                <w:szCs w:val="12"/>
                <w:color w:val="auto"/>
              </w:rPr>
            </w:pPr>
          </w:p>
        </w:tc>
        <w:tc>
          <w:tcPr>
            <w:tcW w:w="4420" w:type="dxa"/>
            <w:vAlign w:val="bottom"/>
            <w:gridSpan w:val="2"/>
          </w:tcPr>
          <w:p>
            <w:pPr>
              <w:jc w:val="right"/>
              <w:ind w:right="3060"/>
              <w:spacing w:after="0"/>
              <w:rPr>
                <w:sz w:val="20"/>
                <w:szCs w:val="20"/>
                <w:color w:val="auto"/>
              </w:rPr>
            </w:pPr>
            <w:r>
              <w:rPr>
                <w:rFonts w:ascii="Arial" w:cs="Arial" w:eastAsia="Arial" w:hAnsi="Arial"/>
                <w:sz w:val="11"/>
                <w:szCs w:val="11"/>
                <w:color w:val="auto"/>
              </w:rPr>
              <w:t>—</w:t>
            </w:r>
          </w:p>
        </w:tc>
      </w:tr>
      <w:tr>
        <w:trPr>
          <w:trHeight w:val="146"/>
        </w:trPr>
        <w:tc>
          <w:tcPr>
            <w:tcW w:w="67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Accumulated deficit</w:t>
            </w:r>
          </w:p>
        </w:tc>
        <w:tc>
          <w:tcPr>
            <w:tcW w:w="180" w:type="dxa"/>
            <w:vAlign w:val="bottom"/>
            <w:shd w:val="clear" w:color="auto" w:fill="DBDBDB"/>
          </w:tcPr>
          <w:p>
            <w:pPr>
              <w:spacing w:after="0"/>
              <w:rPr>
                <w:sz w:val="12"/>
                <w:szCs w:val="12"/>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3000" w:type="dxa"/>
            <w:vAlign w:val="bottom"/>
          </w:tcPr>
          <w:p>
            <w:pPr>
              <w:spacing w:after="0"/>
              <w:rPr>
                <w:sz w:val="12"/>
                <w:szCs w:val="12"/>
                <w:color w:val="auto"/>
              </w:rPr>
            </w:pPr>
          </w:p>
        </w:tc>
      </w:tr>
      <w:tr>
        <w:trPr>
          <w:trHeight w:val="142"/>
        </w:trPr>
        <w:tc>
          <w:tcPr>
            <w:tcW w:w="6700" w:type="dxa"/>
            <w:vAlign w:val="bottom"/>
          </w:tcPr>
          <w:p>
            <w:pPr>
              <w:ind w:left="140"/>
              <w:spacing w:after="0"/>
              <w:rPr>
                <w:sz w:val="20"/>
                <w:szCs w:val="20"/>
                <w:color w:val="auto"/>
              </w:rPr>
            </w:pPr>
            <w:r>
              <w:rPr>
                <w:rFonts w:ascii="Arial" w:cs="Arial" w:eastAsia="Arial" w:hAnsi="Arial"/>
                <w:sz w:val="11"/>
                <w:szCs w:val="11"/>
                <w:color w:val="auto"/>
              </w:rPr>
              <w:t>Accumulated other comprehensive income</w:t>
            </w:r>
          </w:p>
        </w:tc>
        <w:tc>
          <w:tcPr>
            <w:tcW w:w="180" w:type="dxa"/>
            <w:vAlign w:val="bottom"/>
          </w:tcPr>
          <w:p>
            <w:pPr>
              <w:spacing w:after="0"/>
              <w:rPr>
                <w:sz w:val="12"/>
                <w:szCs w:val="12"/>
                <w:color w:val="auto"/>
              </w:rPr>
            </w:pPr>
          </w:p>
        </w:tc>
        <w:tc>
          <w:tcPr>
            <w:tcW w:w="4420" w:type="dxa"/>
            <w:vAlign w:val="bottom"/>
            <w:gridSpan w:val="2"/>
          </w:tcPr>
          <w:p>
            <w:pPr>
              <w:jc w:val="right"/>
              <w:ind w:right="3060"/>
              <w:spacing w:after="0"/>
              <w:rPr>
                <w:sz w:val="20"/>
                <w:szCs w:val="20"/>
                <w:color w:val="auto"/>
              </w:rPr>
            </w:pPr>
            <w:r>
              <w:rPr>
                <w:rFonts w:ascii="Arial" w:cs="Arial" w:eastAsia="Arial" w:hAnsi="Arial"/>
                <w:sz w:val="11"/>
                <w:szCs w:val="11"/>
                <w:color w:val="auto"/>
              </w:rPr>
              <w:t>—</w:t>
            </w:r>
          </w:p>
        </w:tc>
      </w:tr>
      <w:tr>
        <w:trPr>
          <w:trHeight w:val="135"/>
        </w:trPr>
        <w:tc>
          <w:tcPr>
            <w:tcW w:w="6700" w:type="dxa"/>
            <w:vAlign w:val="bottom"/>
            <w:tcBorders>
              <w:top w:val="single" w:sz="8" w:color="DBDBDB"/>
            </w:tcBorders>
            <w:shd w:val="clear" w:color="auto" w:fill="DBDBDB"/>
          </w:tcPr>
          <w:p>
            <w:pPr>
              <w:ind w:left="300"/>
              <w:spacing w:after="0"/>
              <w:rPr>
                <w:sz w:val="20"/>
                <w:szCs w:val="20"/>
                <w:color w:val="auto"/>
              </w:rPr>
            </w:pPr>
            <w:r>
              <w:rPr>
                <w:rFonts w:ascii="Arial" w:cs="Arial" w:eastAsia="Arial" w:hAnsi="Arial"/>
                <w:sz w:val="11"/>
                <w:szCs w:val="11"/>
                <w:color w:val="auto"/>
              </w:rPr>
              <w:t>Total stockholders’ equity</w:t>
            </w:r>
          </w:p>
        </w:tc>
        <w:tc>
          <w:tcPr>
            <w:tcW w:w="180" w:type="dxa"/>
            <w:vAlign w:val="bottom"/>
            <w:tcBorders>
              <w:top w:val="single" w:sz="8" w:color="auto"/>
            </w:tcBorders>
            <w:shd w:val="clear" w:color="auto" w:fill="DBDBDB"/>
          </w:tcPr>
          <w:p>
            <w:pPr>
              <w:spacing w:after="0"/>
              <w:rPr>
                <w:sz w:val="11"/>
                <w:szCs w:val="11"/>
                <w:color w:val="auto"/>
              </w:rPr>
            </w:pPr>
          </w:p>
        </w:tc>
        <w:tc>
          <w:tcPr>
            <w:tcW w:w="142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3000" w:type="dxa"/>
            <w:vAlign w:val="bottom"/>
          </w:tcPr>
          <w:p>
            <w:pPr>
              <w:spacing w:after="0"/>
              <w:rPr>
                <w:sz w:val="11"/>
                <w:szCs w:val="11"/>
                <w:color w:val="auto"/>
              </w:rPr>
            </w:pPr>
          </w:p>
        </w:tc>
      </w:tr>
      <w:tr>
        <w:trPr>
          <w:trHeight w:val="142"/>
        </w:trPr>
        <w:tc>
          <w:tcPr>
            <w:tcW w:w="6700" w:type="dxa"/>
            <w:vAlign w:val="bottom"/>
          </w:tcPr>
          <w:p>
            <w:pPr>
              <w:ind w:left="140"/>
              <w:spacing w:after="0"/>
              <w:rPr>
                <w:sz w:val="20"/>
                <w:szCs w:val="20"/>
                <w:color w:val="auto"/>
              </w:rPr>
            </w:pPr>
            <w:r>
              <w:rPr>
                <w:rFonts w:ascii="Arial" w:cs="Arial" w:eastAsia="Arial" w:hAnsi="Arial"/>
                <w:sz w:val="11"/>
                <w:szCs w:val="11"/>
                <w:color w:val="auto"/>
              </w:rPr>
              <w:t>Noncontrolling interests in investment entities</w:t>
            </w:r>
          </w:p>
        </w:tc>
        <w:tc>
          <w:tcPr>
            <w:tcW w:w="18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4,003,905</w:t>
            </w:r>
          </w:p>
        </w:tc>
        <w:tc>
          <w:tcPr>
            <w:tcW w:w="3000" w:type="dxa"/>
            <w:vAlign w:val="bottom"/>
          </w:tcPr>
          <w:p>
            <w:pPr>
              <w:spacing w:after="0"/>
              <w:rPr>
                <w:sz w:val="12"/>
                <w:szCs w:val="12"/>
                <w:color w:val="auto"/>
              </w:rPr>
            </w:pPr>
          </w:p>
        </w:tc>
      </w:tr>
      <w:tr>
        <w:trPr>
          <w:trHeight w:val="144"/>
        </w:trPr>
        <w:tc>
          <w:tcPr>
            <w:tcW w:w="67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Noncontrolling interests in Operating Company</w:t>
            </w:r>
          </w:p>
        </w:tc>
        <w:tc>
          <w:tcPr>
            <w:tcW w:w="180" w:type="dxa"/>
            <w:vAlign w:val="bottom"/>
            <w:tcBorders>
              <w:bottom w:val="single" w:sz="8" w:color="auto"/>
            </w:tcBorders>
            <w:shd w:val="clear" w:color="auto" w:fill="DBDBDB"/>
          </w:tcPr>
          <w:p>
            <w:pPr>
              <w:spacing w:after="0"/>
              <w:rPr>
                <w:sz w:val="12"/>
                <w:szCs w:val="12"/>
                <w:color w:val="auto"/>
              </w:rPr>
            </w:pPr>
          </w:p>
        </w:tc>
        <w:tc>
          <w:tcPr>
            <w:tcW w:w="14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3000" w:type="dxa"/>
            <w:vAlign w:val="bottom"/>
          </w:tcPr>
          <w:p>
            <w:pPr>
              <w:spacing w:after="0"/>
              <w:rPr>
                <w:sz w:val="12"/>
                <w:szCs w:val="12"/>
                <w:color w:val="auto"/>
              </w:rPr>
            </w:pPr>
          </w:p>
        </w:tc>
      </w:tr>
      <w:tr>
        <w:trPr>
          <w:trHeight w:val="133"/>
        </w:trPr>
        <w:tc>
          <w:tcPr>
            <w:tcW w:w="670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Total equity</w:t>
            </w:r>
          </w:p>
        </w:tc>
        <w:tc>
          <w:tcPr>
            <w:tcW w:w="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4,003,905</w:t>
            </w:r>
          </w:p>
        </w:tc>
        <w:tc>
          <w:tcPr>
            <w:tcW w:w="3000" w:type="dxa"/>
            <w:vAlign w:val="bottom"/>
          </w:tcPr>
          <w:p>
            <w:pPr>
              <w:spacing w:after="0"/>
              <w:rPr>
                <w:sz w:val="11"/>
                <w:szCs w:val="11"/>
                <w:color w:val="auto"/>
              </w:rPr>
            </w:pPr>
          </w:p>
        </w:tc>
      </w:tr>
      <w:tr>
        <w:trPr>
          <w:trHeight w:val="151"/>
        </w:trPr>
        <w:tc>
          <w:tcPr>
            <w:tcW w:w="67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Total liabilities, redeemable noncontrolling interests and equity</w:t>
            </w:r>
          </w:p>
        </w:tc>
        <w:tc>
          <w:tcPr>
            <w:tcW w:w="180" w:type="dxa"/>
            <w:vAlign w:val="bottom"/>
            <w:tcBorders>
              <w:bottom w:val="single" w:sz="8" w:color="auto"/>
            </w:tcBorders>
            <w:shd w:val="clear" w:color="auto" w:fill="DBDBDB"/>
          </w:tcPr>
          <w:p>
            <w:pPr>
              <w:jc w:val="right"/>
              <w:ind w:right="4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9,300,466</w:t>
            </w:r>
          </w:p>
        </w:tc>
        <w:tc>
          <w:tcPr>
            <w:tcW w:w="3000" w:type="dxa"/>
            <w:vAlign w:val="bottom"/>
            <w:tcBorders>
              <w:bottom w:val="single" w:sz="8" w:color="auto"/>
            </w:tcBorders>
          </w:tcPr>
          <w:p>
            <w:pPr>
              <w:spacing w:after="0"/>
              <w:rPr>
                <w:sz w:val="13"/>
                <w:szCs w:val="13"/>
                <w:color w:val="auto"/>
              </w:rPr>
            </w:pPr>
          </w:p>
        </w:tc>
      </w:tr>
      <w:tr>
        <w:trPr>
          <w:trHeight w:val="558"/>
        </w:trPr>
        <w:tc>
          <w:tcPr>
            <w:tcW w:w="6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2"/>
          </w:tcPr>
          <w:p>
            <w:pPr>
              <w:spacing w:after="0"/>
              <w:rPr>
                <w:sz w:val="24"/>
                <w:szCs w:val="24"/>
                <w:color w:val="auto"/>
              </w:rPr>
            </w:pPr>
          </w:p>
        </w:tc>
      </w:tr>
      <w:tr>
        <w:trPr>
          <w:trHeight w:val="118"/>
        </w:trPr>
        <w:tc>
          <w:tcPr>
            <w:tcW w:w="6700" w:type="dxa"/>
            <w:vAlign w:val="bottom"/>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180" w:type="dxa"/>
            <w:vAlign w:val="bottom"/>
          </w:tcPr>
          <w:p>
            <w:pPr>
              <w:spacing w:after="0"/>
              <w:rPr>
                <w:sz w:val="10"/>
                <w:szCs w:val="10"/>
                <w:color w:val="auto"/>
              </w:rPr>
            </w:pPr>
          </w:p>
        </w:tc>
        <w:tc>
          <w:tcPr>
            <w:tcW w:w="4420" w:type="dxa"/>
            <w:vAlign w:val="bottom"/>
            <w:gridSpan w:val="2"/>
          </w:tcPr>
          <w:p>
            <w:pPr>
              <w:jc w:val="right"/>
              <w:ind w:right="420"/>
              <w:spacing w:after="0"/>
              <w:rPr>
                <w:sz w:val="20"/>
                <w:szCs w:val="20"/>
                <w:color w:val="auto"/>
              </w:rPr>
            </w:pPr>
            <w:r>
              <w:rPr>
                <w:rFonts w:ascii="Arial" w:cs="Arial" w:eastAsia="Arial" w:hAnsi="Arial"/>
                <w:sz w:val="10"/>
                <w:szCs w:val="10"/>
                <w:color w:val="auto"/>
              </w:rPr>
              <w:t>10</w:t>
            </w:r>
          </w:p>
        </w:tc>
      </w:tr>
    </w:tbl>
    <w:p>
      <w:pPr>
        <w:sectPr>
          <w:pgSz w:w="11900" w:h="16838" w:orient="portrait"/>
          <w:cols w:equalWidth="0" w:num="1">
            <w:col w:w="11300"/>
          </w:cols>
          <w:pgMar w:left="300" w:top="162" w:right="299" w:bottom="1440" w:gutter="0" w:footer="0" w:header="0"/>
        </w:sectPr>
      </w:pPr>
    </w:p>
    <w:bookmarkStart w:id="25" w:name="page26"/>
    <w:bookmarkEnd w:id="25"/>
    <w:p>
      <w:pPr>
        <w:spacing w:after="0"/>
        <w:rPr>
          <w:sz w:val="20"/>
          <w:szCs w:val="20"/>
          <w:color w:val="auto"/>
        </w:rPr>
      </w:pPr>
      <w:r>
        <w:rPr>
          <w:rFonts w:ascii="Arial" w:cs="Arial" w:eastAsia="Arial" w:hAnsi="Arial"/>
          <w:sz w:val="29"/>
          <w:szCs w:val="29"/>
          <w:color w:val="auto"/>
        </w:rPr>
        <w:t>IIc. Financial Results - Consolidated 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78040" cy="2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10"/>
          </w:tcPr>
          <w:p>
            <w:pPr>
              <w:ind w:left="40"/>
              <w:spacing w:after="0"/>
              <w:rPr>
                <w:sz w:val="20"/>
                <w:szCs w:val="20"/>
                <w:color w:val="auto"/>
              </w:rPr>
            </w:pPr>
            <w:r>
              <w:rPr>
                <w:rFonts w:ascii="Arial" w:cs="Arial" w:eastAsia="Arial" w:hAnsi="Arial"/>
                <w:sz w:val="10"/>
                <w:szCs w:val="10"/>
                <w:b w:val="1"/>
                <w:bCs w:val="1"/>
                <w:color w:val="auto"/>
              </w:rPr>
              <w:t>Three Months Ended March 31, 2021</w:t>
            </w: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9" w:lineRule="exact"/>
              <w:rPr>
                <w:sz w:val="20"/>
                <w:szCs w:val="20"/>
                <w:color w:val="auto"/>
              </w:rPr>
            </w:pPr>
            <w:r>
              <w:rPr>
                <w:rFonts w:ascii="Arial" w:cs="Arial" w:eastAsia="Arial" w:hAnsi="Arial"/>
                <w:sz w:val="10"/>
                <w:szCs w:val="10"/>
                <w:b w:val="1"/>
                <w:bCs w:val="1"/>
                <w:color w:val="auto"/>
                <w:w w:val="98"/>
              </w:rPr>
              <w:t>Digital</w:t>
            </w:r>
          </w:p>
        </w:tc>
        <w:tc>
          <w:tcPr>
            <w:tcW w:w="8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rPr>
              <w:t>Digital</w:t>
            </w:r>
          </w:p>
        </w:tc>
        <w:tc>
          <w:tcPr>
            <w:tcW w:w="100" w:type="dxa"/>
            <w:vAlign w:val="bottom"/>
          </w:tcPr>
          <w:p>
            <w:pPr>
              <w:spacing w:after="0"/>
              <w:rPr>
                <w:sz w:val="9"/>
                <w:szCs w:val="9"/>
                <w:color w:val="auto"/>
              </w:rPr>
            </w:pPr>
          </w:p>
        </w:tc>
        <w:tc>
          <w:tcPr>
            <w:tcW w:w="500" w:type="dxa"/>
            <w:vAlign w:val="bottom"/>
            <w:vMerge w:val="restart"/>
          </w:tcPr>
          <w:p>
            <w:pPr>
              <w:jc w:val="right"/>
              <w:ind w:right="86"/>
              <w:spacing w:after="0"/>
              <w:rPr>
                <w:sz w:val="20"/>
                <w:szCs w:val="20"/>
                <w:color w:val="auto"/>
              </w:rPr>
            </w:pPr>
            <w:r>
              <w:rPr>
                <w:rFonts w:ascii="Arial" w:cs="Arial" w:eastAsia="Arial" w:hAnsi="Arial"/>
                <w:sz w:val="10"/>
                <w:szCs w:val="10"/>
                <w:b w:val="1"/>
                <w:bCs w:val="1"/>
                <w:color w:val="auto"/>
              </w:rPr>
              <w:t>Digital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Wellness</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Discontinued</w:t>
            </w:r>
          </w:p>
        </w:tc>
        <w:tc>
          <w:tcPr>
            <w:tcW w:w="820" w:type="dxa"/>
            <w:vAlign w:val="bottom"/>
            <w:gridSpan w:val="3"/>
          </w:tcPr>
          <w:p>
            <w:pPr>
              <w:jc w:val="center"/>
              <w:ind w:right="80"/>
              <w:spacing w:after="0" w:line="109" w:lineRule="exact"/>
              <w:rPr>
                <w:sz w:val="20"/>
                <w:szCs w:val="20"/>
                <w:color w:val="auto"/>
              </w:rPr>
            </w:pPr>
            <w:r>
              <w:rPr>
                <w:rFonts w:ascii="Arial" w:cs="Arial" w:eastAsia="Arial" w:hAnsi="Arial"/>
                <w:sz w:val="10"/>
                <w:szCs w:val="10"/>
                <w:b w:val="1"/>
                <w:bCs w:val="1"/>
                <w:color w:val="auto"/>
              </w:rPr>
              <w:t>Amounts not</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140" w:type="dxa"/>
            <w:vAlign w:val="bottom"/>
            <w:vMerge w:val="restart"/>
          </w:tcPr>
          <w:p>
            <w:pPr>
              <w:spacing w:after="0"/>
              <w:rPr>
                <w:sz w:val="20"/>
                <w:szCs w:val="20"/>
                <w:color w:val="auto"/>
              </w:rPr>
            </w:pPr>
            <w:r>
              <w:rPr>
                <w:rFonts w:ascii="Arial" w:cs="Arial" w:eastAsia="Arial" w:hAnsi="Arial"/>
                <w:sz w:val="10"/>
                <w:szCs w:val="10"/>
                <w:i w:val="1"/>
                <w:iCs w:val="1"/>
                <w:color w:val="auto"/>
              </w:rPr>
              <w:t>($ in thousands) (unaudited)</w:t>
            </w:r>
          </w:p>
        </w:tc>
        <w:tc>
          <w:tcPr>
            <w:tcW w:w="80" w:type="dxa"/>
            <w:vAlign w:val="bottom"/>
          </w:tcPr>
          <w:p>
            <w:pPr>
              <w:spacing w:after="0"/>
              <w:rPr>
                <w:sz w:val="8"/>
                <w:szCs w:val="8"/>
                <w:color w:val="auto"/>
              </w:rPr>
            </w:pPr>
          </w:p>
        </w:tc>
        <w:tc>
          <w:tcPr>
            <w:tcW w:w="82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rPr>
              <w:t>Investment</w:t>
            </w: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rPr>
              <w:t>allocated to</w:t>
            </w:r>
          </w:p>
        </w:tc>
        <w:tc>
          <w:tcPr>
            <w:tcW w:w="140" w:type="dxa"/>
            <w:vAlign w:val="bottom"/>
          </w:tcPr>
          <w:p>
            <w:pPr>
              <w:spacing w:after="0"/>
              <w:rPr>
                <w:sz w:val="8"/>
                <w:szCs w:val="8"/>
                <w:color w:val="auto"/>
              </w:rPr>
            </w:pPr>
          </w:p>
        </w:tc>
        <w:tc>
          <w:tcPr>
            <w:tcW w:w="3280" w:type="dxa"/>
            <w:vAlign w:val="bottom"/>
            <w:gridSpan w:val="2"/>
            <w:vMerge w:val="restart"/>
          </w:tcPr>
          <w:p>
            <w:pPr>
              <w:jc w:val="right"/>
              <w:ind w:right="29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Management</w:t>
            </w:r>
          </w:p>
        </w:tc>
        <w:tc>
          <w:tcPr>
            <w:tcW w:w="80" w:type="dxa"/>
            <w:vAlign w:val="bottom"/>
          </w:tcPr>
          <w:p>
            <w:pPr>
              <w:spacing w:after="0"/>
              <w:rPr>
                <w:sz w:val="11"/>
                <w:szCs w:val="11"/>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Operating</w:t>
            </w:r>
          </w:p>
        </w:tc>
        <w:tc>
          <w:tcPr>
            <w:tcW w:w="10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Infrastructure</w:t>
            </w:r>
          </w:p>
        </w:tc>
        <w:tc>
          <w:tcPr>
            <w:tcW w:w="1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Operations</w:t>
            </w:r>
          </w:p>
        </w:tc>
        <w:tc>
          <w:tcPr>
            <w:tcW w:w="8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segments</w:t>
            </w:r>
          </w:p>
        </w:tc>
        <w:tc>
          <w:tcPr>
            <w:tcW w:w="140" w:type="dxa"/>
            <w:vAlign w:val="bottom"/>
          </w:tcPr>
          <w:p>
            <w:pPr>
              <w:spacing w:after="0"/>
              <w:rPr>
                <w:sz w:val="11"/>
                <w:szCs w:val="11"/>
                <w:color w:val="auto"/>
              </w:rPr>
            </w:pPr>
          </w:p>
        </w:tc>
        <w:tc>
          <w:tcPr>
            <w:tcW w:w="3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140" w:type="dxa"/>
            <w:vAlign w:val="bottom"/>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1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Property operating income</w:t>
            </w: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189,002</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86,214</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275,216</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ind w:left="140"/>
              <w:spacing w:after="0"/>
              <w:rPr>
                <w:sz w:val="20"/>
                <w:szCs w:val="20"/>
                <w:color w:val="auto"/>
              </w:rPr>
            </w:pPr>
            <w:r>
              <w:rPr>
                <w:rFonts w:ascii="Arial" w:cs="Arial" w:eastAsia="Arial" w:hAnsi="Arial"/>
                <w:sz w:val="11"/>
                <w:szCs w:val="11"/>
                <w:color w:val="auto"/>
              </w:rPr>
              <w:t>Interest income</w:t>
            </w: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1,815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2,676</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Fee income</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29,443</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2,769</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1,467</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33,679</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Other income</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54</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96</w:t>
            </w:r>
          </w:p>
        </w:tc>
        <w:tc>
          <w:tcPr>
            <w:tcW w:w="8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450</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2,745</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106</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682</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4,133</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40" w:type="dxa"/>
            <w:vAlign w:val="bottom"/>
            <w:shd w:val="clear" w:color="auto" w:fill="DBDBDB"/>
          </w:tcPr>
          <w:p>
            <w:pPr>
              <w:ind w:left="260"/>
              <w:spacing w:after="0"/>
              <w:rPr>
                <w:sz w:val="20"/>
                <w:szCs w:val="20"/>
                <w:color w:val="auto"/>
              </w:rPr>
            </w:pPr>
            <w:r>
              <w:rPr>
                <w:rFonts w:ascii="Arial" w:cs="Arial" w:eastAsia="Arial" w:hAnsi="Arial"/>
                <w:sz w:val="11"/>
                <w:szCs w:val="11"/>
                <w:b w:val="1"/>
                <w:bCs w:val="1"/>
                <w:color w:val="auto"/>
              </w:rPr>
              <w:t>Total revenues</w:t>
            </w:r>
          </w:p>
        </w:tc>
        <w:tc>
          <w:tcPr>
            <w:tcW w:w="80" w:type="dxa"/>
            <w:vAlign w:val="bottom"/>
            <w:shd w:val="clear" w:color="auto" w:fill="DBDBDB"/>
          </w:tcPr>
          <w:p>
            <w:pPr>
              <w:spacing w:after="0"/>
              <w:rPr>
                <w:sz w:val="11"/>
                <w:szCs w:val="11"/>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29,498</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189,202</w:t>
            </w: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1,140</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93,543</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1,580</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741</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315,704</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140" w:type="dxa"/>
            <w:vAlign w:val="bottom"/>
          </w:tcPr>
          <w:p>
            <w:pPr>
              <w:spacing w:after="0" w:line="122" w:lineRule="exact"/>
              <w:rPr>
                <w:sz w:val="20"/>
                <w:szCs w:val="20"/>
                <w:color w:val="auto"/>
              </w:rPr>
            </w:pPr>
            <w:r>
              <w:rPr>
                <w:rFonts w:ascii="Arial" w:cs="Arial" w:eastAsia="Arial" w:hAnsi="Arial"/>
                <w:sz w:val="11"/>
                <w:szCs w:val="11"/>
                <w:b w:val="1"/>
                <w:bCs w:val="1"/>
                <w:color w:val="auto"/>
              </w:rPr>
              <w:t>Expenses</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1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Property operating expense</w:t>
            </w:r>
          </w:p>
        </w:tc>
        <w:tc>
          <w:tcPr>
            <w:tcW w:w="8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6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79,862</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52,400</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132,264</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ind w:left="140"/>
              <w:spacing w:after="0"/>
              <w:rPr>
                <w:sz w:val="20"/>
                <w:szCs w:val="20"/>
                <w:color w:val="auto"/>
              </w:rPr>
            </w:pPr>
            <w:r>
              <w:rPr>
                <w:rFonts w:ascii="Arial" w:cs="Arial" w:eastAsia="Arial" w:hAnsi="Arial"/>
                <w:sz w:val="11"/>
                <w:szCs w:val="11"/>
                <w:color w:val="auto"/>
              </w:rPr>
              <w:t>Interest expense</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31,132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32,705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8,648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72,485</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Investment and servicing expense</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32</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6,445</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136</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1,096</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156</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243</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8,108</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ind w:left="140"/>
              <w:spacing w:after="0"/>
              <w:rPr>
                <w:sz w:val="20"/>
                <w:szCs w:val="20"/>
                <w:color w:val="auto"/>
              </w:rPr>
            </w:pPr>
            <w:r>
              <w:rPr>
                <w:rFonts w:ascii="Arial" w:cs="Arial" w:eastAsia="Arial" w:hAnsi="Arial"/>
                <w:sz w:val="11"/>
                <w:szCs w:val="11"/>
                <w:color w:val="auto"/>
              </w:rPr>
              <w:t>Transaction costs</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1,067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1,618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2,685</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Depreciation and amortization</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6,267</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122,221</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31,418</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10,457</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604</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170,967</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ind w:left="140"/>
              <w:spacing w:after="0"/>
              <w:rPr>
                <w:sz w:val="20"/>
                <w:szCs w:val="20"/>
                <w:color w:val="auto"/>
              </w:rPr>
            </w:pPr>
            <w:r>
              <w:rPr>
                <w:rFonts w:ascii="Arial" w:cs="Arial" w:eastAsia="Arial" w:hAnsi="Arial"/>
                <w:sz w:val="11"/>
                <w:szCs w:val="11"/>
                <w:color w:val="auto"/>
              </w:rPr>
              <w:t>Impairment loss</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15,232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15,232</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Compensation expense</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ind w:left="220"/>
              <w:spacing w:after="0"/>
              <w:rPr>
                <w:sz w:val="20"/>
                <w:szCs w:val="20"/>
                <w:color w:val="auto"/>
              </w:rPr>
            </w:pPr>
            <w:r>
              <w:rPr>
                <w:rFonts w:ascii="Arial" w:cs="Arial" w:eastAsia="Arial" w:hAnsi="Arial"/>
                <w:sz w:val="11"/>
                <w:szCs w:val="11"/>
                <w:color w:val="auto"/>
              </w:rPr>
              <w:t>Cash and equity-based compensation</w:t>
            </w: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12,385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18,029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3,199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1,434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48,372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83,419</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140" w:type="dxa"/>
            <w:vAlign w:val="bottom"/>
            <w:shd w:val="clear" w:color="auto" w:fill="DBDBDB"/>
          </w:tcPr>
          <w:p>
            <w:pPr>
              <w:ind w:left="220"/>
              <w:spacing w:after="0" w:line="121" w:lineRule="exact"/>
              <w:rPr>
                <w:sz w:val="20"/>
                <w:szCs w:val="20"/>
                <w:color w:val="auto"/>
              </w:rPr>
            </w:pPr>
            <w:r>
              <w:rPr>
                <w:rFonts w:ascii="Arial" w:cs="Arial" w:eastAsia="Arial" w:hAnsi="Arial"/>
                <w:sz w:val="11"/>
                <w:szCs w:val="11"/>
                <w:color w:val="auto"/>
              </w:rPr>
              <w:t>Carried interest and incentive</w:t>
            </w:r>
          </w:p>
        </w:tc>
        <w:tc>
          <w:tcPr>
            <w:tcW w:w="8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6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5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6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compensation</w:t>
            </w:r>
          </w:p>
        </w:tc>
        <w:tc>
          <w:tcPr>
            <w:tcW w:w="80" w:type="dxa"/>
            <w:vAlign w:val="bottom"/>
            <w:shd w:val="clear" w:color="auto" w:fill="DBDBDB"/>
          </w:tcPr>
          <w:p>
            <w:pPr>
              <w:spacing w:after="0"/>
              <w:rPr>
                <w:sz w:val="11"/>
                <w:szCs w:val="1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1"/>
                <w:szCs w:val="11"/>
                <w:color w:val="auto"/>
              </w:rPr>
            </w:pPr>
          </w:p>
        </w:tc>
        <w:tc>
          <w:tcPr>
            <w:tcW w:w="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1"/>
                <w:szCs w:val="11"/>
                <w:color w:val="auto"/>
              </w:rPr>
            </w:pP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1"/>
                <w:szCs w:val="11"/>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Administrative expenses</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2,131</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6,622</w:t>
            </w:r>
          </w:p>
        </w:tc>
        <w:tc>
          <w:tcPr>
            <w:tcW w:w="8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189</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714</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447</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8,854</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18,957</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40" w:type="dxa"/>
            <w:vAlign w:val="bottom"/>
            <w:shd w:val="clear" w:color="auto" w:fill="DBDBDB"/>
          </w:tcPr>
          <w:p>
            <w:pPr>
              <w:ind w:left="260"/>
              <w:spacing w:after="0"/>
              <w:rPr>
                <w:sz w:val="20"/>
                <w:szCs w:val="20"/>
                <w:color w:val="auto"/>
              </w:rPr>
            </w:pPr>
            <w:r>
              <w:rPr>
                <w:rFonts w:ascii="Arial" w:cs="Arial" w:eastAsia="Arial" w:hAnsi="Arial"/>
                <w:sz w:val="11"/>
                <w:szCs w:val="11"/>
                <w:b w:val="1"/>
                <w:bCs w:val="1"/>
                <w:color w:val="auto"/>
              </w:rPr>
              <w:t>Total expenses</w:t>
            </w:r>
          </w:p>
        </w:tc>
        <w:tc>
          <w:tcPr>
            <w:tcW w:w="80" w:type="dxa"/>
            <w:vAlign w:val="bottom"/>
            <w:shd w:val="clear" w:color="auto" w:fill="DBDBDB"/>
          </w:tcPr>
          <w:p>
            <w:pPr>
              <w:spacing w:after="0"/>
              <w:rPr>
                <w:sz w:val="11"/>
                <w:szCs w:val="11"/>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20,782</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264,311</w:t>
            </w: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325</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137,831</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12,496</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68,339</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504,084</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140" w:type="dxa"/>
            <w:vAlign w:val="bottom"/>
          </w:tcPr>
          <w:p>
            <w:pPr>
              <w:spacing w:after="0" w:line="122" w:lineRule="exact"/>
              <w:rPr>
                <w:sz w:val="20"/>
                <w:szCs w:val="20"/>
                <w:color w:val="auto"/>
              </w:rPr>
            </w:pPr>
            <w:r>
              <w:rPr>
                <w:rFonts w:ascii="Arial" w:cs="Arial" w:eastAsia="Arial" w:hAnsi="Arial"/>
                <w:sz w:val="11"/>
                <w:szCs w:val="11"/>
                <w:b w:val="1"/>
                <w:bCs w:val="1"/>
                <w:color w:val="auto"/>
              </w:rPr>
              <w:t>Other income (loss)</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1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Other gain (loss), net</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165</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3,188</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657</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(12,700)</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(8,714)</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ind w:left="140"/>
              <w:spacing w:after="0"/>
              <w:rPr>
                <w:sz w:val="20"/>
                <w:szCs w:val="20"/>
                <w:color w:val="auto"/>
              </w:rPr>
            </w:pPr>
            <w:r>
              <w:rPr>
                <w:rFonts w:ascii="Arial" w:cs="Arial" w:eastAsia="Arial" w:hAnsi="Arial"/>
                <w:sz w:val="11"/>
                <w:szCs w:val="11"/>
                <w:color w:val="auto"/>
              </w:rPr>
              <w:t>Equity method earnings (loss)</w:t>
            </w: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2,776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(21,489)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(18,686)</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140" w:type="dxa"/>
            <w:vAlign w:val="bottom"/>
            <w:shd w:val="clear" w:color="auto" w:fill="DBDBDB"/>
          </w:tcPr>
          <w:p>
            <w:pPr>
              <w:ind w:left="140"/>
              <w:spacing w:after="0" w:line="121" w:lineRule="exact"/>
              <w:rPr>
                <w:sz w:val="20"/>
                <w:szCs w:val="20"/>
                <w:color w:val="auto"/>
              </w:rPr>
            </w:pPr>
            <w:r>
              <w:rPr>
                <w:rFonts w:ascii="Arial" w:cs="Arial" w:eastAsia="Arial" w:hAnsi="Arial"/>
                <w:sz w:val="11"/>
                <w:szCs w:val="11"/>
                <w:color w:val="auto"/>
              </w:rPr>
              <w:t>Equity method earnings (loss) - carried</w:t>
            </w:r>
          </w:p>
        </w:tc>
        <w:tc>
          <w:tcPr>
            <w:tcW w:w="8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6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5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6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interest</w:t>
            </w:r>
          </w:p>
        </w:tc>
        <w:tc>
          <w:tcPr>
            <w:tcW w:w="80" w:type="dxa"/>
            <w:vAlign w:val="bottom"/>
            <w:tcBorders>
              <w:bottom w:val="single" w:sz="8" w:color="auto"/>
            </w:tcBorders>
            <w:shd w:val="clear" w:color="auto" w:fill="DBDBDB"/>
          </w:tcPr>
          <w:p>
            <w:pPr>
              <w:spacing w:after="0"/>
              <w:rPr>
                <w:sz w:val="11"/>
                <w:szCs w:val="11"/>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(222)</w:t>
            </w:r>
          </w:p>
        </w:tc>
        <w:tc>
          <w:tcPr>
            <w:tcW w:w="80" w:type="dxa"/>
            <w:vAlign w:val="bottom"/>
            <w:shd w:val="clear" w:color="auto" w:fill="DBDBDB"/>
          </w:tcPr>
          <w:p>
            <w:pPr>
              <w:spacing w:after="0"/>
              <w:rPr>
                <w:sz w:val="11"/>
                <w:szCs w:val="11"/>
                <w:color w:val="auto"/>
              </w:rPr>
            </w:pPr>
          </w:p>
        </w:tc>
        <w:tc>
          <w:tcPr>
            <w:tcW w:w="80" w:type="dxa"/>
            <w:vAlign w:val="bottom"/>
            <w:tcBorders>
              <w:bottom w:val="single" w:sz="8" w:color="auto"/>
            </w:tcBorders>
            <w:shd w:val="clear" w:color="auto" w:fill="DBDBDB"/>
          </w:tcPr>
          <w:p>
            <w:pPr>
              <w:spacing w:after="0"/>
              <w:rPr>
                <w:sz w:val="11"/>
                <w:szCs w:val="11"/>
                <w:color w:val="auto"/>
              </w:rPr>
            </w:pPr>
          </w:p>
        </w:tc>
        <w:tc>
          <w:tcPr>
            <w:tcW w:w="6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100" w:type="dxa"/>
            <w:vAlign w:val="bottom"/>
            <w:tcBorders>
              <w:bottom w:val="single" w:sz="8" w:color="auto"/>
            </w:tcBorders>
            <w:shd w:val="clear" w:color="auto" w:fill="DBDBDB"/>
          </w:tcPr>
          <w:p>
            <w:pPr>
              <w:spacing w:after="0"/>
              <w:rPr>
                <w:sz w:val="11"/>
                <w:szCs w:val="11"/>
                <w:color w:val="auto"/>
              </w:rPr>
            </w:pPr>
          </w:p>
        </w:tc>
        <w:tc>
          <w:tcPr>
            <w:tcW w:w="5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80" w:type="dxa"/>
            <w:vAlign w:val="bottom"/>
            <w:tcBorders>
              <w:bottom w:val="single" w:sz="8" w:color="auto"/>
            </w:tcBorders>
            <w:shd w:val="clear" w:color="auto" w:fill="DBDBDB"/>
          </w:tcPr>
          <w:p>
            <w:pPr>
              <w:spacing w:after="0"/>
              <w:rPr>
                <w:sz w:val="11"/>
                <w:szCs w:val="11"/>
                <w:color w:val="auto"/>
              </w:rPr>
            </w:pPr>
          </w:p>
        </w:tc>
        <w:tc>
          <w:tcPr>
            <w:tcW w:w="7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140" w:type="dxa"/>
            <w:vAlign w:val="bottom"/>
            <w:tcBorders>
              <w:bottom w:val="single" w:sz="8" w:color="auto"/>
            </w:tcBorders>
            <w:shd w:val="clear" w:color="auto" w:fill="DBDBDB"/>
          </w:tcPr>
          <w:p>
            <w:pPr>
              <w:spacing w:after="0"/>
              <w:rPr>
                <w:sz w:val="11"/>
                <w:szCs w:val="11"/>
                <w:color w:val="auto"/>
              </w:rPr>
            </w:pPr>
          </w:p>
        </w:tc>
        <w:tc>
          <w:tcPr>
            <w:tcW w:w="5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80" w:type="dxa"/>
            <w:vAlign w:val="bottom"/>
            <w:tcBorders>
              <w:bottom w:val="single" w:sz="8" w:color="auto"/>
            </w:tcBorders>
            <w:shd w:val="clear" w:color="auto" w:fill="DBDBDB"/>
          </w:tcPr>
          <w:p>
            <w:pPr>
              <w:spacing w:after="0"/>
              <w:rPr>
                <w:sz w:val="11"/>
                <w:szCs w:val="11"/>
                <w:color w:val="auto"/>
              </w:rPr>
            </w:pPr>
          </w:p>
        </w:tc>
        <w:tc>
          <w:tcPr>
            <w:tcW w:w="7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80" w:type="dxa"/>
            <w:vAlign w:val="bottom"/>
            <w:tcBorders>
              <w:bottom w:val="single" w:sz="8" w:color="auto"/>
            </w:tcBorders>
            <w:shd w:val="clear" w:color="auto" w:fill="DBDBDB"/>
          </w:tcPr>
          <w:p>
            <w:pPr>
              <w:spacing w:after="0"/>
              <w:rPr>
                <w:sz w:val="11"/>
                <w:szCs w:val="11"/>
                <w:color w:val="auto"/>
              </w:rPr>
            </w:pPr>
          </w:p>
        </w:tc>
        <w:tc>
          <w:tcPr>
            <w:tcW w:w="6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140" w:type="dxa"/>
            <w:vAlign w:val="bottom"/>
            <w:tcBorders>
              <w:bottom w:val="single" w:sz="8" w:color="auto"/>
            </w:tcBorders>
            <w:shd w:val="clear" w:color="auto" w:fill="DBDBDB"/>
          </w:tcPr>
          <w:p>
            <w:pPr>
              <w:spacing w:after="0"/>
              <w:rPr>
                <w:sz w:val="11"/>
                <w:szCs w:val="11"/>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(222)</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140" w:type="dxa"/>
            <w:vAlign w:val="bottom"/>
          </w:tcPr>
          <w:p>
            <w:pPr>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8,686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(75,112)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6,779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(43,631)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(32,426)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(80,298)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(216,002)</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Income tax benefit (expense)</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(2,645)</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12,268</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1,090</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2,421</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208</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12,483</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25,825</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140" w:type="dxa"/>
            <w:vAlign w:val="bottom"/>
          </w:tcPr>
          <w:p>
            <w:pPr>
              <w:spacing w:after="0" w:line="88" w:lineRule="exact"/>
              <w:rPr>
                <w:sz w:val="20"/>
                <w:szCs w:val="20"/>
                <w:color w:val="auto"/>
              </w:rPr>
            </w:pPr>
            <w:r>
              <w:rPr>
                <w:rFonts w:ascii="Arial" w:cs="Arial" w:eastAsia="Arial" w:hAnsi="Arial"/>
                <w:sz w:val="10"/>
                <w:szCs w:val="10"/>
                <w:b w:val="1"/>
                <w:bCs w:val="1"/>
                <w:color w:val="auto"/>
              </w:rPr>
              <w:t>Income (loss) from continuing</w:t>
            </w: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140" w:type="dxa"/>
            <w:vAlign w:val="bottom"/>
          </w:tcPr>
          <w:p>
            <w:pPr>
              <w:spacing w:after="0"/>
              <w:rPr>
                <w:sz w:val="20"/>
                <w:szCs w:val="20"/>
                <w:color w:val="auto"/>
              </w:rPr>
            </w:pPr>
            <w:r>
              <w:rPr>
                <w:rFonts w:ascii="Arial" w:cs="Arial" w:eastAsia="Arial" w:hAnsi="Arial"/>
                <w:sz w:val="11"/>
                <w:szCs w:val="11"/>
                <w:b w:val="1"/>
                <w:bCs w:val="1"/>
                <w:color w:val="auto"/>
              </w:rPr>
              <w:t>operations</w:t>
            </w: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6,041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(62,844)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7,869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(41,210)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(32,218)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(67,815)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(190,177)</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40" w:type="dxa"/>
            <w:vAlign w:val="bottom"/>
            <w:shd w:val="clear" w:color="auto" w:fill="DBDBDB"/>
          </w:tcPr>
          <w:p>
            <w:pPr>
              <w:spacing w:after="0"/>
              <w:rPr>
                <w:sz w:val="20"/>
                <w:szCs w:val="20"/>
                <w:color w:val="auto"/>
              </w:rPr>
            </w:pPr>
            <w:r>
              <w:rPr>
                <w:rFonts w:ascii="Arial" w:cs="Arial" w:eastAsia="Arial" w:hAnsi="Arial"/>
                <w:sz w:val="11"/>
                <w:szCs w:val="11"/>
                <w:color w:val="auto"/>
              </w:rPr>
              <w:t>Income (loss) from discontinued operations</w:t>
            </w:r>
          </w:p>
        </w:tc>
        <w:tc>
          <w:tcPr>
            <w:tcW w:w="8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(437,422)</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(437,422)</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40" w:type="dxa"/>
            <w:vAlign w:val="bottom"/>
          </w:tcPr>
          <w:p>
            <w:pPr>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6,041</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(62,844)</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7,869</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(41,210)</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(32,218)</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(437,422)</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(67,815)</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(627,599)</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140" w:type="dxa"/>
            <w:vAlign w:val="bottom"/>
            <w:shd w:val="clear" w:color="auto" w:fill="DBDBDB"/>
          </w:tcPr>
          <w:p>
            <w:pPr>
              <w:spacing w:after="0" w:line="121" w:lineRule="exact"/>
              <w:rPr>
                <w:sz w:val="20"/>
                <w:szCs w:val="20"/>
                <w:color w:val="auto"/>
              </w:rPr>
            </w:pPr>
            <w:r>
              <w:rPr>
                <w:rFonts w:ascii="Arial" w:cs="Arial" w:eastAsia="Arial" w:hAnsi="Arial"/>
                <w:sz w:val="11"/>
                <w:szCs w:val="11"/>
                <w:color w:val="auto"/>
              </w:rPr>
              <w:t>Net income (loss) attributable to</w:t>
            </w:r>
          </w:p>
        </w:tc>
        <w:tc>
          <w:tcPr>
            <w:tcW w:w="8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6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5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6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40" w:type="dxa"/>
            <w:vAlign w:val="bottom"/>
            <w:shd w:val="clear" w:color="auto" w:fill="DBDBDB"/>
          </w:tcPr>
          <w:p>
            <w:pPr>
              <w:spacing w:after="0"/>
              <w:rPr>
                <w:sz w:val="20"/>
                <w:szCs w:val="20"/>
                <w:color w:val="auto"/>
              </w:rPr>
            </w:pPr>
            <w:r>
              <w:rPr>
                <w:rFonts w:ascii="Arial" w:cs="Arial" w:eastAsia="Arial" w:hAnsi="Arial"/>
                <w:sz w:val="11"/>
                <w:szCs w:val="11"/>
                <w:color w:val="auto"/>
              </w:rPr>
              <w:t>noncontrolling interests:</w:t>
            </w:r>
          </w:p>
        </w:tc>
        <w:tc>
          <w:tcPr>
            <w:tcW w:w="8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5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560" w:type="dxa"/>
            <w:vAlign w:val="bottom"/>
            <w:shd w:val="clear" w:color="auto" w:fill="DBDBDB"/>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tcPr>
          <w:p>
            <w:pPr>
              <w:ind w:left="140"/>
              <w:spacing w:after="0"/>
              <w:rPr>
                <w:sz w:val="20"/>
                <w:szCs w:val="20"/>
                <w:color w:val="auto"/>
              </w:rPr>
            </w:pPr>
            <w:r>
              <w:rPr>
                <w:rFonts w:ascii="Arial" w:cs="Arial" w:eastAsia="Arial" w:hAnsi="Arial"/>
                <w:sz w:val="11"/>
                <w:szCs w:val="11"/>
                <w:color w:val="auto"/>
              </w:rPr>
              <w:t>Redeemable noncontrolling interests</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2,545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2,449</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Investment entities</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155</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(53,125)</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959</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(4,834)</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(299,017)</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(355,862)</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Operating Company</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570</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(926)</w:t>
            </w:r>
          </w:p>
        </w:tc>
        <w:tc>
          <w:tcPr>
            <w:tcW w:w="8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416</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(3,470)</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(3,073)</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(13,191)</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(8,222)</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(27,896)</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140" w:type="dxa"/>
            <w:vAlign w:val="bottom"/>
            <w:shd w:val="clear" w:color="auto" w:fill="DBDBDB"/>
          </w:tcPr>
          <w:p>
            <w:pPr>
              <w:spacing w:after="0" w:line="90" w:lineRule="exact"/>
              <w:rPr>
                <w:sz w:val="20"/>
                <w:szCs w:val="20"/>
                <w:color w:val="auto"/>
              </w:rPr>
            </w:pPr>
            <w:r>
              <w:rPr>
                <w:rFonts w:ascii="Arial" w:cs="Arial" w:eastAsia="Arial" w:hAnsi="Arial"/>
                <w:sz w:val="10"/>
                <w:szCs w:val="10"/>
                <w:b w:val="1"/>
                <w:bCs w:val="1"/>
                <w:color w:val="auto"/>
              </w:rPr>
              <w:t>Net income (loss) attributable to Colony</w:t>
            </w:r>
          </w:p>
        </w:tc>
        <w:tc>
          <w:tcPr>
            <w:tcW w:w="80" w:type="dxa"/>
            <w:vAlign w:val="bottom"/>
            <w:shd w:val="clear" w:color="auto" w:fill="DBDBDB"/>
          </w:tcPr>
          <w:p>
            <w:pPr>
              <w:spacing w:after="0"/>
              <w:rPr>
                <w:sz w:val="7"/>
                <w:szCs w:val="7"/>
                <w:color w:val="auto"/>
              </w:rPr>
            </w:pPr>
          </w:p>
        </w:tc>
        <w:tc>
          <w:tcPr>
            <w:tcW w:w="74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5,412</w:t>
            </w:r>
          </w:p>
        </w:tc>
        <w:tc>
          <w:tcPr>
            <w:tcW w:w="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62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(8,793)</w:t>
            </w:r>
          </w:p>
        </w:tc>
        <w:tc>
          <w:tcPr>
            <w:tcW w:w="8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50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3,949</w:t>
            </w:r>
          </w:p>
        </w:tc>
        <w:tc>
          <w:tcPr>
            <w:tcW w:w="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(32,906)</w:t>
            </w:r>
          </w:p>
        </w:tc>
        <w:tc>
          <w:tcPr>
            <w:tcW w:w="8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(29,145)</w:t>
            </w:r>
          </w:p>
        </w:tc>
        <w:tc>
          <w:tcPr>
            <w:tcW w:w="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(125,214)</w:t>
            </w:r>
          </w:p>
        </w:tc>
        <w:tc>
          <w:tcPr>
            <w:tcW w:w="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(59,593)</w:t>
            </w:r>
          </w:p>
        </w:tc>
        <w:tc>
          <w:tcPr>
            <w:tcW w:w="8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(246,290)</w:t>
            </w: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Capital, Inc.</w:t>
            </w:r>
          </w:p>
        </w:tc>
        <w:tc>
          <w:tcPr>
            <w:tcW w:w="80" w:type="dxa"/>
            <w:vAlign w:val="bottom"/>
            <w:tcBorders>
              <w:bottom w:val="single" w:sz="8" w:color="auto"/>
            </w:tcBorders>
            <w:shd w:val="clear" w:color="auto" w:fill="DBDBDB"/>
          </w:tcPr>
          <w:p>
            <w:pPr>
              <w:spacing w:after="0"/>
              <w:rPr>
                <w:sz w:val="12"/>
                <w:szCs w:val="12"/>
                <w:color w:val="auto"/>
              </w:rPr>
            </w:pPr>
          </w:p>
        </w:tc>
        <w:tc>
          <w:tcPr>
            <w:tcW w:w="740" w:type="dxa"/>
            <w:vAlign w:val="bottom"/>
            <w:tcBorders>
              <w:bottom w:val="single" w:sz="8" w:color="auto"/>
            </w:tcBorders>
            <w:vMerge w:val="continue"/>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620" w:type="dxa"/>
            <w:vAlign w:val="bottom"/>
            <w:tcBorders>
              <w:bottom w:val="single" w:sz="8" w:color="auto"/>
            </w:tcBorders>
            <w:vMerge w:val="continue"/>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500" w:type="dxa"/>
            <w:vAlign w:val="bottom"/>
            <w:tcBorders>
              <w:bottom w:val="single" w:sz="8" w:color="auto"/>
            </w:tcBorders>
            <w:vMerge w:val="continue"/>
            <w:shd w:val="clear" w:color="auto" w:fill="DBDBDB"/>
          </w:tcPr>
          <w:p>
            <w:pPr>
              <w:spacing w:after="0"/>
              <w:rPr>
                <w:sz w:val="12"/>
                <w:szCs w:val="12"/>
                <w:color w:val="auto"/>
              </w:rPr>
            </w:pPr>
          </w:p>
        </w:tc>
        <w:tc>
          <w:tcPr>
            <w:tcW w:w="80" w:type="dxa"/>
            <w:vAlign w:val="bottom"/>
            <w:tcBorders>
              <w:bottom w:val="single" w:sz="8" w:color="DBDBDB"/>
            </w:tcBorders>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760" w:type="dxa"/>
            <w:vAlign w:val="bottom"/>
            <w:tcBorders>
              <w:bottom w:val="single" w:sz="8" w:color="auto"/>
            </w:tcBorders>
            <w:vMerge w:val="continue"/>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140" w:type="dxa"/>
            <w:vAlign w:val="bottom"/>
            <w:tcBorders>
              <w:bottom w:val="single" w:sz="8" w:color="auto"/>
            </w:tcBorders>
            <w:shd w:val="clear" w:color="auto" w:fill="DBDBDB"/>
          </w:tcPr>
          <w:p>
            <w:pPr>
              <w:spacing w:after="0"/>
              <w:rPr>
                <w:sz w:val="12"/>
                <w:szCs w:val="12"/>
                <w:color w:val="auto"/>
              </w:rPr>
            </w:pPr>
          </w:p>
        </w:tc>
        <w:tc>
          <w:tcPr>
            <w:tcW w:w="520" w:type="dxa"/>
            <w:vAlign w:val="bottom"/>
            <w:tcBorders>
              <w:bottom w:val="single" w:sz="8" w:color="auto"/>
            </w:tcBorders>
            <w:vMerge w:val="continue"/>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740" w:type="dxa"/>
            <w:vAlign w:val="bottom"/>
            <w:tcBorders>
              <w:bottom w:val="single" w:sz="8" w:color="auto"/>
            </w:tcBorders>
            <w:vMerge w:val="continue"/>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660" w:type="dxa"/>
            <w:vAlign w:val="bottom"/>
            <w:tcBorders>
              <w:bottom w:val="single" w:sz="8" w:color="auto"/>
            </w:tcBorders>
            <w:vMerge w:val="continue"/>
            <w:shd w:val="clear" w:color="auto" w:fill="DBDBDB"/>
          </w:tcPr>
          <w:p>
            <w:pPr>
              <w:spacing w:after="0"/>
              <w:rPr>
                <w:sz w:val="12"/>
                <w:szCs w:val="12"/>
                <w:color w:val="auto"/>
              </w:rPr>
            </w:pPr>
          </w:p>
        </w:tc>
        <w:tc>
          <w:tcPr>
            <w:tcW w:w="80" w:type="dxa"/>
            <w:vAlign w:val="bottom"/>
            <w:tcBorders>
              <w:bottom w:val="single" w:sz="8" w:color="DBDBDB"/>
            </w:tcBorders>
            <w:shd w:val="clear" w:color="auto" w:fill="DBDBDB"/>
          </w:tcPr>
          <w:p>
            <w:pPr>
              <w:spacing w:after="0"/>
              <w:rPr>
                <w:sz w:val="12"/>
                <w:szCs w:val="12"/>
                <w:color w:val="auto"/>
              </w:rPr>
            </w:pPr>
          </w:p>
        </w:tc>
        <w:tc>
          <w:tcPr>
            <w:tcW w:w="14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vMerge w:val="continue"/>
            <w:shd w:val="clear" w:color="auto" w:fill="DBDBDB"/>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Preferred stock dividends</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18,516</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18,516</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140" w:type="dxa"/>
            <w:vAlign w:val="bottom"/>
            <w:shd w:val="clear" w:color="auto" w:fill="DBDBDB"/>
          </w:tcPr>
          <w:p>
            <w:pPr>
              <w:spacing w:after="0" w:line="90" w:lineRule="exact"/>
              <w:rPr>
                <w:sz w:val="20"/>
                <w:szCs w:val="20"/>
                <w:color w:val="auto"/>
              </w:rPr>
            </w:pPr>
            <w:r>
              <w:rPr>
                <w:rFonts w:ascii="Arial" w:cs="Arial" w:eastAsia="Arial" w:hAnsi="Arial"/>
                <w:sz w:val="10"/>
                <w:szCs w:val="10"/>
                <w:b w:val="1"/>
                <w:bCs w:val="1"/>
                <w:color w:val="auto"/>
              </w:rPr>
              <w:t>Net income (loss) attributable to</w:t>
            </w: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5,412</w:t>
            </w:r>
          </w:p>
        </w:tc>
        <w:tc>
          <w:tcPr>
            <w:tcW w:w="80" w:type="dxa"/>
            <w:vAlign w:val="bottom"/>
            <w:shd w:val="clear" w:color="auto" w:fill="DBDBDB"/>
          </w:tcPr>
          <w:p>
            <w:pPr>
              <w:spacing w:after="0"/>
              <w:rPr>
                <w:sz w:val="7"/>
                <w:szCs w:val="7"/>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(8,793)</w:t>
            </w:r>
          </w:p>
        </w:tc>
        <w:tc>
          <w:tcPr>
            <w:tcW w:w="80" w:type="dxa"/>
            <w:vAlign w:val="bottom"/>
            <w:shd w:val="clear" w:color="auto" w:fill="DBDBDB"/>
          </w:tcPr>
          <w:p>
            <w:pPr>
              <w:spacing w:after="0"/>
              <w:rPr>
                <w:sz w:val="7"/>
                <w:szCs w:val="7"/>
                <w:color w:val="auto"/>
              </w:rPr>
            </w:pPr>
          </w:p>
        </w:tc>
        <w:tc>
          <w:tcPr>
            <w:tcW w:w="100" w:type="dxa"/>
            <w:vAlign w:val="bottom"/>
            <w:vMerge w:val="restart"/>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3,949</w:t>
            </w:r>
          </w:p>
        </w:tc>
        <w:tc>
          <w:tcPr>
            <w:tcW w:w="80" w:type="dxa"/>
            <w:vAlign w:val="bottom"/>
            <w:vMerge w:val="restart"/>
            <w:shd w:val="clear" w:color="auto" w:fill="DBDBDB"/>
          </w:tcPr>
          <w:p>
            <w:pPr>
              <w:spacing w:after="0"/>
              <w:rPr>
                <w:sz w:val="7"/>
                <w:szCs w:val="7"/>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(32,906)</w:t>
            </w:r>
          </w:p>
        </w:tc>
        <w:tc>
          <w:tcPr>
            <w:tcW w:w="80" w:type="dxa"/>
            <w:vAlign w:val="bottom"/>
            <w:shd w:val="clear" w:color="auto" w:fill="DBDBDB"/>
          </w:tcPr>
          <w:p>
            <w:pPr>
              <w:spacing w:after="0"/>
              <w:rPr>
                <w:sz w:val="7"/>
                <w:szCs w:val="7"/>
                <w:color w:val="auto"/>
              </w:rPr>
            </w:pPr>
          </w:p>
        </w:tc>
        <w:tc>
          <w:tcPr>
            <w:tcW w:w="14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(29,145)</w:t>
            </w:r>
          </w:p>
        </w:tc>
        <w:tc>
          <w:tcPr>
            <w:tcW w:w="80" w:type="dxa"/>
            <w:vAlign w:val="bottom"/>
            <w:shd w:val="clear" w:color="auto" w:fill="DBDBDB"/>
          </w:tcPr>
          <w:p>
            <w:pPr>
              <w:spacing w:after="0"/>
              <w:rPr>
                <w:sz w:val="7"/>
                <w:szCs w:val="7"/>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(125,214)</w:t>
            </w:r>
          </w:p>
        </w:tc>
        <w:tc>
          <w:tcPr>
            <w:tcW w:w="80" w:type="dxa"/>
            <w:vAlign w:val="bottom"/>
            <w:shd w:val="clear" w:color="auto" w:fill="DBDBDB"/>
          </w:tcPr>
          <w:p>
            <w:pPr>
              <w:spacing w:after="0"/>
              <w:rPr>
                <w:sz w:val="7"/>
                <w:szCs w:val="7"/>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(78,109)</w:t>
            </w:r>
          </w:p>
        </w:tc>
        <w:tc>
          <w:tcPr>
            <w:tcW w:w="80" w:type="dxa"/>
            <w:vAlign w:val="bottom"/>
            <w:shd w:val="clear" w:color="auto" w:fill="DBDBDB"/>
          </w:tcPr>
          <w:p>
            <w:pPr>
              <w:spacing w:after="0"/>
              <w:rPr>
                <w:sz w:val="7"/>
                <w:szCs w:val="7"/>
                <w:color w:val="auto"/>
              </w:rPr>
            </w:pPr>
          </w:p>
        </w:tc>
        <w:tc>
          <w:tcPr>
            <w:tcW w:w="14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(264,806)</w:t>
            </w: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1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common stockholders</w:t>
            </w:r>
          </w:p>
        </w:tc>
        <w:tc>
          <w:tcPr>
            <w:tcW w:w="80" w:type="dxa"/>
            <w:vAlign w:val="bottom"/>
            <w:tcBorders>
              <w:bottom w:val="single" w:sz="8" w:color="auto"/>
            </w:tcBorders>
            <w:vMerge w:val="continue"/>
            <w:shd w:val="clear" w:color="auto" w:fill="DBDBDB"/>
          </w:tcPr>
          <w:p>
            <w:pPr>
              <w:spacing w:after="0"/>
              <w:rPr>
                <w:sz w:val="13"/>
                <w:szCs w:val="13"/>
                <w:color w:val="auto"/>
              </w:rPr>
            </w:pPr>
          </w:p>
        </w:tc>
        <w:tc>
          <w:tcPr>
            <w:tcW w:w="74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bottom w:val="single" w:sz="8" w:color="auto"/>
            </w:tcBorders>
            <w:vMerge w:val="continue"/>
            <w:shd w:val="clear" w:color="auto" w:fill="DBDBDB"/>
          </w:tcPr>
          <w:p>
            <w:pPr>
              <w:spacing w:after="0"/>
              <w:rPr>
                <w:sz w:val="13"/>
                <w:szCs w:val="13"/>
                <w:color w:val="auto"/>
              </w:rPr>
            </w:pPr>
          </w:p>
        </w:tc>
        <w:tc>
          <w:tcPr>
            <w:tcW w:w="62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100" w:type="dxa"/>
            <w:vAlign w:val="bottom"/>
            <w:tcBorders>
              <w:bottom w:val="single" w:sz="8" w:color="auto"/>
            </w:tcBorders>
            <w:vMerge w:val="continue"/>
            <w:shd w:val="clear" w:color="auto" w:fill="DBDBDB"/>
          </w:tcPr>
          <w:p>
            <w:pPr>
              <w:spacing w:after="0"/>
              <w:rPr>
                <w:sz w:val="13"/>
                <w:szCs w:val="13"/>
                <w:color w:val="auto"/>
              </w:rPr>
            </w:pPr>
          </w:p>
        </w:tc>
        <w:tc>
          <w:tcPr>
            <w:tcW w:w="50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DBDBDB"/>
            </w:tcBorders>
            <w:vMerge w:val="continue"/>
            <w:shd w:val="clear" w:color="auto" w:fill="DBDBDB"/>
          </w:tcPr>
          <w:p>
            <w:pPr>
              <w:spacing w:after="0"/>
              <w:rPr>
                <w:sz w:val="13"/>
                <w:szCs w:val="13"/>
                <w:color w:val="auto"/>
              </w:rPr>
            </w:pPr>
          </w:p>
        </w:tc>
        <w:tc>
          <w:tcPr>
            <w:tcW w:w="80" w:type="dxa"/>
            <w:vAlign w:val="bottom"/>
            <w:tcBorders>
              <w:bottom w:val="single" w:sz="8" w:color="auto"/>
            </w:tcBorders>
            <w:vMerge w:val="continue"/>
            <w:shd w:val="clear" w:color="auto" w:fill="DBDBDB"/>
          </w:tcPr>
          <w:p>
            <w:pPr>
              <w:spacing w:after="0"/>
              <w:rPr>
                <w:sz w:val="13"/>
                <w:szCs w:val="13"/>
                <w:color w:val="auto"/>
              </w:rPr>
            </w:pPr>
          </w:p>
        </w:tc>
        <w:tc>
          <w:tcPr>
            <w:tcW w:w="76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140" w:type="dxa"/>
            <w:vAlign w:val="bottom"/>
            <w:tcBorders>
              <w:bottom w:val="single" w:sz="8" w:color="auto"/>
            </w:tcBorders>
            <w:vMerge w:val="continue"/>
            <w:shd w:val="clear" w:color="auto" w:fill="DBDBDB"/>
          </w:tcPr>
          <w:p>
            <w:pPr>
              <w:spacing w:after="0"/>
              <w:rPr>
                <w:sz w:val="13"/>
                <w:szCs w:val="13"/>
                <w:color w:val="auto"/>
              </w:rPr>
            </w:pPr>
          </w:p>
        </w:tc>
        <w:tc>
          <w:tcPr>
            <w:tcW w:w="52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bottom w:val="single" w:sz="8" w:color="auto"/>
            </w:tcBorders>
            <w:vMerge w:val="continue"/>
            <w:shd w:val="clear" w:color="auto" w:fill="DBDBDB"/>
          </w:tcPr>
          <w:p>
            <w:pPr>
              <w:spacing w:after="0"/>
              <w:rPr>
                <w:sz w:val="13"/>
                <w:szCs w:val="13"/>
                <w:color w:val="auto"/>
              </w:rPr>
            </w:pPr>
          </w:p>
        </w:tc>
        <w:tc>
          <w:tcPr>
            <w:tcW w:w="74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bottom w:val="single" w:sz="8" w:color="auto"/>
            </w:tcBorders>
            <w:vMerge w:val="continue"/>
            <w:shd w:val="clear" w:color="auto" w:fill="DBDBDB"/>
          </w:tcPr>
          <w:p>
            <w:pPr>
              <w:spacing w:after="0"/>
              <w:rPr>
                <w:sz w:val="13"/>
                <w:szCs w:val="13"/>
                <w:color w:val="auto"/>
              </w:rPr>
            </w:pPr>
          </w:p>
        </w:tc>
        <w:tc>
          <w:tcPr>
            <w:tcW w:w="66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140" w:type="dxa"/>
            <w:vAlign w:val="bottom"/>
            <w:tcBorders>
              <w:bottom w:val="single" w:sz="8" w:color="auto"/>
            </w:tcBorders>
            <w:vMerge w:val="continue"/>
            <w:shd w:val="clear" w:color="auto" w:fill="DBDBDB"/>
          </w:tcPr>
          <w:p>
            <w:pPr>
              <w:spacing w:after="0"/>
              <w:rPr>
                <w:sz w:val="13"/>
                <w:szCs w:val="13"/>
                <w:color w:val="auto"/>
              </w:rPr>
            </w:pPr>
          </w:p>
        </w:tc>
        <w:tc>
          <w:tcPr>
            <w:tcW w:w="560" w:type="dxa"/>
            <w:vAlign w:val="bottom"/>
            <w:tcBorders>
              <w:bottom w:val="single" w:sz="8" w:color="auto"/>
            </w:tcBorders>
            <w:vMerge w:val="continue"/>
            <w:shd w:val="clear" w:color="auto" w:fill="DBDBDB"/>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2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220" w:type="dxa"/>
            <w:vAlign w:val="bottom"/>
            <w:gridSpan w:val="2"/>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80" w:type="dxa"/>
            <w:vAlign w:val="bottom"/>
            <w:gridSpan w:val="2"/>
          </w:tcPr>
          <w:p>
            <w:pPr>
              <w:jc w:val="right"/>
              <w:ind w:right="420"/>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bl>
    <w:p>
      <w:pPr>
        <w:sectPr>
          <w:pgSz w:w="11900" w:h="16838" w:orient="portrait"/>
          <w:cols w:equalWidth="0" w:num="1">
            <w:col w:w="11300"/>
          </w:cols>
          <w:pgMar w:left="300" w:top="158" w:right="299" w:bottom="1440" w:gutter="0" w:footer="0" w:header="0"/>
        </w:sectPr>
      </w:pPr>
    </w:p>
    <w:bookmarkStart w:id="26" w:name="page27"/>
    <w:bookmarkEnd w:id="26"/>
    <w:p>
      <w:pPr>
        <w:spacing w:after="0"/>
        <w:rPr>
          <w:sz w:val="20"/>
          <w:szCs w:val="20"/>
          <w:color w:val="auto"/>
        </w:rPr>
      </w:pPr>
      <w:r>
        <w:rPr>
          <w:rFonts w:ascii="Arial" w:cs="Arial" w:eastAsia="Arial" w:hAnsi="Arial"/>
          <w:sz w:val="26"/>
          <w:szCs w:val="26"/>
          <w:color w:val="auto"/>
        </w:rPr>
        <w:t>IId. Financial Results - Noncontrolling Interests’ Share 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22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10"/>
          </w:tcPr>
          <w:p>
            <w:pPr>
              <w:ind w:left="60"/>
              <w:spacing w:after="0"/>
              <w:rPr>
                <w:sz w:val="20"/>
                <w:szCs w:val="20"/>
                <w:color w:val="auto"/>
              </w:rPr>
            </w:pPr>
            <w:r>
              <w:rPr>
                <w:rFonts w:ascii="Arial" w:cs="Arial" w:eastAsia="Arial" w:hAnsi="Arial"/>
                <w:sz w:val="10"/>
                <w:szCs w:val="10"/>
                <w:b w:val="1"/>
                <w:bCs w:val="1"/>
                <w:color w:val="auto"/>
              </w:rPr>
              <w:t>Three Months Ended March 31, 2021</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09" w:lineRule="exact"/>
              <w:rPr>
                <w:sz w:val="20"/>
                <w:szCs w:val="20"/>
                <w:color w:val="auto"/>
              </w:rPr>
            </w:pPr>
            <w:r>
              <w:rPr>
                <w:rFonts w:ascii="Arial" w:cs="Arial" w:eastAsia="Arial" w:hAnsi="Arial"/>
                <w:sz w:val="10"/>
                <w:szCs w:val="10"/>
                <w:b w:val="1"/>
                <w:bCs w:val="1"/>
                <w:color w:val="auto"/>
                <w:w w:val="98"/>
              </w:rPr>
              <w:t>Digital</w:t>
            </w:r>
          </w:p>
        </w:tc>
        <w:tc>
          <w:tcPr>
            <w:tcW w:w="80" w:type="dxa"/>
            <w:vAlign w:val="bottom"/>
          </w:tcPr>
          <w:p>
            <w:pPr>
              <w:spacing w:after="0"/>
              <w:rPr>
                <w:sz w:val="9"/>
                <w:szCs w:val="9"/>
                <w:color w:val="auto"/>
              </w:rPr>
            </w:pP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Digital</w:t>
            </w:r>
          </w:p>
        </w:tc>
        <w:tc>
          <w:tcPr>
            <w:tcW w:w="120" w:type="dxa"/>
            <w:vAlign w:val="bottom"/>
          </w:tcPr>
          <w:p>
            <w:pPr>
              <w:spacing w:after="0"/>
              <w:rPr>
                <w:sz w:val="9"/>
                <w:szCs w:val="9"/>
                <w:color w:val="auto"/>
              </w:rPr>
            </w:pPr>
          </w:p>
        </w:tc>
        <w:tc>
          <w:tcPr>
            <w:tcW w:w="480" w:type="dxa"/>
            <w:vAlign w:val="bottom"/>
            <w:vMerge w:val="restart"/>
          </w:tcPr>
          <w:p>
            <w:pPr>
              <w:jc w:val="right"/>
              <w:ind w:right="86"/>
              <w:spacing w:after="0"/>
              <w:rPr>
                <w:sz w:val="20"/>
                <w:szCs w:val="20"/>
                <w:color w:val="auto"/>
              </w:rPr>
            </w:pPr>
            <w:r>
              <w:rPr>
                <w:rFonts w:ascii="Arial" w:cs="Arial" w:eastAsia="Arial" w:hAnsi="Arial"/>
                <w:sz w:val="10"/>
                <w:szCs w:val="10"/>
                <w:b w:val="1"/>
                <w:bCs w:val="1"/>
                <w:color w:val="auto"/>
              </w:rPr>
              <w:t>Digital</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Wellness</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Discontinued</w:t>
            </w:r>
          </w:p>
        </w:tc>
        <w:tc>
          <w:tcPr>
            <w:tcW w:w="840" w:type="dxa"/>
            <w:vAlign w:val="bottom"/>
            <w:gridSpan w:val="3"/>
          </w:tcPr>
          <w:p>
            <w:pPr>
              <w:jc w:val="right"/>
              <w:ind w:right="140"/>
              <w:spacing w:after="0" w:line="109" w:lineRule="exact"/>
              <w:rPr>
                <w:sz w:val="20"/>
                <w:szCs w:val="20"/>
                <w:color w:val="auto"/>
              </w:rPr>
            </w:pPr>
            <w:r>
              <w:rPr>
                <w:rFonts w:ascii="Arial" w:cs="Arial" w:eastAsia="Arial" w:hAnsi="Arial"/>
                <w:sz w:val="10"/>
                <w:szCs w:val="10"/>
                <w:b w:val="1"/>
                <w:bCs w:val="1"/>
                <w:color w:val="auto"/>
              </w:rPr>
              <w:t>Amounts not</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80" w:type="dxa"/>
            <w:vAlign w:val="bottom"/>
            <w:vMerge w:val="restart"/>
          </w:tcPr>
          <w:p>
            <w:pPr>
              <w:spacing w:after="0"/>
              <w:rPr>
                <w:sz w:val="20"/>
                <w:szCs w:val="20"/>
                <w:color w:val="auto"/>
              </w:rPr>
            </w:pPr>
            <w:r>
              <w:rPr>
                <w:rFonts w:ascii="Arial" w:cs="Arial" w:eastAsia="Arial" w:hAnsi="Arial"/>
                <w:sz w:val="10"/>
                <w:szCs w:val="10"/>
                <w:i w:val="1"/>
                <w:iCs w:val="1"/>
                <w:color w:val="auto"/>
              </w:rPr>
              <w:t>($ in thousands) (unaudited)</w:t>
            </w:r>
          </w:p>
        </w:tc>
        <w:tc>
          <w:tcPr>
            <w:tcW w:w="100" w:type="dxa"/>
            <w:vAlign w:val="bottom"/>
          </w:tcPr>
          <w:p>
            <w:pPr>
              <w:spacing w:after="0"/>
              <w:rPr>
                <w:sz w:val="8"/>
                <w:szCs w:val="8"/>
                <w:color w:val="auto"/>
              </w:rPr>
            </w:pPr>
          </w:p>
        </w:tc>
        <w:tc>
          <w:tcPr>
            <w:tcW w:w="78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rPr>
              <w:t>Investment</w:t>
            </w: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Other</w:t>
            </w: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rPr>
              <w:t>allocated to</w:t>
            </w:r>
          </w:p>
        </w:tc>
        <w:tc>
          <w:tcPr>
            <w:tcW w:w="140" w:type="dxa"/>
            <w:vAlign w:val="bottom"/>
          </w:tcPr>
          <w:p>
            <w:pPr>
              <w:spacing w:after="0"/>
              <w:rPr>
                <w:sz w:val="8"/>
                <w:szCs w:val="8"/>
                <w:color w:val="auto"/>
              </w:rPr>
            </w:pPr>
          </w:p>
        </w:tc>
        <w:tc>
          <w:tcPr>
            <w:tcW w:w="3400" w:type="dxa"/>
            <w:vAlign w:val="bottom"/>
            <w:gridSpan w:val="2"/>
            <w:vMerge w:val="restart"/>
          </w:tcPr>
          <w:p>
            <w:pPr>
              <w:jc w:val="right"/>
              <w:ind w:right="30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5"/>
        </w:trPr>
        <w:tc>
          <w:tcPr>
            <w:tcW w:w="2080" w:type="dxa"/>
            <w:vAlign w:val="bottom"/>
            <w:vMerge w:val="continue"/>
          </w:tcPr>
          <w:p>
            <w:pPr>
              <w:spacing w:after="0"/>
              <w:rPr>
                <w:sz w:val="11"/>
                <w:szCs w:val="11"/>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Management</w:t>
            </w:r>
          </w:p>
        </w:tc>
        <w:tc>
          <w:tcPr>
            <w:tcW w:w="80" w:type="dxa"/>
            <w:vAlign w:val="bottom"/>
          </w:tcPr>
          <w:p>
            <w:pPr>
              <w:spacing w:after="0"/>
              <w:rPr>
                <w:sz w:val="11"/>
                <w:szCs w:val="11"/>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Operating</w:t>
            </w:r>
          </w:p>
        </w:tc>
        <w:tc>
          <w:tcPr>
            <w:tcW w:w="120" w:type="dxa"/>
            <w:vAlign w:val="bottom"/>
          </w:tcPr>
          <w:p>
            <w:pPr>
              <w:spacing w:after="0"/>
              <w:rPr>
                <w:sz w:val="11"/>
                <w:szCs w:val="11"/>
                <w:color w:val="auto"/>
              </w:rPr>
            </w:pPr>
          </w:p>
        </w:tc>
        <w:tc>
          <w:tcPr>
            <w:tcW w:w="480" w:type="dxa"/>
            <w:vAlign w:val="bottom"/>
          </w:tcPr>
          <w:p>
            <w:pPr>
              <w:jc w:val="right"/>
              <w:ind w:right="106"/>
              <w:spacing w:after="0"/>
              <w:rPr>
                <w:sz w:val="20"/>
                <w:szCs w:val="20"/>
                <w:color w:val="auto"/>
              </w:rPr>
            </w:pPr>
            <w:r>
              <w:rPr>
                <w:rFonts w:ascii="Arial" w:cs="Arial" w:eastAsia="Arial" w:hAnsi="Arial"/>
                <w:sz w:val="10"/>
                <w:szCs w:val="10"/>
                <w:b w:val="1"/>
                <w:bCs w:val="1"/>
                <w:color w:val="auto"/>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Infrastructure</w:t>
            </w:r>
          </w:p>
        </w:tc>
        <w:tc>
          <w:tcPr>
            <w:tcW w:w="1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Operations</w:t>
            </w:r>
          </w:p>
        </w:tc>
        <w:tc>
          <w:tcPr>
            <w:tcW w:w="80" w:type="dxa"/>
            <w:vAlign w:val="bottom"/>
          </w:tcPr>
          <w:p>
            <w:pPr>
              <w:spacing w:after="0"/>
              <w:rPr>
                <w:sz w:val="11"/>
                <w:szCs w:val="11"/>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segments</w:t>
            </w:r>
          </w:p>
        </w:tc>
        <w:tc>
          <w:tcPr>
            <w:tcW w:w="140" w:type="dxa"/>
            <w:vAlign w:val="bottom"/>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80" w:type="dxa"/>
            <w:vAlign w:val="bottom"/>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80" w:type="dxa"/>
            <w:vAlign w:val="bottom"/>
            <w:shd w:val="clear" w:color="auto" w:fill="DBDBDB"/>
          </w:tcPr>
          <w:p>
            <w:pPr>
              <w:ind w:left="80"/>
              <w:spacing w:after="0"/>
              <w:rPr>
                <w:sz w:val="20"/>
                <w:szCs w:val="20"/>
                <w:color w:val="auto"/>
              </w:rPr>
            </w:pPr>
            <w:r>
              <w:rPr>
                <w:rFonts w:ascii="Arial" w:cs="Arial" w:eastAsia="Arial" w:hAnsi="Arial"/>
                <w:sz w:val="11"/>
                <w:szCs w:val="11"/>
                <w:color w:val="auto"/>
              </w:rPr>
              <w:t>Property operating income</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156,295</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25,251</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DBDBDB"/>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181,546</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80"/>
              <w:spacing w:after="0"/>
              <w:rPr>
                <w:sz w:val="20"/>
                <w:szCs w:val="20"/>
                <w:color w:val="auto"/>
              </w:rPr>
            </w:pPr>
            <w:r>
              <w:rPr>
                <w:rFonts w:ascii="Arial" w:cs="Arial" w:eastAsia="Arial" w:hAnsi="Arial"/>
                <w:sz w:val="11"/>
                <w:szCs w:val="11"/>
                <w:color w:val="auto"/>
              </w:rPr>
              <w:t>Interest income</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257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348</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80" w:type="dxa"/>
            <w:vAlign w:val="bottom"/>
            <w:shd w:val="clear" w:color="auto" w:fill="DBDBDB"/>
          </w:tcPr>
          <w:p>
            <w:pPr>
              <w:ind w:left="80"/>
              <w:spacing w:after="0"/>
              <w:rPr>
                <w:sz w:val="20"/>
                <w:szCs w:val="20"/>
                <w:color w:val="auto"/>
              </w:rPr>
            </w:pPr>
            <w:r>
              <w:rPr>
                <w:rFonts w:ascii="Arial" w:cs="Arial" w:eastAsia="Arial" w:hAnsi="Arial"/>
                <w:sz w:val="11"/>
                <w:szCs w:val="11"/>
                <w:color w:val="auto"/>
              </w:rPr>
              <w:t>Fee income</w:t>
            </w: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9,625</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2"/>
                <w:szCs w:val="12"/>
                <w:color w:val="auto"/>
              </w:rPr>
            </w:pPr>
          </w:p>
        </w:tc>
        <w:tc>
          <w:tcPr>
            <w:tcW w:w="580" w:type="dxa"/>
            <w:vAlign w:val="bottom"/>
            <w:gridSpan w:val="2"/>
            <w:shd w:val="clear" w:color="auto" w:fill="DBDBDB"/>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9,625</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Other income</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81</w:t>
            </w:r>
          </w:p>
        </w:tc>
        <w:tc>
          <w:tcPr>
            <w:tcW w:w="8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238</w:t>
            </w:r>
          </w:p>
        </w:tc>
        <w:tc>
          <w:tcPr>
            <w:tcW w:w="10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473</w:t>
            </w:r>
          </w:p>
        </w:tc>
        <w:tc>
          <w:tcPr>
            <w:tcW w:w="8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DBDBDB"/>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811</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DBDBDB"/>
          </w:tcPr>
          <w:p>
            <w:pPr>
              <w:ind w:left="160"/>
              <w:spacing w:after="0"/>
              <w:rPr>
                <w:sz w:val="20"/>
                <w:szCs w:val="20"/>
                <w:color w:val="auto"/>
              </w:rPr>
            </w:pPr>
            <w:r>
              <w:rPr>
                <w:rFonts w:ascii="Arial" w:cs="Arial" w:eastAsia="Arial" w:hAnsi="Arial"/>
                <w:sz w:val="11"/>
                <w:szCs w:val="11"/>
                <w:b w:val="1"/>
                <w:bCs w:val="1"/>
                <w:color w:val="auto"/>
              </w:rPr>
              <w:t>Total revenues</w:t>
            </w:r>
          </w:p>
        </w:tc>
        <w:tc>
          <w:tcPr>
            <w:tcW w:w="100" w:type="dxa"/>
            <w:vAlign w:val="bottom"/>
            <w:shd w:val="clear" w:color="auto" w:fill="DBDBDB"/>
          </w:tcPr>
          <w:p>
            <w:pPr>
              <w:spacing w:after="0"/>
              <w:rPr>
                <w:sz w:val="11"/>
                <w:szCs w:val="11"/>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9,644</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156,458</w:t>
            </w:r>
          </w:p>
        </w:tc>
        <w:tc>
          <w:tcPr>
            <w:tcW w:w="8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247</w:t>
            </w: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25,981</w:t>
            </w:r>
          </w:p>
        </w:tc>
        <w:tc>
          <w:tcPr>
            <w:tcW w:w="8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580" w:type="dxa"/>
            <w:vAlign w:val="bottom"/>
            <w:gridSpan w:val="2"/>
            <w:shd w:val="clear" w:color="auto" w:fill="DBDBDB"/>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1"/>
                <w:szCs w:val="11"/>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1"/>
                <w:szCs w:val="11"/>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192,330</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80" w:type="dxa"/>
            <w:vAlign w:val="bottom"/>
          </w:tcPr>
          <w:p>
            <w:pPr>
              <w:spacing w:after="0" w:line="122" w:lineRule="exact"/>
              <w:rPr>
                <w:sz w:val="20"/>
                <w:szCs w:val="20"/>
                <w:color w:val="auto"/>
              </w:rPr>
            </w:pPr>
            <w:r>
              <w:rPr>
                <w:rFonts w:ascii="Arial" w:cs="Arial" w:eastAsia="Arial" w:hAnsi="Arial"/>
                <w:sz w:val="11"/>
                <w:szCs w:val="11"/>
                <w:b w:val="1"/>
                <w:bCs w:val="1"/>
                <w:color w:val="auto"/>
              </w:rPr>
              <w:t>Expenses</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80" w:type="dxa"/>
            <w:vAlign w:val="bottom"/>
            <w:shd w:val="clear" w:color="auto" w:fill="DBDBDB"/>
          </w:tcPr>
          <w:p>
            <w:pPr>
              <w:ind w:left="80"/>
              <w:spacing w:after="0"/>
              <w:rPr>
                <w:sz w:val="20"/>
                <w:szCs w:val="20"/>
                <w:color w:val="auto"/>
              </w:rPr>
            </w:pPr>
            <w:r>
              <w:rPr>
                <w:rFonts w:ascii="Arial" w:cs="Arial" w:eastAsia="Arial" w:hAnsi="Arial"/>
                <w:sz w:val="11"/>
                <w:szCs w:val="11"/>
                <w:color w:val="auto"/>
              </w:rPr>
              <w:t>Property operating expense</w:t>
            </w:r>
          </w:p>
        </w:tc>
        <w:tc>
          <w:tcPr>
            <w:tcW w:w="100" w:type="dxa"/>
            <w:vAlign w:val="bottom"/>
            <w:shd w:val="clear" w:color="auto" w:fill="DBDBDB"/>
          </w:tcPr>
          <w:p>
            <w:pPr>
              <w:spacing w:after="0"/>
              <w:rPr>
                <w:sz w:val="12"/>
                <w:szCs w:val="12"/>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6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65,687</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15,740</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80" w:type="dxa"/>
            <w:vAlign w:val="bottom"/>
            <w:gridSpan w:val="2"/>
            <w:shd w:val="clear" w:color="auto" w:fill="DBDBDB"/>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81,427</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80"/>
              <w:spacing w:after="0"/>
              <w:rPr>
                <w:sz w:val="20"/>
                <w:szCs w:val="20"/>
                <w:color w:val="auto"/>
              </w:rPr>
            </w:pPr>
            <w:r>
              <w:rPr>
                <w:rFonts w:ascii="Arial" w:cs="Arial" w:eastAsia="Arial" w:hAnsi="Arial"/>
                <w:sz w:val="11"/>
                <w:szCs w:val="11"/>
                <w:color w:val="auto"/>
              </w:rPr>
              <w:t>Interest expense</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25,812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8,521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34,333</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8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and servicing expense</w:t>
            </w: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5,474</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423</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80" w:type="dxa"/>
            <w:vAlign w:val="bottom"/>
            <w:gridSpan w:val="2"/>
            <w:shd w:val="clear" w:color="auto" w:fill="DBDBDB"/>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5,936</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80"/>
              <w:spacing w:after="0"/>
              <w:rPr>
                <w:sz w:val="20"/>
                <w:szCs w:val="20"/>
                <w:color w:val="auto"/>
              </w:rPr>
            </w:pPr>
            <w:r>
              <w:rPr>
                <w:rFonts w:ascii="Arial" w:cs="Arial" w:eastAsia="Arial" w:hAnsi="Arial"/>
                <w:sz w:val="11"/>
                <w:szCs w:val="11"/>
                <w:color w:val="auto"/>
              </w:rPr>
              <w:t>Depreciation and amortization</w:t>
            </w:r>
          </w:p>
        </w:tc>
        <w:tc>
          <w:tcPr>
            <w:tcW w:w="1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1,971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101,697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9,237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112,905</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80" w:type="dxa"/>
            <w:vAlign w:val="bottom"/>
            <w:shd w:val="clear" w:color="auto" w:fill="DBDBDB"/>
          </w:tcPr>
          <w:p>
            <w:pPr>
              <w:ind w:left="80"/>
              <w:spacing w:after="0"/>
              <w:rPr>
                <w:sz w:val="20"/>
                <w:szCs w:val="20"/>
                <w:color w:val="auto"/>
              </w:rPr>
            </w:pPr>
            <w:r>
              <w:rPr>
                <w:rFonts w:ascii="Arial" w:cs="Arial" w:eastAsia="Arial" w:hAnsi="Arial"/>
                <w:sz w:val="11"/>
                <w:szCs w:val="11"/>
                <w:color w:val="auto"/>
              </w:rPr>
              <w:t>Impairment loss</w:t>
            </w:r>
          </w:p>
        </w:tc>
        <w:tc>
          <w:tcPr>
            <w:tcW w:w="100" w:type="dxa"/>
            <w:vAlign w:val="bottom"/>
            <w:shd w:val="clear" w:color="auto" w:fill="DBDBDB"/>
          </w:tcPr>
          <w:p>
            <w:pPr>
              <w:spacing w:after="0"/>
              <w:rPr>
                <w:sz w:val="12"/>
                <w:szCs w:val="12"/>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6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4,021</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80" w:type="dxa"/>
            <w:vAlign w:val="bottom"/>
            <w:gridSpan w:val="2"/>
            <w:shd w:val="clear" w:color="auto" w:fill="DBDBDB"/>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4,021</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80"/>
              <w:spacing w:after="0"/>
              <w:rPr>
                <w:sz w:val="20"/>
                <w:szCs w:val="20"/>
                <w:color w:val="auto"/>
              </w:rPr>
            </w:pPr>
            <w:r>
              <w:rPr>
                <w:rFonts w:ascii="Arial" w:cs="Arial" w:eastAsia="Arial" w:hAnsi="Arial"/>
                <w:sz w:val="11"/>
                <w:szCs w:val="11"/>
                <w:color w:val="auto"/>
              </w:rPr>
              <w:t>Compensation expense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Cash and equity-based compensation</w:t>
            </w: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2,647</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14,422</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2"/>
                <w:szCs w:val="12"/>
                <w:color w:val="auto"/>
              </w:rPr>
            </w:pPr>
          </w:p>
        </w:tc>
        <w:tc>
          <w:tcPr>
            <w:tcW w:w="580" w:type="dxa"/>
            <w:vAlign w:val="bottom"/>
            <w:gridSpan w:val="2"/>
            <w:shd w:val="clear" w:color="auto" w:fill="DBDBDB"/>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17,069</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80" w:type="dxa"/>
            <w:vAlign w:val="bottom"/>
          </w:tcPr>
          <w:p>
            <w:pPr>
              <w:ind w:left="140"/>
              <w:spacing w:after="0" w:line="119" w:lineRule="exact"/>
              <w:rPr>
                <w:sz w:val="20"/>
                <w:szCs w:val="20"/>
                <w:color w:val="auto"/>
              </w:rPr>
            </w:pPr>
            <w:r>
              <w:rPr>
                <w:rFonts w:ascii="Arial" w:cs="Arial" w:eastAsia="Arial" w:hAnsi="Arial"/>
                <w:sz w:val="11"/>
                <w:szCs w:val="11"/>
                <w:color w:val="auto"/>
              </w:rPr>
              <w:t>Carried interest and incentive</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80" w:type="dxa"/>
            <w:vAlign w:val="bottom"/>
          </w:tcPr>
          <w:p>
            <w:pPr>
              <w:ind w:left="140"/>
              <w:spacing w:after="0"/>
              <w:rPr>
                <w:sz w:val="20"/>
                <w:szCs w:val="20"/>
                <w:color w:val="auto"/>
              </w:rPr>
            </w:pPr>
            <w:r>
              <w:rPr>
                <w:rFonts w:ascii="Arial" w:cs="Arial" w:eastAsia="Arial" w:hAnsi="Arial"/>
                <w:sz w:val="11"/>
                <w:szCs w:val="11"/>
                <w:color w:val="auto"/>
              </w:rPr>
              <w:t>compensation</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80" w:type="dxa"/>
            <w:vAlign w:val="bottom"/>
            <w:shd w:val="clear" w:color="auto" w:fill="DBDBDB"/>
          </w:tcPr>
          <w:p>
            <w:pPr>
              <w:ind w:left="80"/>
              <w:spacing w:after="0"/>
              <w:rPr>
                <w:sz w:val="20"/>
                <w:szCs w:val="20"/>
                <w:color w:val="auto"/>
              </w:rPr>
            </w:pPr>
            <w:r>
              <w:rPr>
                <w:rFonts w:ascii="Arial" w:cs="Arial" w:eastAsia="Arial" w:hAnsi="Arial"/>
                <w:sz w:val="11"/>
                <w:szCs w:val="11"/>
                <w:color w:val="auto"/>
              </w:rPr>
              <w:t>Administrative expenses</w:t>
            </w:r>
          </w:p>
        </w:tc>
        <w:tc>
          <w:tcPr>
            <w:tcW w:w="10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629</w:t>
            </w:r>
          </w:p>
        </w:tc>
        <w:tc>
          <w:tcPr>
            <w:tcW w:w="80" w:type="dxa"/>
            <w:vAlign w:val="bottom"/>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6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6,302</w:t>
            </w:r>
          </w:p>
        </w:tc>
        <w:tc>
          <w:tcPr>
            <w:tcW w:w="80" w:type="dxa"/>
            <w:vAlign w:val="bottom"/>
            <w:shd w:val="clear" w:color="auto" w:fill="DBDBDB"/>
          </w:tcPr>
          <w:p>
            <w:pPr>
              <w:spacing w:after="0"/>
              <w:rPr>
                <w:sz w:val="12"/>
                <w:szCs w:val="12"/>
                <w:color w:val="auto"/>
              </w:rPr>
            </w:pPr>
          </w:p>
        </w:tc>
        <w:tc>
          <w:tcPr>
            <w:tcW w:w="120" w:type="dxa"/>
            <w:vAlign w:val="bottom"/>
            <w:tcBorders>
              <w:bottom w:val="single" w:sz="8" w:color="auto"/>
            </w:tcBorders>
            <w:shd w:val="clear" w:color="auto" w:fill="DBDBDB"/>
          </w:tcPr>
          <w:p>
            <w:pPr>
              <w:spacing w:after="0"/>
              <w:rPr>
                <w:sz w:val="12"/>
                <w:szCs w:val="12"/>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189</w:t>
            </w:r>
          </w:p>
        </w:tc>
        <w:tc>
          <w:tcPr>
            <w:tcW w:w="100" w:type="dxa"/>
            <w:vAlign w:val="bottom"/>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7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132</w:t>
            </w:r>
          </w:p>
        </w:tc>
        <w:tc>
          <w:tcPr>
            <w:tcW w:w="80" w:type="dxa"/>
            <w:vAlign w:val="bottom"/>
            <w:shd w:val="clear" w:color="auto" w:fill="DBDBDB"/>
          </w:tcPr>
          <w:p>
            <w:pPr>
              <w:spacing w:after="0"/>
              <w:rPr>
                <w:sz w:val="12"/>
                <w:szCs w:val="12"/>
                <w:color w:val="auto"/>
              </w:rPr>
            </w:pPr>
          </w:p>
        </w:tc>
        <w:tc>
          <w:tcPr>
            <w:tcW w:w="120" w:type="dxa"/>
            <w:vAlign w:val="bottom"/>
            <w:tcBorders>
              <w:bottom w:val="single" w:sz="8" w:color="auto"/>
            </w:tcBorders>
            <w:shd w:val="clear" w:color="auto" w:fill="DBDBDB"/>
          </w:tcPr>
          <w:p>
            <w:pPr>
              <w:spacing w:after="0"/>
              <w:rPr>
                <w:sz w:val="12"/>
                <w:szCs w:val="12"/>
                <w:color w:val="auto"/>
              </w:rPr>
            </w:pPr>
          </w:p>
        </w:tc>
        <w:tc>
          <w:tcPr>
            <w:tcW w:w="480" w:type="dxa"/>
            <w:vAlign w:val="bottom"/>
            <w:tcBorders>
              <w:bottom w:val="single" w:sz="8" w:color="auto"/>
            </w:tcBorders>
            <w:shd w:val="clear" w:color="auto" w:fill="DBDBDB"/>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60" w:type="dxa"/>
            <w:vAlign w:val="bottom"/>
            <w:tcBorders>
              <w:bottom w:val="single" w:sz="8" w:color="auto"/>
            </w:tcBorders>
            <w:shd w:val="clear" w:color="auto" w:fill="DBDBDB"/>
          </w:tcPr>
          <w:p>
            <w:pPr>
              <w:spacing w:after="0"/>
              <w:rPr>
                <w:sz w:val="12"/>
                <w:szCs w:val="12"/>
                <w:color w:val="auto"/>
              </w:rPr>
            </w:pPr>
          </w:p>
        </w:tc>
        <w:tc>
          <w:tcPr>
            <w:tcW w:w="7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14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7,252</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160"/>
              <w:spacing w:after="0"/>
              <w:rPr>
                <w:sz w:val="20"/>
                <w:szCs w:val="20"/>
                <w:color w:val="auto"/>
              </w:rPr>
            </w:pPr>
            <w:r>
              <w:rPr>
                <w:rFonts w:ascii="Arial" w:cs="Arial" w:eastAsia="Arial" w:hAnsi="Arial"/>
                <w:sz w:val="11"/>
                <w:szCs w:val="11"/>
                <w:b w:val="1"/>
                <w:bCs w:val="1"/>
                <w:color w:val="auto"/>
              </w:rPr>
              <w:t>Total expenses</w:t>
            </w:r>
          </w:p>
        </w:tc>
        <w:tc>
          <w:tcPr>
            <w:tcW w:w="10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5,247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219,394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38,074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262,933</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80" w:type="dxa"/>
            <w:vAlign w:val="bottom"/>
            <w:tcBorders>
              <w:top w:val="single" w:sz="8" w:color="DBDBDB"/>
            </w:tcBorders>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Other income (loss)</w:t>
            </w:r>
          </w:p>
        </w:tc>
        <w:tc>
          <w:tcPr>
            <w:tcW w:w="100" w:type="dxa"/>
            <w:vAlign w:val="bottom"/>
            <w:tcBorders>
              <w:top w:val="single" w:sz="8" w:color="auto"/>
            </w:tcBorders>
            <w:shd w:val="clear" w:color="auto" w:fill="DBDBDB"/>
          </w:tcPr>
          <w:p>
            <w:pPr>
              <w:spacing w:after="0"/>
              <w:rPr>
                <w:sz w:val="10"/>
                <w:szCs w:val="10"/>
                <w:color w:val="auto"/>
              </w:rPr>
            </w:pPr>
          </w:p>
        </w:tc>
        <w:tc>
          <w:tcPr>
            <w:tcW w:w="70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auto"/>
            </w:tcBorders>
            <w:shd w:val="clear" w:color="auto" w:fill="DBDBDB"/>
          </w:tcPr>
          <w:p>
            <w:pPr>
              <w:spacing w:after="0"/>
              <w:rPr>
                <w:sz w:val="10"/>
                <w:szCs w:val="10"/>
                <w:color w:val="auto"/>
              </w:rPr>
            </w:pPr>
          </w:p>
        </w:tc>
        <w:tc>
          <w:tcPr>
            <w:tcW w:w="60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120" w:type="dxa"/>
            <w:vAlign w:val="bottom"/>
            <w:tcBorders>
              <w:top w:val="single" w:sz="8" w:color="auto"/>
            </w:tcBorders>
            <w:shd w:val="clear" w:color="auto" w:fill="DBDBDB"/>
          </w:tcPr>
          <w:p>
            <w:pPr>
              <w:spacing w:after="0"/>
              <w:rPr>
                <w:sz w:val="10"/>
                <w:szCs w:val="10"/>
                <w:color w:val="auto"/>
              </w:rPr>
            </w:pPr>
          </w:p>
        </w:tc>
        <w:tc>
          <w:tcPr>
            <w:tcW w:w="48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auto"/>
            </w:tcBorders>
            <w:shd w:val="clear" w:color="auto" w:fill="DBDBDB"/>
          </w:tcPr>
          <w:p>
            <w:pPr>
              <w:spacing w:after="0"/>
              <w:rPr>
                <w:sz w:val="10"/>
                <w:szCs w:val="10"/>
                <w:color w:val="auto"/>
              </w:rPr>
            </w:pPr>
          </w:p>
        </w:tc>
        <w:tc>
          <w:tcPr>
            <w:tcW w:w="76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120" w:type="dxa"/>
            <w:vAlign w:val="bottom"/>
            <w:tcBorders>
              <w:top w:val="single" w:sz="8" w:color="auto"/>
            </w:tcBorders>
            <w:shd w:val="clear" w:color="auto" w:fill="DBDBDB"/>
          </w:tcPr>
          <w:p>
            <w:pPr>
              <w:spacing w:after="0"/>
              <w:rPr>
                <w:sz w:val="10"/>
                <w:szCs w:val="10"/>
                <w:color w:val="auto"/>
              </w:rPr>
            </w:pPr>
          </w:p>
        </w:tc>
        <w:tc>
          <w:tcPr>
            <w:tcW w:w="48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60" w:type="dxa"/>
            <w:vAlign w:val="bottom"/>
            <w:tcBorders>
              <w:top w:val="single" w:sz="8" w:color="auto"/>
            </w:tcBorders>
            <w:shd w:val="clear" w:color="auto" w:fill="DBDBDB"/>
          </w:tcPr>
          <w:p>
            <w:pPr>
              <w:spacing w:after="0"/>
              <w:rPr>
                <w:sz w:val="10"/>
                <w:szCs w:val="10"/>
                <w:color w:val="auto"/>
              </w:rPr>
            </w:pPr>
          </w:p>
        </w:tc>
        <w:tc>
          <w:tcPr>
            <w:tcW w:w="74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0" w:type="dxa"/>
            <w:vAlign w:val="bottom"/>
            <w:tcBorders>
              <w:top w:val="single" w:sz="8" w:color="auto"/>
            </w:tcBorders>
            <w:shd w:val="clear" w:color="auto" w:fill="DBDBDB"/>
          </w:tcPr>
          <w:p>
            <w:pPr>
              <w:spacing w:after="0"/>
              <w:rPr>
                <w:sz w:val="10"/>
                <w:szCs w:val="10"/>
                <w:color w:val="auto"/>
              </w:rPr>
            </w:pPr>
          </w:p>
        </w:tc>
        <w:tc>
          <w:tcPr>
            <w:tcW w:w="68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140" w:type="dxa"/>
            <w:vAlign w:val="bottom"/>
            <w:tcBorders>
              <w:top w:val="single" w:sz="8" w:color="auto"/>
            </w:tcBorders>
            <w:shd w:val="clear" w:color="auto" w:fill="DBDBDB"/>
          </w:tcPr>
          <w:p>
            <w:pPr>
              <w:spacing w:after="0"/>
              <w:rPr>
                <w:sz w:val="10"/>
                <w:szCs w:val="10"/>
                <w:color w:val="auto"/>
              </w:rPr>
            </w:pPr>
          </w:p>
        </w:tc>
        <w:tc>
          <w:tcPr>
            <w:tcW w:w="560" w:type="dxa"/>
            <w:vAlign w:val="bottom"/>
            <w:tcBorders>
              <w:top w:val="single" w:sz="8" w:color="auto"/>
            </w:tcBorders>
            <w:shd w:val="clear" w:color="auto" w:fill="DBDBDB"/>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80"/>
              <w:spacing w:after="0"/>
              <w:rPr>
                <w:sz w:val="20"/>
                <w:szCs w:val="20"/>
                <w:color w:val="auto"/>
              </w:rPr>
            </w:pPr>
            <w:r>
              <w:rPr>
                <w:rFonts w:ascii="Arial" w:cs="Arial" w:eastAsia="Arial" w:hAnsi="Arial"/>
                <w:sz w:val="11"/>
                <w:szCs w:val="11"/>
                <w:color w:val="auto"/>
              </w:rPr>
              <w:t>Other gain (loss), net</w:t>
            </w:r>
          </w:p>
        </w:tc>
        <w:tc>
          <w:tcPr>
            <w:tcW w:w="1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2,790</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80" w:type="dxa"/>
            <w:vAlign w:val="bottom"/>
            <w:shd w:val="clear" w:color="auto" w:fill="DBDBDB"/>
          </w:tcPr>
          <w:p>
            <w:pPr>
              <w:ind w:left="80"/>
              <w:spacing w:after="0"/>
              <w:rPr>
                <w:sz w:val="20"/>
                <w:szCs w:val="20"/>
                <w:color w:val="auto"/>
              </w:rPr>
            </w:pPr>
            <w:r>
              <w:rPr>
                <w:rFonts w:ascii="Arial" w:cs="Arial" w:eastAsia="Arial" w:hAnsi="Arial"/>
                <w:sz w:val="11"/>
                <w:szCs w:val="11"/>
                <w:color w:val="auto"/>
              </w:rPr>
              <w:t>Equity method earnings (loss)</w:t>
            </w: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959</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2"/>
                <w:szCs w:val="12"/>
                <w:color w:val="auto"/>
              </w:rPr>
            </w:pPr>
          </w:p>
        </w:tc>
        <w:tc>
          <w:tcPr>
            <w:tcW w:w="580" w:type="dxa"/>
            <w:vAlign w:val="bottom"/>
            <w:gridSpan w:val="2"/>
            <w:shd w:val="clear" w:color="auto" w:fill="DBDBDB"/>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966</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80" w:type="dxa"/>
            <w:vAlign w:val="bottom"/>
          </w:tcPr>
          <w:p>
            <w:pPr>
              <w:ind w:left="80"/>
              <w:spacing w:after="0" w:line="119" w:lineRule="exact"/>
              <w:rPr>
                <w:sz w:val="20"/>
                <w:szCs w:val="20"/>
                <w:color w:val="auto"/>
              </w:rPr>
            </w:pPr>
            <w:r>
              <w:rPr>
                <w:rFonts w:ascii="Arial" w:cs="Arial" w:eastAsia="Arial" w:hAnsi="Arial"/>
                <w:sz w:val="11"/>
                <w:szCs w:val="11"/>
                <w:color w:val="auto"/>
              </w:rPr>
              <w:t>Equity method earnings (loss) - carried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interest</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w:t>
            </w:r>
          </w:p>
        </w:tc>
        <w:tc>
          <w:tcPr>
            <w:tcW w:w="80" w:type="dxa"/>
            <w:vAlign w:val="bottom"/>
            <w:tcBorders>
              <w:bottom w:val="single" w:sz="8" w:color="DBDBDB"/>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DBDBDB"/>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DBDBDB"/>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Income (loss) before income taxes</w:t>
            </w:r>
          </w:p>
        </w:tc>
        <w:tc>
          <w:tcPr>
            <w:tcW w:w="100" w:type="dxa"/>
            <w:vAlign w:val="bottom"/>
            <w:shd w:val="clear" w:color="auto" w:fill="DBDBDB"/>
          </w:tcPr>
          <w:p>
            <w:pPr>
              <w:spacing w:after="0"/>
              <w:rPr>
                <w:sz w:val="11"/>
                <w:szCs w:val="11"/>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4,261</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(62,939)</w:t>
            </w:r>
          </w:p>
        </w:tc>
        <w:tc>
          <w:tcPr>
            <w:tcW w:w="8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3,504</w:t>
            </w: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(11,849)</w:t>
            </w:r>
          </w:p>
        </w:tc>
        <w:tc>
          <w:tcPr>
            <w:tcW w:w="8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580" w:type="dxa"/>
            <w:vAlign w:val="bottom"/>
            <w:gridSpan w:val="2"/>
            <w:shd w:val="clear" w:color="auto" w:fill="DBDBDB"/>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1"/>
                <w:szCs w:val="11"/>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1"/>
                <w:szCs w:val="11"/>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(67,023)</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8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Income tax benefit (expense)</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9,814</w:t>
            </w:r>
          </w:p>
        </w:tc>
        <w:tc>
          <w:tcPr>
            <w:tcW w:w="8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998</w:t>
            </w:r>
          </w:p>
        </w:tc>
        <w:tc>
          <w:tcPr>
            <w:tcW w:w="8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DBDBDB"/>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10,737</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Net income (loss)</w:t>
            </w:r>
          </w:p>
        </w:tc>
        <w:tc>
          <w:tcPr>
            <w:tcW w:w="100" w:type="dxa"/>
            <w:vAlign w:val="bottom"/>
            <w:shd w:val="clear" w:color="auto" w:fill="DBDBDB"/>
          </w:tcPr>
          <w:p>
            <w:pPr>
              <w:spacing w:after="0"/>
              <w:rPr>
                <w:sz w:val="11"/>
                <w:szCs w:val="11"/>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4,186</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(53,125)</w:t>
            </w:r>
          </w:p>
        </w:tc>
        <w:tc>
          <w:tcPr>
            <w:tcW w:w="8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3,504</w:t>
            </w: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(10,851)</w:t>
            </w:r>
          </w:p>
        </w:tc>
        <w:tc>
          <w:tcPr>
            <w:tcW w:w="8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580" w:type="dxa"/>
            <w:vAlign w:val="bottom"/>
            <w:gridSpan w:val="2"/>
            <w:shd w:val="clear" w:color="auto" w:fill="DBDBDB"/>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1"/>
                <w:szCs w:val="11"/>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1"/>
                <w:szCs w:val="11"/>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(56,286)</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80" w:type="dxa"/>
            <w:vAlign w:val="bottom"/>
          </w:tcPr>
          <w:p>
            <w:pPr>
              <w:ind w:left="80"/>
              <w:spacing w:after="0" w:line="119" w:lineRule="exact"/>
              <w:rPr>
                <w:sz w:val="20"/>
                <w:szCs w:val="20"/>
                <w:color w:val="auto"/>
              </w:rPr>
            </w:pPr>
            <w:r>
              <w:rPr>
                <w:rFonts w:ascii="Arial" w:cs="Arial" w:eastAsia="Arial" w:hAnsi="Arial"/>
                <w:sz w:val="11"/>
                <w:szCs w:val="11"/>
                <w:color w:val="auto"/>
              </w:rPr>
              <w:t>Income (loss) from discontinued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80" w:type="dxa"/>
            <w:vAlign w:val="bottom"/>
          </w:tcPr>
          <w:p>
            <w:pPr>
              <w:ind w:left="80"/>
              <w:spacing w:after="0"/>
              <w:rPr>
                <w:sz w:val="20"/>
                <w:szCs w:val="20"/>
                <w:color w:val="auto"/>
              </w:rPr>
            </w:pPr>
            <w:r>
              <w:rPr>
                <w:rFonts w:ascii="Arial" w:cs="Arial" w:eastAsia="Arial" w:hAnsi="Arial"/>
                <w:sz w:val="11"/>
                <w:szCs w:val="11"/>
                <w:color w:val="auto"/>
              </w:rPr>
              <w:t>operations</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(299,017)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(299,017)</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80" w:type="dxa"/>
            <w:vAlign w:val="bottom"/>
            <w:shd w:val="clear" w:color="auto" w:fill="DBDBDB"/>
          </w:tcPr>
          <w:p>
            <w:pPr>
              <w:ind w:left="80"/>
              <w:spacing w:after="0" w:line="121" w:lineRule="exact"/>
              <w:rPr>
                <w:sz w:val="20"/>
                <w:szCs w:val="20"/>
                <w:color w:val="auto"/>
              </w:rPr>
            </w:pPr>
            <w:r>
              <w:rPr>
                <w:rFonts w:ascii="Arial" w:cs="Arial" w:eastAsia="Arial" w:hAnsi="Arial"/>
                <w:sz w:val="11"/>
                <w:szCs w:val="11"/>
                <w:color w:val="auto"/>
              </w:rPr>
              <w:t>Non-pro rata allocation of income (loss)</w:t>
            </w:r>
          </w:p>
        </w:tc>
        <w:tc>
          <w:tcPr>
            <w:tcW w:w="100" w:type="dxa"/>
            <w:vAlign w:val="bottom"/>
            <w:shd w:val="clear" w:color="auto" w:fill="DBDBDB"/>
          </w:tcPr>
          <w:p>
            <w:pPr>
              <w:spacing w:after="0"/>
              <w:rPr>
                <w:sz w:val="10"/>
                <w:szCs w:val="10"/>
                <w:color w:val="auto"/>
              </w:rPr>
            </w:pPr>
          </w:p>
        </w:tc>
        <w:tc>
          <w:tcPr>
            <w:tcW w:w="7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6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4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4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6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80" w:type="dxa"/>
            <w:vAlign w:val="bottom"/>
            <w:shd w:val="clear" w:color="auto" w:fill="DBDBDB"/>
          </w:tcPr>
          <w:p>
            <w:pPr>
              <w:ind w:left="80"/>
              <w:spacing w:after="0"/>
              <w:rPr>
                <w:sz w:val="20"/>
                <w:szCs w:val="20"/>
                <w:color w:val="auto"/>
              </w:rPr>
            </w:pPr>
            <w:r>
              <w:rPr>
                <w:rFonts w:ascii="Arial" w:cs="Arial" w:eastAsia="Arial" w:hAnsi="Arial"/>
                <w:sz w:val="11"/>
                <w:szCs w:val="11"/>
                <w:color w:val="auto"/>
              </w:rPr>
              <w:t>to NCI</w:t>
            </w:r>
          </w:p>
        </w:tc>
        <w:tc>
          <w:tcPr>
            <w:tcW w:w="100" w:type="dxa"/>
            <w:vAlign w:val="bottom"/>
            <w:tcBorders>
              <w:bottom w:val="single" w:sz="8" w:color="auto"/>
            </w:tcBorders>
            <w:shd w:val="clear" w:color="auto" w:fill="DBDBDB"/>
          </w:tcPr>
          <w:p>
            <w:pPr>
              <w:spacing w:after="0"/>
              <w:rPr>
                <w:sz w:val="11"/>
                <w:szCs w:val="11"/>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(4,127)</w:t>
            </w:r>
          </w:p>
        </w:tc>
        <w:tc>
          <w:tcPr>
            <w:tcW w:w="80" w:type="dxa"/>
            <w:vAlign w:val="bottom"/>
            <w:shd w:val="clear" w:color="auto" w:fill="DBDBDB"/>
          </w:tcPr>
          <w:p>
            <w:pPr>
              <w:spacing w:after="0"/>
              <w:rPr>
                <w:sz w:val="11"/>
                <w:szCs w:val="11"/>
                <w:color w:val="auto"/>
              </w:rPr>
            </w:pPr>
          </w:p>
        </w:tc>
        <w:tc>
          <w:tcPr>
            <w:tcW w:w="80" w:type="dxa"/>
            <w:vAlign w:val="bottom"/>
            <w:tcBorders>
              <w:bottom w:val="single" w:sz="8" w:color="auto"/>
            </w:tcBorders>
            <w:shd w:val="clear" w:color="auto" w:fill="DBDBDB"/>
          </w:tcPr>
          <w:p>
            <w:pPr>
              <w:spacing w:after="0"/>
              <w:rPr>
                <w:sz w:val="11"/>
                <w:szCs w:val="11"/>
                <w:color w:val="auto"/>
              </w:rPr>
            </w:pPr>
          </w:p>
        </w:tc>
        <w:tc>
          <w:tcPr>
            <w:tcW w:w="6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120" w:type="dxa"/>
            <w:vAlign w:val="bottom"/>
            <w:tcBorders>
              <w:bottom w:val="single" w:sz="8" w:color="auto"/>
            </w:tcBorders>
            <w:shd w:val="clear" w:color="auto" w:fill="DBDBDB"/>
          </w:tcPr>
          <w:p>
            <w:pPr>
              <w:spacing w:after="0"/>
              <w:rPr>
                <w:sz w:val="11"/>
                <w:szCs w:val="11"/>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1"/>
                <w:szCs w:val="11"/>
                <w:color w:val="auto"/>
              </w:rPr>
            </w:pPr>
          </w:p>
        </w:tc>
        <w:tc>
          <w:tcPr>
            <w:tcW w:w="80" w:type="dxa"/>
            <w:vAlign w:val="bottom"/>
            <w:tcBorders>
              <w:bottom w:val="single" w:sz="8" w:color="auto"/>
            </w:tcBorders>
            <w:shd w:val="clear" w:color="auto" w:fill="DBDBDB"/>
          </w:tcPr>
          <w:p>
            <w:pPr>
              <w:spacing w:after="0"/>
              <w:rPr>
                <w:sz w:val="11"/>
                <w:szCs w:val="11"/>
                <w:color w:val="auto"/>
              </w:rPr>
            </w:pPr>
          </w:p>
        </w:tc>
        <w:tc>
          <w:tcPr>
            <w:tcW w:w="7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6,017</w:t>
            </w:r>
          </w:p>
        </w:tc>
        <w:tc>
          <w:tcPr>
            <w:tcW w:w="80" w:type="dxa"/>
            <w:vAlign w:val="bottom"/>
            <w:shd w:val="clear" w:color="auto" w:fill="DBDBDB"/>
          </w:tcPr>
          <w:p>
            <w:pPr>
              <w:spacing w:after="0"/>
              <w:rPr>
                <w:sz w:val="11"/>
                <w:szCs w:val="11"/>
                <w:color w:val="auto"/>
              </w:rPr>
            </w:pPr>
          </w:p>
        </w:tc>
        <w:tc>
          <w:tcPr>
            <w:tcW w:w="120" w:type="dxa"/>
            <w:vAlign w:val="bottom"/>
            <w:tcBorders>
              <w:bottom w:val="single" w:sz="8" w:color="auto"/>
            </w:tcBorders>
            <w:shd w:val="clear" w:color="auto" w:fill="DBDBDB"/>
          </w:tcPr>
          <w:p>
            <w:pPr>
              <w:spacing w:after="0"/>
              <w:rPr>
                <w:sz w:val="11"/>
                <w:szCs w:val="11"/>
                <w:color w:val="auto"/>
              </w:rPr>
            </w:pPr>
          </w:p>
        </w:tc>
        <w:tc>
          <w:tcPr>
            <w:tcW w:w="480" w:type="dxa"/>
            <w:vAlign w:val="bottom"/>
            <w:tcBorders>
              <w:bottom w:val="single" w:sz="8" w:color="auto"/>
            </w:tcBorders>
            <w:shd w:val="clear" w:color="auto" w:fill="DBDBDB"/>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1"/>
                <w:szCs w:val="11"/>
                <w:color w:val="auto"/>
              </w:rPr>
            </w:pPr>
          </w:p>
        </w:tc>
        <w:tc>
          <w:tcPr>
            <w:tcW w:w="60" w:type="dxa"/>
            <w:vAlign w:val="bottom"/>
            <w:tcBorders>
              <w:bottom w:val="single" w:sz="8" w:color="auto"/>
            </w:tcBorders>
            <w:shd w:val="clear" w:color="auto" w:fill="DBDBDB"/>
          </w:tcPr>
          <w:p>
            <w:pPr>
              <w:spacing w:after="0"/>
              <w:rPr>
                <w:sz w:val="11"/>
                <w:szCs w:val="11"/>
                <w:color w:val="auto"/>
              </w:rPr>
            </w:pPr>
          </w:p>
        </w:tc>
        <w:tc>
          <w:tcPr>
            <w:tcW w:w="7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80" w:type="dxa"/>
            <w:vAlign w:val="bottom"/>
            <w:tcBorders>
              <w:bottom w:val="single" w:sz="8" w:color="auto"/>
            </w:tcBorders>
            <w:shd w:val="clear" w:color="auto" w:fill="DBDBDB"/>
          </w:tcPr>
          <w:p>
            <w:pPr>
              <w:spacing w:after="0"/>
              <w:rPr>
                <w:sz w:val="11"/>
                <w:szCs w:val="11"/>
                <w:color w:val="auto"/>
              </w:rPr>
            </w:pPr>
          </w:p>
        </w:tc>
        <w:tc>
          <w:tcPr>
            <w:tcW w:w="6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1"/>
                <w:szCs w:val="11"/>
                <w:color w:val="auto"/>
              </w:rPr>
            </w:pPr>
          </w:p>
        </w:tc>
        <w:tc>
          <w:tcPr>
            <w:tcW w:w="140" w:type="dxa"/>
            <w:vAlign w:val="bottom"/>
            <w:tcBorders>
              <w:bottom w:val="single" w:sz="8" w:color="auto"/>
            </w:tcBorders>
            <w:shd w:val="clear" w:color="auto" w:fill="DBDBDB"/>
          </w:tcPr>
          <w:p>
            <w:pPr>
              <w:spacing w:after="0"/>
              <w:rPr>
                <w:sz w:val="11"/>
                <w:szCs w:val="11"/>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1,890</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80" w:type="dxa"/>
            <w:vAlign w:val="bottom"/>
          </w:tcPr>
          <w:p>
            <w:pPr>
              <w:spacing w:after="0" w:line="88" w:lineRule="exact"/>
              <w:rPr>
                <w:sz w:val="20"/>
                <w:szCs w:val="20"/>
                <w:color w:val="auto"/>
              </w:rPr>
            </w:pPr>
            <w:r>
              <w:rPr>
                <w:rFonts w:ascii="Arial" w:cs="Arial" w:eastAsia="Arial" w:hAnsi="Arial"/>
                <w:sz w:val="10"/>
                <w:szCs w:val="10"/>
                <w:b w:val="1"/>
                <w:bCs w:val="1"/>
                <w:color w:val="auto"/>
              </w:rPr>
              <w:t>Net income (loss) attributable to</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(53,125)</w:t>
            </w:r>
          </w:p>
        </w:tc>
        <w:tc>
          <w:tcPr>
            <w:tcW w:w="8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3,504</w:t>
            </w:r>
          </w:p>
        </w:tc>
        <w:tc>
          <w:tcPr>
            <w:tcW w:w="100" w:type="dxa"/>
            <w:vAlign w:val="bottom"/>
            <w:vMerge w:val="restart"/>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(4,834)</w:t>
            </w:r>
          </w:p>
        </w:tc>
        <w:tc>
          <w:tcPr>
            <w:tcW w:w="8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(299,017)</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7"/>
                <w:szCs w:val="7"/>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(353,413)</w:t>
            </w: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20"/>
                <w:szCs w:val="20"/>
                <w:color w:val="auto"/>
              </w:rPr>
            </w:pPr>
            <w:r>
              <w:rPr>
                <w:rFonts w:ascii="Arial" w:cs="Arial" w:eastAsia="Arial" w:hAnsi="Arial"/>
                <w:sz w:val="11"/>
                <w:szCs w:val="11"/>
                <w:b w:val="1"/>
                <w:bCs w:val="1"/>
                <w:color w:val="auto"/>
              </w:rPr>
              <w:t>noncontrolling interests</w:t>
            </w:r>
          </w:p>
        </w:tc>
        <w:tc>
          <w:tcPr>
            <w:tcW w:w="10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180" w:type="dxa"/>
            <w:vAlign w:val="bottom"/>
            <w:tcBorders>
              <w:bottom w:val="single" w:sz="8" w:color="auto"/>
            </w:tcBorders>
            <w:gridSpan w:val="2"/>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180" w:type="dxa"/>
            <w:vAlign w:val="bottom"/>
            <w:gridSpan w:val="2"/>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0" w:type="dxa"/>
            <w:vAlign w:val="bottom"/>
            <w:gridSpan w:val="2"/>
          </w:tcPr>
          <w:p>
            <w:pPr>
              <w:jc w:val="right"/>
              <w:ind w:right="420"/>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bl>
    <w:p>
      <w:pPr>
        <w:sectPr>
          <w:pgSz w:w="11900" w:h="16838" w:orient="portrait"/>
          <w:cols w:equalWidth="0" w:num="1">
            <w:col w:w="11300"/>
          </w:cols>
          <w:pgMar w:left="300" w:top="162" w:right="299" w:bottom="1440" w:gutter="0" w:footer="0" w:header="0"/>
        </w:sectPr>
      </w:pPr>
    </w:p>
    <w:bookmarkStart w:id="27" w:name="page28"/>
    <w:bookmarkEnd w:id="27"/>
    <w:p>
      <w:pPr>
        <w:ind w:left="8" w:right="580"/>
        <w:spacing w:after="0" w:line="228" w:lineRule="auto"/>
        <w:rPr>
          <w:rFonts w:ascii="Arial" w:cs="Arial" w:eastAsia="Arial" w:hAnsi="Arial"/>
          <w:sz w:val="29"/>
          <w:szCs w:val="29"/>
          <w:color w:val="auto"/>
        </w:rPr>
      </w:pPr>
      <w:r>
        <w:rPr>
          <w:rFonts w:ascii="Arial" w:cs="Arial" w:eastAsia="Arial" w:hAnsi="Arial"/>
          <w:sz w:val="29"/>
          <w:szCs w:val="29"/>
          <w:color w:val="auto"/>
        </w:rPr>
        <w:t xml:space="preserve">IIe. Financial Results - </w:t>
      </w:r>
      <w:hyperlink w:anchor="page27">
        <w:r>
          <w:rPr>
            <w:rFonts w:ascii="Arial" w:cs="Arial" w:eastAsia="Arial" w:hAnsi="Arial"/>
            <w:sz w:val="29"/>
            <w:szCs w:val="29"/>
            <w:color w:val="auto"/>
          </w:rPr>
          <w:t xml:space="preserve">Segment Reconciliation of Net Income to FFO &amp; Core FFO </w:t>
        </w:r>
      </w:hyperlink>
      <w:r>
        <w:rPr>
          <w:rFonts w:ascii="Arial" w:cs="Arial" w:eastAsia="Arial" w:hAnsi="Arial"/>
          <w:sz w:val="29"/>
          <w:szCs w:val="29"/>
          <w:color w:val="auto"/>
        </w:rPr>
        <w:t>&amp;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321" w:lineRule="exact"/>
        <w:rPr>
          <w:sz w:val="20"/>
          <w:szCs w:val="20"/>
          <w:color w:val="auto"/>
        </w:rPr>
      </w:pPr>
    </w:p>
    <w:tbl>
      <w:tblPr>
        <w:tblLayout w:type="fixed"/>
        <w:tblInd w:w="208" w:type="dxa"/>
        <w:tblCellMar>
          <w:top w:w="0" w:type="dxa"/>
          <w:left w:w="0" w:type="dxa"/>
          <w:bottom w:w="0" w:type="dxa"/>
          <w:right w:w="0" w:type="dxa"/>
        </w:tblCellMar>
      </w:tblPr>
      <w:tr>
        <w:trPr>
          <w:trHeight w:val="113"/>
        </w:trPr>
        <w:tc>
          <w:tcPr>
            <w:tcW w:w="2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gridSpan w:val="8"/>
          </w:tcPr>
          <w:p>
            <w:pPr>
              <w:ind w:left="160"/>
              <w:spacing w:after="0"/>
              <w:rPr>
                <w:sz w:val="20"/>
                <w:szCs w:val="20"/>
                <w:color w:val="auto"/>
              </w:rPr>
            </w:pPr>
            <w:r>
              <w:rPr>
                <w:rFonts w:ascii="Arial" w:cs="Arial" w:eastAsia="Arial" w:hAnsi="Arial"/>
                <w:sz w:val="9"/>
                <w:szCs w:val="9"/>
                <w:b w:val="1"/>
                <w:bCs w:val="1"/>
                <w:color w:val="auto"/>
              </w:rPr>
              <w:t>OP pro rata share by segment</w:t>
            </w: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w w:val="92"/>
              </w:rPr>
              <w:t>Amounts</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vMerge w:val="restart"/>
          </w:tcPr>
          <w:p>
            <w:pPr>
              <w:jc w:val="center"/>
              <w:ind w:right="80"/>
              <w:spacing w:after="0"/>
              <w:rPr>
                <w:sz w:val="20"/>
                <w:szCs w:val="20"/>
                <w:color w:val="auto"/>
              </w:rPr>
            </w:pPr>
            <w:r>
              <w:rPr>
                <w:rFonts w:ascii="Arial" w:cs="Arial" w:eastAsia="Arial" w:hAnsi="Arial"/>
                <w:sz w:val="9"/>
                <w:szCs w:val="9"/>
                <w:b w:val="1"/>
                <w:bCs w:val="1"/>
                <w:color w:val="auto"/>
                <w:w w:val="93"/>
              </w:rPr>
              <w:t>Amounts not</w:t>
            </w: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vMerge w:val="restart"/>
          </w:tcPr>
          <w:p>
            <w:pPr>
              <w:jc w:val="center"/>
              <w:ind w:right="15"/>
              <w:spacing w:after="0"/>
              <w:rPr>
                <w:sz w:val="20"/>
                <w:szCs w:val="20"/>
                <w:color w:val="auto"/>
              </w:rPr>
            </w:pPr>
            <w:r>
              <w:rPr>
                <w:rFonts w:ascii="Arial" w:cs="Arial" w:eastAsia="Arial" w:hAnsi="Arial"/>
                <w:sz w:val="9"/>
                <w:szCs w:val="9"/>
                <w:b w:val="1"/>
                <w:bCs w:val="1"/>
                <w:color w:val="auto"/>
                <w:w w:val="97"/>
              </w:rPr>
              <w:t>CLNY</w:t>
            </w:r>
          </w:p>
        </w:tc>
        <w:tc>
          <w:tcPr>
            <w:tcW w:w="0" w:type="dxa"/>
            <w:vAlign w:val="bottom"/>
          </w:tcPr>
          <w:p>
            <w:pPr>
              <w:spacing w:after="0" w:line="20" w:lineRule="exact"/>
              <w:rPr>
                <w:sz w:val="1"/>
                <w:szCs w:val="1"/>
                <w:color w:val="auto"/>
              </w:rPr>
            </w:pPr>
          </w:p>
        </w:tc>
      </w:tr>
      <w:tr>
        <w:trPr>
          <w:trHeight w:val="81"/>
        </w:trPr>
        <w:tc>
          <w:tcPr>
            <w:tcW w:w="2480" w:type="dxa"/>
            <w:vAlign w:val="bottom"/>
            <w:vMerge w:val="restart"/>
          </w:tcPr>
          <w:p>
            <w:pPr>
              <w:ind w:left="20"/>
              <w:spacing w:after="0"/>
              <w:rPr>
                <w:sz w:val="20"/>
                <w:szCs w:val="20"/>
                <w:color w:val="auto"/>
              </w:rPr>
            </w:pPr>
            <w:r>
              <w:rPr>
                <w:rFonts w:ascii="Arial" w:cs="Arial" w:eastAsia="Arial" w:hAnsi="Arial"/>
                <w:sz w:val="9"/>
                <w:szCs w:val="9"/>
                <w:i w:val="1"/>
                <w:iCs w:val="1"/>
                <w:color w:val="auto"/>
              </w:rPr>
              <w:t>($ in thousands; for the three months ended March 31, 2021;</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Digital</w:t>
            </w:r>
          </w:p>
        </w:tc>
        <w:tc>
          <w:tcPr>
            <w:tcW w:w="80" w:type="dxa"/>
            <w:vAlign w:val="bottom"/>
          </w:tcPr>
          <w:p>
            <w:pPr>
              <w:spacing w:after="0"/>
              <w:rPr>
                <w:sz w:val="7"/>
                <w:szCs w:val="7"/>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Digital</w:t>
            </w:r>
          </w:p>
        </w:tc>
        <w:tc>
          <w:tcPr>
            <w:tcW w:w="60" w:type="dxa"/>
            <w:vAlign w:val="bottom"/>
          </w:tcPr>
          <w:p>
            <w:pPr>
              <w:spacing w:after="0"/>
              <w:rPr>
                <w:sz w:val="7"/>
                <w:szCs w:val="7"/>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Wellness</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Discontinued</w:t>
            </w:r>
          </w:p>
        </w:tc>
        <w:tc>
          <w:tcPr>
            <w:tcW w:w="680" w:type="dxa"/>
            <w:vAlign w:val="bottom"/>
            <w:gridSpan w:val="3"/>
            <w:vMerge w:val="continue"/>
          </w:tcPr>
          <w:p>
            <w:pPr>
              <w:spacing w:after="0"/>
              <w:rPr>
                <w:sz w:val="7"/>
                <w:szCs w:val="7"/>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96"/>
              </w:rPr>
              <w:t>Total OP pro</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w w:val="93"/>
              </w:rPr>
              <w:t>attributable to</w:t>
            </w: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restart"/>
          </w:tcPr>
          <w:p>
            <w:pPr>
              <w:jc w:val="right"/>
              <w:ind w:right="15"/>
              <w:spacing w:after="0"/>
              <w:rPr>
                <w:sz w:val="20"/>
                <w:szCs w:val="20"/>
                <w:color w:val="auto"/>
              </w:rPr>
            </w:pPr>
            <w:r>
              <w:rPr>
                <w:rFonts w:ascii="Arial" w:cs="Arial" w:eastAsia="Arial" w:hAnsi="Arial"/>
                <w:sz w:val="9"/>
                <w:szCs w:val="9"/>
                <w:b w:val="1"/>
                <w:bCs w:val="1"/>
                <w:color w:val="auto"/>
                <w:w w:val="89"/>
              </w:rPr>
              <w:t>Digital IM</w:t>
            </w:r>
          </w:p>
        </w:tc>
        <w:tc>
          <w:tcPr>
            <w:tcW w:w="8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vMerge w:val="restart"/>
          </w:tcPr>
          <w:p>
            <w:pPr>
              <w:jc w:val="right"/>
              <w:ind w:right="95"/>
              <w:spacing w:after="0"/>
              <w:rPr>
                <w:sz w:val="20"/>
                <w:szCs w:val="20"/>
                <w:color w:val="auto"/>
              </w:rPr>
            </w:pPr>
            <w:r>
              <w:rPr>
                <w:rFonts w:ascii="Arial" w:cs="Arial" w:eastAsia="Arial" w:hAnsi="Arial"/>
                <w:sz w:val="9"/>
                <w:szCs w:val="9"/>
                <w:b w:val="1"/>
                <w:bCs w:val="1"/>
                <w:color w:val="auto"/>
              </w:rPr>
              <w:t>Other</w:t>
            </w:r>
          </w:p>
        </w:tc>
        <w:tc>
          <w:tcPr>
            <w:tcW w:w="8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w w:val="95"/>
              </w:rPr>
              <w:t>allocated to</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w w:val="95"/>
              </w:rPr>
              <w:t>noncontrolling</w:t>
            </w:r>
          </w:p>
        </w:tc>
        <w:tc>
          <w:tcPr>
            <w:tcW w:w="80" w:type="dxa"/>
            <w:vAlign w:val="bottom"/>
          </w:tcPr>
          <w:p>
            <w:pPr>
              <w:spacing w:after="0"/>
              <w:rPr>
                <w:sz w:val="7"/>
                <w:szCs w:val="7"/>
                <w:color w:val="auto"/>
              </w:rPr>
            </w:pPr>
          </w:p>
        </w:tc>
        <w:tc>
          <w:tcPr>
            <w:tcW w:w="580" w:type="dxa"/>
            <w:vAlign w:val="bottom"/>
          </w:tcPr>
          <w:p>
            <w:pPr>
              <w:jc w:val="center"/>
              <w:ind w:right="15"/>
              <w:spacing w:after="0" w:line="81" w:lineRule="exact"/>
              <w:rPr>
                <w:sz w:val="20"/>
                <w:szCs w:val="20"/>
                <w:color w:val="auto"/>
              </w:rPr>
            </w:pPr>
            <w:r>
              <w:rPr>
                <w:rFonts w:ascii="Arial" w:cs="Arial" w:eastAsia="Arial" w:hAnsi="Arial"/>
                <w:sz w:val="9"/>
                <w:szCs w:val="9"/>
                <w:b w:val="1"/>
                <w:bCs w:val="1"/>
                <w:color w:val="auto"/>
                <w:w w:val="93"/>
              </w:rPr>
              <w:t>consolidated</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DBDBDB"/>
            </w:tcBorders>
          </w:tcPr>
          <w:p>
            <w:pPr>
              <w:ind w:left="20"/>
              <w:spacing w:after="0"/>
              <w:rPr>
                <w:sz w:val="20"/>
                <w:szCs w:val="20"/>
                <w:color w:val="auto"/>
              </w:rPr>
            </w:pPr>
            <w:r>
              <w:rPr>
                <w:rFonts w:ascii="Arial" w:cs="Arial" w:eastAsia="Arial" w:hAnsi="Arial"/>
                <w:sz w:val="9"/>
                <w:szCs w:val="9"/>
                <w:i w:val="1"/>
                <w:iCs w:val="1"/>
                <w:color w:val="auto"/>
              </w:rPr>
              <w:t>and unaudited)</w:t>
            </w: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DBDBDB"/>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b w:val="1"/>
                <w:bCs w:val="1"/>
                <w:color w:val="auto"/>
                <w:w w:val="89"/>
              </w:rPr>
              <w:t>Operating</w:t>
            </w:r>
          </w:p>
        </w:tc>
        <w:tc>
          <w:tcPr>
            <w:tcW w:w="80" w:type="dxa"/>
            <w:vAlign w:val="bottom"/>
            <w:tcBorders>
              <w:bottom w:val="single" w:sz="8" w:color="DBDBDB"/>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b w:val="1"/>
                <w:bCs w:val="1"/>
                <w:color w:val="auto"/>
                <w:w w:val="99"/>
              </w:rPr>
              <w:t>Other</w:t>
            </w:r>
          </w:p>
        </w:tc>
        <w:tc>
          <w:tcPr>
            <w:tcW w:w="80" w:type="dxa"/>
            <w:vAlign w:val="bottom"/>
            <w:tcBorders>
              <w:bottom w:val="single" w:sz="8" w:color="DBDBDB"/>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b w:val="1"/>
                <w:bCs w:val="1"/>
                <w:color w:val="auto"/>
                <w:w w:val="92"/>
              </w:rPr>
              <w:t>Infrastructure</w:t>
            </w:r>
          </w:p>
        </w:tc>
        <w:tc>
          <w:tcPr>
            <w:tcW w:w="80" w:type="dxa"/>
            <w:vAlign w:val="bottom"/>
            <w:tcBorders>
              <w:bottom w:val="single" w:sz="8" w:color="DBDBDB"/>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DBDBDB"/>
            </w:tcBorders>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b w:val="1"/>
                <w:bCs w:val="1"/>
                <w:color w:val="auto"/>
              </w:rPr>
              <w:t>Operations</w:t>
            </w:r>
          </w:p>
        </w:tc>
        <w:tc>
          <w:tcPr>
            <w:tcW w:w="80" w:type="dxa"/>
            <w:vAlign w:val="bottom"/>
            <w:tcBorders>
              <w:bottom w:val="single" w:sz="8" w:color="DBDBDB"/>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ind w:right="15"/>
              <w:spacing w:after="0"/>
              <w:rPr>
                <w:sz w:val="20"/>
                <w:szCs w:val="20"/>
                <w:color w:val="auto"/>
              </w:rPr>
            </w:pPr>
            <w:r>
              <w:rPr>
                <w:rFonts w:ascii="Arial" w:cs="Arial" w:eastAsia="Arial" w:hAnsi="Arial"/>
                <w:sz w:val="9"/>
                <w:szCs w:val="9"/>
                <w:b w:val="1"/>
                <w:bCs w:val="1"/>
                <w:color w:val="auto"/>
                <w:w w:val="95"/>
              </w:rPr>
              <w:t>segments</w:t>
            </w:r>
          </w:p>
        </w:tc>
        <w:tc>
          <w:tcPr>
            <w:tcW w:w="80" w:type="dxa"/>
            <w:vAlign w:val="bottom"/>
            <w:tcBorders>
              <w:bottom w:val="single" w:sz="8" w:color="DBDBDB"/>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b w:val="1"/>
                <w:bCs w:val="1"/>
                <w:color w:val="auto"/>
                <w:w w:val="92"/>
              </w:rPr>
              <w:t>rata share</w:t>
            </w:r>
          </w:p>
        </w:tc>
        <w:tc>
          <w:tcPr>
            <w:tcW w:w="80" w:type="dxa"/>
            <w:vAlign w:val="bottom"/>
            <w:tcBorders>
              <w:bottom w:val="single" w:sz="8" w:color="DBDBDB"/>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5"/>
              <w:spacing w:after="0"/>
              <w:rPr>
                <w:sz w:val="20"/>
                <w:szCs w:val="20"/>
                <w:color w:val="auto"/>
              </w:rPr>
            </w:pPr>
            <w:r>
              <w:rPr>
                <w:rFonts w:ascii="Arial" w:cs="Arial" w:eastAsia="Arial" w:hAnsi="Arial"/>
                <w:sz w:val="9"/>
                <w:szCs w:val="9"/>
                <w:b w:val="1"/>
                <w:bCs w:val="1"/>
                <w:color w:val="auto"/>
                <w:w w:val="95"/>
              </w:rPr>
              <w:t>interests</w:t>
            </w:r>
          </w:p>
        </w:tc>
        <w:tc>
          <w:tcPr>
            <w:tcW w:w="80" w:type="dxa"/>
            <w:vAlign w:val="bottom"/>
            <w:tcBorders>
              <w:bottom w:val="single" w:sz="8" w:color="DBDBDB"/>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3"/>
              </w:rPr>
              <w:t>as reported</w:t>
            </w:r>
          </w:p>
        </w:tc>
        <w:tc>
          <w:tcPr>
            <w:tcW w:w="0" w:type="dxa"/>
            <w:vAlign w:val="bottom"/>
          </w:tcPr>
          <w:p>
            <w:pPr>
              <w:spacing w:after="0"/>
              <w:rPr>
                <w:sz w:val="1"/>
                <w:szCs w:val="1"/>
                <w:color w:val="auto"/>
              </w:rPr>
            </w:pPr>
          </w:p>
        </w:tc>
      </w:tr>
      <w:tr>
        <w:trPr>
          <w:trHeight w:val="115"/>
        </w:trPr>
        <w:tc>
          <w:tcPr>
            <w:tcW w:w="2480" w:type="dxa"/>
            <w:vAlign w:val="bottom"/>
            <w:shd w:val="clear" w:color="auto" w:fill="DBDBDB"/>
          </w:tcPr>
          <w:p>
            <w:pPr>
              <w:ind w:left="20"/>
              <w:spacing w:after="0"/>
              <w:rPr>
                <w:sz w:val="20"/>
                <w:szCs w:val="20"/>
                <w:color w:val="auto"/>
              </w:rPr>
            </w:pPr>
            <w:r>
              <w:rPr>
                <w:rFonts w:ascii="Arial" w:cs="Arial" w:eastAsia="Arial" w:hAnsi="Arial"/>
                <w:sz w:val="9"/>
                <w:szCs w:val="9"/>
                <w:color w:val="auto"/>
              </w:rPr>
              <w:t>Net income (loss) attributable to common stockholders</w:t>
            </w: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9"/>
                <w:szCs w:val="9"/>
                <w:color w:val="auto"/>
              </w:rPr>
              <w:t>5,412</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9"/>
                <w:szCs w:val="9"/>
                <w:color w:val="auto"/>
              </w:rPr>
              <w:t>(8,793)</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3,949</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9"/>
                <w:szCs w:val="9"/>
                <w:color w:val="auto"/>
              </w:rPr>
              <w:t>(32,906)</w:t>
            </w:r>
          </w:p>
        </w:tc>
        <w:tc>
          <w:tcPr>
            <w:tcW w:w="80" w:type="dxa"/>
            <w:vAlign w:val="bottom"/>
            <w:shd w:val="clear" w:color="auto" w:fill="DBDBDB"/>
          </w:tcPr>
          <w:p>
            <w:pPr>
              <w:spacing w:after="0"/>
              <w:rPr>
                <w:sz w:val="10"/>
                <w:szCs w:val="1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9"/>
                <w:szCs w:val="9"/>
                <w:color w:val="auto"/>
              </w:rPr>
              <w:t>(29,145)</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9"/>
                <w:szCs w:val="9"/>
                <w:color w:val="auto"/>
              </w:rPr>
              <w:t>(125,214)</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9"/>
                <w:szCs w:val="9"/>
                <w:color w:val="auto"/>
              </w:rPr>
              <w:t>(78,109)</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9"/>
                <w:szCs w:val="9"/>
                <w:color w:val="auto"/>
              </w:rPr>
              <w:t>(264,806)</w:t>
            </w:r>
          </w:p>
        </w:tc>
        <w:tc>
          <w:tcPr>
            <w:tcW w:w="140" w:type="dxa"/>
            <w:vAlign w:val="bottom"/>
            <w:gridSpan w:val="2"/>
            <w:shd w:val="clear" w:color="auto" w:fill="DBDBDB"/>
          </w:tcPr>
          <w:p>
            <w:pPr>
              <w:jc w:val="right"/>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9"/>
                <w:szCs w:val="9"/>
                <w:color w:val="auto"/>
              </w:rPr>
              <w:t>(264,806)</w:t>
            </w:r>
          </w:p>
        </w:tc>
        <w:tc>
          <w:tcPr>
            <w:tcW w:w="0" w:type="dxa"/>
            <w:vAlign w:val="bottom"/>
          </w:tcPr>
          <w:p>
            <w:pPr>
              <w:spacing w:after="0"/>
              <w:rPr>
                <w:sz w:val="1"/>
                <w:szCs w:val="1"/>
                <w:color w:val="auto"/>
              </w:rPr>
            </w:pPr>
          </w:p>
        </w:tc>
      </w:tr>
      <w:tr>
        <w:trPr>
          <w:trHeight w:val="99"/>
        </w:trPr>
        <w:tc>
          <w:tcPr>
            <w:tcW w:w="2480" w:type="dxa"/>
            <w:vAlign w:val="bottom"/>
          </w:tcPr>
          <w:p>
            <w:pPr>
              <w:ind w:left="20"/>
              <w:spacing w:after="0" w:line="99" w:lineRule="exact"/>
              <w:rPr>
                <w:sz w:val="20"/>
                <w:szCs w:val="20"/>
                <w:color w:val="auto"/>
              </w:rPr>
            </w:pPr>
            <w:r>
              <w:rPr>
                <w:rFonts w:ascii="Arial" w:cs="Arial" w:eastAsia="Arial" w:hAnsi="Arial"/>
                <w:sz w:val="9"/>
                <w:szCs w:val="9"/>
                <w:color w:val="auto"/>
              </w:rPr>
              <w:t>Net income (loss) attributable to noncontrolling common</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480" w:type="dxa"/>
            <w:vAlign w:val="bottom"/>
          </w:tcPr>
          <w:p>
            <w:pPr>
              <w:ind w:left="20"/>
              <w:spacing w:after="0"/>
              <w:rPr>
                <w:sz w:val="20"/>
                <w:szCs w:val="20"/>
                <w:color w:val="auto"/>
              </w:rPr>
            </w:pPr>
            <w:r>
              <w:rPr>
                <w:rFonts w:ascii="Arial" w:cs="Arial" w:eastAsia="Arial" w:hAnsi="Arial"/>
                <w:sz w:val="9"/>
                <w:szCs w:val="9"/>
                <w:color w:val="auto"/>
              </w:rPr>
              <w:t>interests in Operating Company</w:t>
            </w: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570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(926)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ind w:right="15"/>
              <w:spacing w:after="0"/>
              <w:rPr>
                <w:sz w:val="20"/>
                <w:szCs w:val="20"/>
                <w:color w:val="auto"/>
              </w:rPr>
            </w:pPr>
            <w:r>
              <w:rPr>
                <w:rFonts w:ascii="Arial" w:cs="Arial" w:eastAsia="Arial" w:hAnsi="Arial"/>
                <w:sz w:val="9"/>
                <w:szCs w:val="9"/>
                <w:color w:val="auto"/>
              </w:rPr>
              <w:t>416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(3,470)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(3,073)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(13,191)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(8,222)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(27,896)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(27,896)</w:t>
            </w:r>
          </w:p>
        </w:tc>
        <w:tc>
          <w:tcPr>
            <w:tcW w:w="0" w:type="dxa"/>
            <w:vAlign w:val="bottom"/>
          </w:tcPr>
          <w:p>
            <w:pPr>
              <w:spacing w:after="0"/>
              <w:rPr>
                <w:sz w:val="1"/>
                <w:szCs w:val="1"/>
                <w:color w:val="auto"/>
              </w:rPr>
            </w:pPr>
          </w:p>
        </w:tc>
      </w:tr>
      <w:tr>
        <w:trPr>
          <w:trHeight w:val="75"/>
        </w:trPr>
        <w:tc>
          <w:tcPr>
            <w:tcW w:w="2480" w:type="dxa"/>
            <w:vAlign w:val="bottom"/>
            <w:tcBorders>
              <w:top w:val="single" w:sz="8" w:color="DBDBDB"/>
            </w:tcBorders>
            <w:shd w:val="clear" w:color="auto" w:fill="DBDBDB"/>
          </w:tcPr>
          <w:p>
            <w:pPr>
              <w:ind w:left="20"/>
              <w:spacing w:after="0" w:line="75" w:lineRule="exact"/>
              <w:rPr>
                <w:sz w:val="20"/>
                <w:szCs w:val="20"/>
                <w:color w:val="auto"/>
              </w:rPr>
            </w:pPr>
            <w:r>
              <w:rPr>
                <w:rFonts w:ascii="Arial" w:cs="Arial" w:eastAsia="Arial" w:hAnsi="Arial"/>
                <w:sz w:val="8"/>
                <w:szCs w:val="8"/>
                <w:b w:val="1"/>
                <w:bCs w:val="1"/>
                <w:color w:val="auto"/>
              </w:rPr>
              <w:t>Net income (loss) attributable to common interests in</w:t>
            </w:r>
          </w:p>
        </w:tc>
        <w:tc>
          <w:tcPr>
            <w:tcW w:w="60" w:type="dxa"/>
            <w:vAlign w:val="bottom"/>
            <w:tcBorders>
              <w:top w:val="single" w:sz="8" w:color="auto"/>
            </w:tcBorders>
            <w:shd w:val="clear" w:color="auto" w:fill="DBDBDB"/>
          </w:tcPr>
          <w:p>
            <w:pPr>
              <w:spacing w:after="0"/>
              <w:rPr>
                <w:sz w:val="6"/>
                <w:szCs w:val="6"/>
                <w:color w:val="auto"/>
              </w:rPr>
            </w:pPr>
          </w:p>
        </w:tc>
        <w:tc>
          <w:tcPr>
            <w:tcW w:w="440" w:type="dxa"/>
            <w:vAlign w:val="bottom"/>
            <w:tcBorders>
              <w:top w:val="single" w:sz="8" w:color="auto"/>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80" w:type="dxa"/>
            <w:vAlign w:val="bottom"/>
            <w:tcBorders>
              <w:top w:val="single" w:sz="8" w:color="auto"/>
            </w:tcBorders>
            <w:shd w:val="clear" w:color="auto" w:fill="DBDBDB"/>
          </w:tcPr>
          <w:p>
            <w:pPr>
              <w:spacing w:after="0"/>
              <w:rPr>
                <w:sz w:val="6"/>
                <w:szCs w:val="6"/>
                <w:color w:val="auto"/>
              </w:rPr>
            </w:pPr>
          </w:p>
        </w:tc>
        <w:tc>
          <w:tcPr>
            <w:tcW w:w="460" w:type="dxa"/>
            <w:vAlign w:val="bottom"/>
            <w:tcBorders>
              <w:top w:val="single" w:sz="8" w:color="auto"/>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80" w:type="dxa"/>
            <w:vAlign w:val="bottom"/>
            <w:tcBorders>
              <w:top w:val="single" w:sz="8" w:color="auto"/>
            </w:tcBorders>
            <w:shd w:val="clear" w:color="auto" w:fill="DBDBDB"/>
          </w:tcPr>
          <w:p>
            <w:pPr>
              <w:spacing w:after="0"/>
              <w:rPr>
                <w:sz w:val="6"/>
                <w:szCs w:val="6"/>
                <w:color w:val="auto"/>
              </w:rPr>
            </w:pPr>
          </w:p>
        </w:tc>
        <w:tc>
          <w:tcPr>
            <w:tcW w:w="360" w:type="dxa"/>
            <w:vAlign w:val="bottom"/>
            <w:tcBorders>
              <w:top w:val="single" w:sz="8" w:color="auto"/>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60" w:type="dxa"/>
            <w:vAlign w:val="bottom"/>
            <w:tcBorders>
              <w:top w:val="single" w:sz="8" w:color="auto"/>
            </w:tcBorders>
            <w:shd w:val="clear" w:color="auto" w:fill="DBDBDB"/>
          </w:tcPr>
          <w:p>
            <w:pPr>
              <w:spacing w:after="0"/>
              <w:rPr>
                <w:sz w:val="6"/>
                <w:szCs w:val="6"/>
                <w:color w:val="auto"/>
              </w:rPr>
            </w:pPr>
          </w:p>
        </w:tc>
        <w:tc>
          <w:tcPr>
            <w:tcW w:w="620" w:type="dxa"/>
            <w:vAlign w:val="bottom"/>
            <w:tcBorders>
              <w:top w:val="single" w:sz="8" w:color="auto"/>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100" w:type="dxa"/>
            <w:vAlign w:val="bottom"/>
            <w:tcBorders>
              <w:top w:val="single" w:sz="8" w:color="auto"/>
            </w:tcBorders>
            <w:shd w:val="clear" w:color="auto" w:fill="DBDBDB"/>
          </w:tcPr>
          <w:p>
            <w:pPr>
              <w:spacing w:after="0"/>
              <w:rPr>
                <w:sz w:val="6"/>
                <w:szCs w:val="6"/>
                <w:color w:val="auto"/>
              </w:rPr>
            </w:pPr>
          </w:p>
        </w:tc>
        <w:tc>
          <w:tcPr>
            <w:tcW w:w="420" w:type="dxa"/>
            <w:vAlign w:val="bottom"/>
            <w:tcBorders>
              <w:top w:val="single" w:sz="8" w:color="auto"/>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60" w:type="dxa"/>
            <w:vAlign w:val="bottom"/>
            <w:tcBorders>
              <w:top w:val="single" w:sz="8" w:color="auto"/>
            </w:tcBorders>
            <w:shd w:val="clear" w:color="auto" w:fill="DBDBDB"/>
          </w:tcPr>
          <w:p>
            <w:pPr>
              <w:spacing w:after="0"/>
              <w:rPr>
                <w:sz w:val="6"/>
                <w:szCs w:val="6"/>
                <w:color w:val="auto"/>
              </w:rPr>
            </w:pPr>
          </w:p>
        </w:tc>
        <w:tc>
          <w:tcPr>
            <w:tcW w:w="620" w:type="dxa"/>
            <w:vAlign w:val="bottom"/>
            <w:tcBorders>
              <w:top w:val="single" w:sz="8" w:color="auto"/>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60" w:type="dxa"/>
            <w:vAlign w:val="bottom"/>
            <w:tcBorders>
              <w:top w:val="single" w:sz="8" w:color="auto"/>
            </w:tcBorders>
            <w:shd w:val="clear" w:color="auto" w:fill="DBDBDB"/>
          </w:tcPr>
          <w:p>
            <w:pPr>
              <w:spacing w:after="0"/>
              <w:rPr>
                <w:sz w:val="6"/>
                <w:szCs w:val="6"/>
                <w:color w:val="auto"/>
              </w:rPr>
            </w:pPr>
          </w:p>
        </w:tc>
        <w:tc>
          <w:tcPr>
            <w:tcW w:w="540" w:type="dxa"/>
            <w:vAlign w:val="bottom"/>
            <w:tcBorders>
              <w:top w:val="single" w:sz="8" w:color="auto"/>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80" w:type="dxa"/>
            <w:vAlign w:val="bottom"/>
            <w:tcBorders>
              <w:top w:val="single" w:sz="8" w:color="auto"/>
            </w:tcBorders>
            <w:shd w:val="clear" w:color="auto" w:fill="DBDBDB"/>
          </w:tcPr>
          <w:p>
            <w:pPr>
              <w:spacing w:after="0"/>
              <w:rPr>
                <w:sz w:val="6"/>
                <w:szCs w:val="6"/>
                <w:color w:val="auto"/>
              </w:rPr>
            </w:pPr>
          </w:p>
        </w:tc>
        <w:tc>
          <w:tcPr>
            <w:tcW w:w="500" w:type="dxa"/>
            <w:vAlign w:val="bottom"/>
            <w:tcBorders>
              <w:top w:val="single" w:sz="8" w:color="auto"/>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60" w:type="dxa"/>
            <w:vAlign w:val="bottom"/>
            <w:tcBorders>
              <w:top w:val="single" w:sz="8" w:color="auto"/>
            </w:tcBorders>
            <w:shd w:val="clear" w:color="auto" w:fill="DBDBDB"/>
          </w:tcPr>
          <w:p>
            <w:pPr>
              <w:spacing w:after="0"/>
              <w:rPr>
                <w:sz w:val="6"/>
                <w:szCs w:val="6"/>
                <w:color w:val="auto"/>
              </w:rPr>
            </w:pPr>
          </w:p>
        </w:tc>
        <w:tc>
          <w:tcPr>
            <w:tcW w:w="660" w:type="dxa"/>
            <w:vAlign w:val="bottom"/>
            <w:tcBorders>
              <w:top w:val="single" w:sz="8" w:color="auto"/>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80" w:type="dxa"/>
            <w:vAlign w:val="bottom"/>
            <w:tcBorders>
              <w:top w:val="single" w:sz="8" w:color="auto"/>
            </w:tcBorders>
            <w:shd w:val="clear" w:color="auto" w:fill="DBDBDB"/>
          </w:tcPr>
          <w:p>
            <w:pPr>
              <w:spacing w:after="0"/>
              <w:rPr>
                <w:sz w:val="6"/>
                <w:szCs w:val="6"/>
                <w:color w:val="auto"/>
              </w:rPr>
            </w:pPr>
          </w:p>
        </w:tc>
        <w:tc>
          <w:tcPr>
            <w:tcW w:w="580" w:type="dxa"/>
            <w:vAlign w:val="bottom"/>
            <w:tcBorders>
              <w:top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480" w:type="dxa"/>
            <w:vAlign w:val="bottom"/>
            <w:shd w:val="clear" w:color="auto" w:fill="DBDBDB"/>
          </w:tcPr>
          <w:p>
            <w:pPr>
              <w:ind w:left="20"/>
              <w:spacing w:after="0"/>
              <w:rPr>
                <w:sz w:val="20"/>
                <w:szCs w:val="20"/>
                <w:color w:val="auto"/>
              </w:rPr>
            </w:pPr>
            <w:r>
              <w:rPr>
                <w:rFonts w:ascii="Arial" w:cs="Arial" w:eastAsia="Arial" w:hAnsi="Arial"/>
                <w:sz w:val="9"/>
                <w:szCs w:val="9"/>
                <w:b w:val="1"/>
                <w:bCs w:val="1"/>
                <w:color w:val="auto"/>
              </w:rPr>
              <w:t>Operating Company and common stockholders</w:t>
            </w:r>
          </w:p>
        </w:tc>
        <w:tc>
          <w:tcPr>
            <w:tcW w:w="60" w:type="dxa"/>
            <w:vAlign w:val="bottom"/>
            <w:shd w:val="clear" w:color="auto" w:fill="DBDBDB"/>
          </w:tcPr>
          <w:p>
            <w:pPr>
              <w:spacing w:after="0"/>
              <w:rPr>
                <w:sz w:val="10"/>
                <w:szCs w:val="10"/>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9"/>
                <w:szCs w:val="9"/>
                <w:color w:val="auto"/>
              </w:rPr>
              <w:t>5,982</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9"/>
                <w:szCs w:val="9"/>
                <w:color w:val="auto"/>
              </w:rPr>
              <w:t>(9,719)</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3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4,365</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9"/>
                <w:szCs w:val="9"/>
                <w:color w:val="auto"/>
              </w:rPr>
              <w:t>(36,376)</w:t>
            </w:r>
          </w:p>
        </w:tc>
        <w:tc>
          <w:tcPr>
            <w:tcW w:w="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9"/>
                <w:szCs w:val="9"/>
                <w:color w:val="auto"/>
              </w:rPr>
              <w:t>(32,218)</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9"/>
                <w:szCs w:val="9"/>
                <w:color w:val="auto"/>
              </w:rPr>
              <w:t>(138,405)</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9"/>
                <w:szCs w:val="9"/>
                <w:color w:val="auto"/>
              </w:rPr>
              <w:t>(86,331)</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9"/>
                <w:szCs w:val="9"/>
                <w:color w:val="auto"/>
              </w:rPr>
              <w:t>(292,702)</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0"/>
                <w:szCs w:val="10"/>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9"/>
                <w:szCs w:val="9"/>
                <w:color w:val="auto"/>
              </w:rPr>
              <w:t>(292,702)</w:t>
            </w:r>
          </w:p>
        </w:tc>
        <w:tc>
          <w:tcPr>
            <w:tcW w:w="0" w:type="dxa"/>
            <w:vAlign w:val="bottom"/>
          </w:tcPr>
          <w:p>
            <w:pPr>
              <w:spacing w:after="0"/>
              <w:rPr>
                <w:sz w:val="1"/>
                <w:szCs w:val="1"/>
                <w:color w:val="auto"/>
              </w:rPr>
            </w:pPr>
          </w:p>
        </w:tc>
      </w:tr>
      <w:tr>
        <w:trPr>
          <w:trHeight w:val="173"/>
        </w:trPr>
        <w:tc>
          <w:tcPr>
            <w:tcW w:w="2480" w:type="dxa"/>
            <w:vAlign w:val="bottom"/>
          </w:tcPr>
          <w:p>
            <w:pPr>
              <w:ind w:left="20"/>
              <w:spacing w:after="0"/>
              <w:rPr>
                <w:sz w:val="20"/>
                <w:szCs w:val="20"/>
                <w:color w:val="auto"/>
              </w:rPr>
            </w:pPr>
            <w:r>
              <w:rPr>
                <w:rFonts w:ascii="Arial" w:cs="Arial" w:eastAsia="Arial" w:hAnsi="Arial"/>
                <w:sz w:val="9"/>
                <w:szCs w:val="9"/>
                <w:b w:val="1"/>
                <w:bCs w:val="1"/>
                <w:color w:val="auto"/>
              </w:rPr>
              <w:t>Adjustments for FFO:</w:t>
            </w:r>
          </w:p>
        </w:tc>
        <w:tc>
          <w:tcPr>
            <w:tcW w:w="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480" w:type="dxa"/>
            <w:vAlign w:val="bottom"/>
            <w:shd w:val="clear" w:color="auto" w:fill="DBDBDB"/>
          </w:tcPr>
          <w:p>
            <w:pPr>
              <w:ind w:left="120"/>
              <w:spacing w:after="0"/>
              <w:rPr>
                <w:sz w:val="20"/>
                <w:szCs w:val="20"/>
                <w:color w:val="auto"/>
              </w:rPr>
            </w:pPr>
            <w:r>
              <w:rPr>
                <w:rFonts w:ascii="Arial" w:cs="Arial" w:eastAsia="Arial" w:hAnsi="Arial"/>
                <w:sz w:val="9"/>
                <w:szCs w:val="9"/>
                <w:color w:val="auto"/>
              </w:rPr>
              <w:t>Real estate depreciation and amortization</w:t>
            </w:r>
          </w:p>
        </w:tc>
        <w:tc>
          <w:tcPr>
            <w:tcW w:w="60" w:type="dxa"/>
            <w:vAlign w:val="bottom"/>
            <w:shd w:val="clear" w:color="auto" w:fill="DBDBDB"/>
          </w:tcPr>
          <w:p>
            <w:pPr>
              <w:spacing w:after="0"/>
              <w:rPr>
                <w:sz w:val="12"/>
                <w:szCs w:val="12"/>
                <w:color w:val="auto"/>
              </w:rPr>
            </w:pPr>
          </w:p>
        </w:tc>
        <w:tc>
          <w:tcPr>
            <w:tcW w:w="520" w:type="dxa"/>
            <w:vAlign w:val="bottom"/>
            <w:gridSpan w:val="2"/>
            <w:shd w:val="clear" w:color="auto" w:fill="DBDBDB"/>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4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20,168</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6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26,973</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4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3,440</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6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16,900</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620" w:type="dxa"/>
            <w:vAlign w:val="bottom"/>
            <w:gridSpan w:val="2"/>
            <w:shd w:val="clear" w:color="auto" w:fill="DBDBDB"/>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67,481</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117,281</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9"/>
                <w:szCs w:val="9"/>
                <w:color w:val="auto"/>
              </w:rPr>
              <w:t>184,762</w:t>
            </w:r>
          </w:p>
        </w:tc>
        <w:tc>
          <w:tcPr>
            <w:tcW w:w="0" w:type="dxa"/>
            <w:vAlign w:val="bottom"/>
          </w:tcPr>
          <w:p>
            <w:pPr>
              <w:spacing w:after="0"/>
              <w:rPr>
                <w:sz w:val="1"/>
                <w:szCs w:val="1"/>
                <w:color w:val="auto"/>
              </w:rPr>
            </w:pPr>
          </w:p>
        </w:tc>
      </w:tr>
      <w:tr>
        <w:trPr>
          <w:trHeight w:val="130"/>
        </w:trPr>
        <w:tc>
          <w:tcPr>
            <w:tcW w:w="2480" w:type="dxa"/>
            <w:vAlign w:val="bottom"/>
          </w:tcPr>
          <w:p>
            <w:pPr>
              <w:ind w:left="120"/>
              <w:spacing w:after="0"/>
              <w:rPr>
                <w:sz w:val="20"/>
                <w:szCs w:val="20"/>
                <w:color w:val="auto"/>
              </w:rPr>
            </w:pPr>
            <w:r>
              <w:rPr>
                <w:rFonts w:ascii="Arial" w:cs="Arial" w:eastAsia="Arial" w:hAnsi="Arial"/>
                <w:sz w:val="9"/>
                <w:szCs w:val="9"/>
                <w:color w:val="auto"/>
              </w:rPr>
              <w:t>Impairment of real estate</w:t>
            </w:r>
          </w:p>
        </w:tc>
        <w:tc>
          <w:tcPr>
            <w:tcW w:w="6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11,211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23,715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tcPr>
          <w:p>
            <w:pPr>
              <w:jc w:val="right"/>
              <w:ind w:right="15"/>
              <w:spacing w:after="0"/>
              <w:rPr>
                <w:sz w:val="20"/>
                <w:szCs w:val="20"/>
                <w:color w:val="auto"/>
              </w:rPr>
            </w:pPr>
            <w:r>
              <w:rPr>
                <w:rFonts w:ascii="Arial" w:cs="Arial" w:eastAsia="Arial" w:hAnsi="Arial"/>
                <w:sz w:val="9"/>
                <w:szCs w:val="9"/>
                <w:color w:val="auto"/>
              </w:rPr>
              <w:t>34,926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71,151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106,077</w:t>
            </w:r>
          </w:p>
        </w:tc>
        <w:tc>
          <w:tcPr>
            <w:tcW w:w="0" w:type="dxa"/>
            <w:vAlign w:val="bottom"/>
          </w:tcPr>
          <w:p>
            <w:pPr>
              <w:spacing w:after="0"/>
              <w:rPr>
                <w:sz w:val="1"/>
                <w:szCs w:val="1"/>
                <w:color w:val="auto"/>
              </w:rPr>
            </w:pPr>
          </w:p>
        </w:tc>
      </w:tr>
      <w:tr>
        <w:trPr>
          <w:trHeight w:val="140"/>
        </w:trPr>
        <w:tc>
          <w:tcPr>
            <w:tcW w:w="2480" w:type="dxa"/>
            <w:vAlign w:val="bottom"/>
            <w:shd w:val="clear" w:color="auto" w:fill="DBDBDB"/>
          </w:tcPr>
          <w:p>
            <w:pPr>
              <w:ind w:left="120"/>
              <w:spacing w:after="0"/>
              <w:rPr>
                <w:sz w:val="20"/>
                <w:szCs w:val="20"/>
                <w:color w:val="auto"/>
              </w:rPr>
            </w:pPr>
            <w:r>
              <w:rPr>
                <w:rFonts w:ascii="Arial" w:cs="Arial" w:eastAsia="Arial" w:hAnsi="Arial"/>
                <w:sz w:val="9"/>
                <w:szCs w:val="9"/>
                <w:color w:val="auto"/>
              </w:rPr>
              <w:t>Gain from sales of real estate</w:t>
            </w:r>
          </w:p>
        </w:tc>
        <w:tc>
          <w:tcPr>
            <w:tcW w:w="60" w:type="dxa"/>
            <w:vAlign w:val="bottom"/>
            <w:shd w:val="clear" w:color="auto" w:fill="DBDBDB"/>
          </w:tcPr>
          <w:p>
            <w:pPr>
              <w:spacing w:after="0"/>
              <w:rPr>
                <w:sz w:val="12"/>
                <w:szCs w:val="12"/>
                <w:color w:val="auto"/>
              </w:rPr>
            </w:pPr>
          </w:p>
        </w:tc>
        <w:tc>
          <w:tcPr>
            <w:tcW w:w="520" w:type="dxa"/>
            <w:vAlign w:val="bottom"/>
            <w:gridSpan w:val="2"/>
            <w:shd w:val="clear" w:color="auto" w:fill="DBDBDB"/>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5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DBDBDB"/>
          </w:tcPr>
          <w:p>
            <w:pPr>
              <w:spacing w:after="0"/>
              <w:rPr>
                <w:sz w:val="12"/>
                <w:szCs w:val="12"/>
                <w:color w:val="auto"/>
              </w:rPr>
            </w:pPr>
          </w:p>
        </w:tc>
        <w:tc>
          <w:tcPr>
            <w:tcW w:w="5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9"/>
                <w:szCs w:val="9"/>
                <w:color w:val="auto"/>
              </w:rPr>
              <w:t>(38,166)</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620" w:type="dxa"/>
            <w:vAlign w:val="bottom"/>
            <w:gridSpan w:val="2"/>
            <w:shd w:val="clear" w:color="auto" w:fill="DBDBDB"/>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9"/>
                <w:szCs w:val="9"/>
                <w:color w:val="auto"/>
              </w:rPr>
              <w:t>(38,166)</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64</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9"/>
                <w:szCs w:val="9"/>
                <w:color w:val="auto"/>
              </w:rPr>
              <w:t>(38,102)</w:t>
            </w:r>
          </w:p>
        </w:tc>
        <w:tc>
          <w:tcPr>
            <w:tcW w:w="0" w:type="dxa"/>
            <w:vAlign w:val="bottom"/>
          </w:tcPr>
          <w:p>
            <w:pPr>
              <w:spacing w:after="0"/>
              <w:rPr>
                <w:sz w:val="1"/>
                <w:szCs w:val="1"/>
                <w:color w:val="auto"/>
              </w:rPr>
            </w:pPr>
          </w:p>
        </w:tc>
      </w:tr>
      <w:tr>
        <w:trPr>
          <w:trHeight w:val="99"/>
        </w:trPr>
        <w:tc>
          <w:tcPr>
            <w:tcW w:w="2480" w:type="dxa"/>
            <w:vAlign w:val="bottom"/>
          </w:tcPr>
          <w:p>
            <w:pPr>
              <w:ind w:left="120"/>
              <w:spacing w:after="0" w:line="99" w:lineRule="exact"/>
              <w:rPr>
                <w:sz w:val="20"/>
                <w:szCs w:val="20"/>
                <w:color w:val="auto"/>
              </w:rPr>
            </w:pPr>
            <w:r>
              <w:rPr>
                <w:rFonts w:ascii="Arial" w:cs="Arial" w:eastAsia="Arial" w:hAnsi="Arial"/>
                <w:sz w:val="9"/>
                <w:szCs w:val="9"/>
                <w:color w:val="auto"/>
              </w:rPr>
              <w:t>Less: Adjustments attributable to noncontrolling interests</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480" w:type="dxa"/>
            <w:vAlign w:val="bottom"/>
            <w:tcBorders>
              <w:bottom w:val="single" w:sz="8" w:color="DBDBDB"/>
            </w:tcBorders>
          </w:tcPr>
          <w:p>
            <w:pPr>
              <w:ind w:left="120"/>
              <w:spacing w:after="0"/>
              <w:rPr>
                <w:sz w:val="20"/>
                <w:szCs w:val="20"/>
                <w:color w:val="auto"/>
              </w:rPr>
            </w:pPr>
            <w:r>
              <w:rPr>
                <w:rFonts w:ascii="Arial" w:cs="Arial" w:eastAsia="Arial" w:hAnsi="Arial"/>
                <w:sz w:val="9"/>
                <w:szCs w:val="9"/>
                <w:color w:val="auto"/>
              </w:rPr>
              <w:t>in investment entities</w:t>
            </w: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(188,496)</w:t>
            </w:r>
          </w:p>
        </w:tc>
        <w:tc>
          <w:tcPr>
            <w:tcW w:w="80" w:type="dxa"/>
            <w:vAlign w:val="bottom"/>
            <w:tcBorders>
              <w:bottom w:val="single" w:sz="8" w:color="DBDBDB"/>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(188,496)</w:t>
            </w:r>
          </w:p>
        </w:tc>
        <w:tc>
          <w:tcPr>
            <w:tcW w:w="0" w:type="dxa"/>
            <w:vAlign w:val="bottom"/>
          </w:tcPr>
          <w:p>
            <w:pPr>
              <w:spacing w:after="0"/>
              <w:rPr>
                <w:sz w:val="1"/>
                <w:szCs w:val="1"/>
                <w:color w:val="auto"/>
              </w:rPr>
            </w:pPr>
          </w:p>
        </w:tc>
      </w:tr>
      <w:tr>
        <w:trPr>
          <w:trHeight w:val="120"/>
        </w:trPr>
        <w:tc>
          <w:tcPr>
            <w:tcW w:w="2480" w:type="dxa"/>
            <w:vAlign w:val="bottom"/>
            <w:shd w:val="clear" w:color="auto" w:fill="DBDBDB"/>
          </w:tcPr>
          <w:p>
            <w:pPr>
              <w:ind w:left="20"/>
              <w:spacing w:after="0"/>
              <w:rPr>
                <w:sz w:val="20"/>
                <w:szCs w:val="20"/>
                <w:color w:val="auto"/>
              </w:rPr>
            </w:pPr>
            <w:r>
              <w:rPr>
                <w:rFonts w:ascii="Arial" w:cs="Arial" w:eastAsia="Arial" w:hAnsi="Arial"/>
                <w:sz w:val="9"/>
                <w:szCs w:val="9"/>
                <w:b w:val="1"/>
                <w:bCs w:val="1"/>
                <w:color w:val="auto"/>
              </w:rPr>
              <w:t>FFO</w:t>
            </w: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9"/>
                <w:szCs w:val="9"/>
                <w:color w:val="auto"/>
              </w:rPr>
              <w:t>5,982</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10,449</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4,365</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1,808</w:t>
            </w:r>
          </w:p>
        </w:tc>
        <w:tc>
          <w:tcPr>
            <w:tcW w:w="80" w:type="dxa"/>
            <w:vAlign w:val="bottom"/>
            <w:shd w:val="clear" w:color="auto" w:fill="DBDBDB"/>
          </w:tcPr>
          <w:p>
            <w:pPr>
              <w:spacing w:after="0"/>
              <w:rPr>
                <w:sz w:val="10"/>
                <w:szCs w:val="1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9"/>
                <w:szCs w:val="9"/>
                <w:color w:val="auto"/>
              </w:rPr>
              <w:t>(28,778)</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9"/>
                <w:szCs w:val="9"/>
                <w:color w:val="auto"/>
              </w:rPr>
              <w:t>(135,956)</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9"/>
                <w:szCs w:val="9"/>
                <w:color w:val="auto"/>
              </w:rPr>
              <w:t>(86,331)</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9"/>
                <w:szCs w:val="9"/>
                <w:color w:val="auto"/>
              </w:rPr>
              <w:t>(228,461)</w:t>
            </w:r>
          </w:p>
        </w:tc>
        <w:tc>
          <w:tcPr>
            <w:tcW w:w="140" w:type="dxa"/>
            <w:vAlign w:val="bottom"/>
            <w:gridSpan w:val="2"/>
            <w:shd w:val="clear" w:color="auto" w:fill="DBDBDB"/>
          </w:tcPr>
          <w:p>
            <w:pPr>
              <w:jc w:val="right"/>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9"/>
                <w:szCs w:val="9"/>
                <w:color w:val="auto"/>
              </w:rPr>
              <w:t>(228,461)</w:t>
            </w:r>
          </w:p>
        </w:tc>
        <w:tc>
          <w:tcPr>
            <w:tcW w:w="0" w:type="dxa"/>
            <w:vAlign w:val="bottom"/>
          </w:tcPr>
          <w:p>
            <w:pPr>
              <w:spacing w:after="0"/>
              <w:rPr>
                <w:sz w:val="1"/>
                <w:szCs w:val="1"/>
                <w:color w:val="auto"/>
              </w:rPr>
            </w:pPr>
          </w:p>
        </w:tc>
      </w:tr>
      <w:tr>
        <w:trPr>
          <w:trHeight w:val="173"/>
        </w:trPr>
        <w:tc>
          <w:tcPr>
            <w:tcW w:w="2480" w:type="dxa"/>
            <w:vAlign w:val="bottom"/>
          </w:tcPr>
          <w:p>
            <w:pPr>
              <w:ind w:left="20"/>
              <w:spacing w:after="0"/>
              <w:rPr>
                <w:sz w:val="20"/>
                <w:szCs w:val="20"/>
                <w:color w:val="auto"/>
              </w:rPr>
            </w:pPr>
            <w:r>
              <w:rPr>
                <w:rFonts w:ascii="Arial" w:cs="Arial" w:eastAsia="Arial" w:hAnsi="Arial"/>
                <w:sz w:val="9"/>
                <w:szCs w:val="9"/>
                <w:b w:val="1"/>
                <w:bCs w:val="1"/>
                <w:color w:val="auto"/>
              </w:rPr>
              <w:t>Additional adjustments for Core FFO:</w:t>
            </w:r>
          </w:p>
        </w:tc>
        <w:tc>
          <w:tcPr>
            <w:tcW w:w="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480" w:type="dxa"/>
            <w:vAlign w:val="bottom"/>
            <w:shd w:val="clear" w:color="auto" w:fill="DBDBDB"/>
          </w:tcPr>
          <w:p>
            <w:pPr>
              <w:ind w:left="120"/>
              <w:spacing w:after="0"/>
              <w:rPr>
                <w:sz w:val="20"/>
                <w:szCs w:val="20"/>
                <w:color w:val="auto"/>
              </w:rPr>
            </w:pPr>
            <w:r>
              <w:rPr>
                <w:rFonts w:ascii="Arial" w:cs="Arial" w:eastAsia="Arial" w:hAnsi="Arial"/>
                <w:sz w:val="9"/>
                <w:szCs w:val="9"/>
                <w:color w:val="auto"/>
              </w:rPr>
              <w:t>Adjustment to CLNC cash dividend</w:t>
            </w:r>
          </w:p>
        </w:tc>
        <w:tc>
          <w:tcPr>
            <w:tcW w:w="60" w:type="dxa"/>
            <w:vAlign w:val="bottom"/>
            <w:shd w:val="clear" w:color="auto" w:fill="DBDBDB"/>
          </w:tcPr>
          <w:p>
            <w:pPr>
              <w:spacing w:after="0"/>
              <w:rPr>
                <w:sz w:val="12"/>
                <w:szCs w:val="12"/>
                <w:color w:val="auto"/>
              </w:rPr>
            </w:pPr>
          </w:p>
        </w:tc>
        <w:tc>
          <w:tcPr>
            <w:tcW w:w="520" w:type="dxa"/>
            <w:vAlign w:val="bottom"/>
            <w:gridSpan w:val="2"/>
            <w:shd w:val="clear" w:color="auto" w:fill="DBDBDB"/>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5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DBDBDB"/>
          </w:tcPr>
          <w:p>
            <w:pPr>
              <w:spacing w:after="0"/>
              <w:rPr>
                <w:sz w:val="12"/>
                <w:szCs w:val="12"/>
                <w:color w:val="auto"/>
              </w:rPr>
            </w:pPr>
          </w:p>
        </w:tc>
        <w:tc>
          <w:tcPr>
            <w:tcW w:w="4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55,648</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620" w:type="dxa"/>
            <w:vAlign w:val="bottom"/>
            <w:gridSpan w:val="2"/>
            <w:shd w:val="clear" w:color="auto" w:fill="DBDBDB"/>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55,648</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9"/>
                <w:szCs w:val="9"/>
                <w:color w:val="auto"/>
              </w:rPr>
              <w:t>55,648</w:t>
            </w:r>
          </w:p>
        </w:tc>
        <w:tc>
          <w:tcPr>
            <w:tcW w:w="0" w:type="dxa"/>
            <w:vAlign w:val="bottom"/>
          </w:tcPr>
          <w:p>
            <w:pPr>
              <w:spacing w:after="0"/>
              <w:rPr>
                <w:sz w:val="1"/>
                <w:szCs w:val="1"/>
                <w:color w:val="auto"/>
              </w:rPr>
            </w:pPr>
          </w:p>
        </w:tc>
      </w:tr>
      <w:tr>
        <w:trPr>
          <w:trHeight w:val="130"/>
        </w:trPr>
        <w:tc>
          <w:tcPr>
            <w:tcW w:w="2480" w:type="dxa"/>
            <w:vAlign w:val="bottom"/>
          </w:tcPr>
          <w:p>
            <w:pPr>
              <w:ind w:left="120"/>
              <w:spacing w:after="0"/>
              <w:rPr>
                <w:sz w:val="20"/>
                <w:szCs w:val="20"/>
                <w:color w:val="auto"/>
              </w:rPr>
            </w:pPr>
            <w:r>
              <w:rPr>
                <w:rFonts w:ascii="Arial" w:cs="Arial" w:eastAsia="Arial" w:hAnsi="Arial"/>
                <w:sz w:val="9"/>
                <w:szCs w:val="9"/>
                <w:color w:val="auto"/>
              </w:rPr>
              <w:t>Equity-based compensation expense</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1,375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15"/>
              <w:spacing w:after="0"/>
              <w:rPr>
                <w:sz w:val="20"/>
                <w:szCs w:val="20"/>
                <w:color w:val="auto"/>
              </w:rPr>
            </w:pPr>
            <w:r>
              <w:rPr>
                <w:rFonts w:ascii="Arial" w:cs="Arial" w:eastAsia="Arial" w:hAnsi="Arial"/>
                <w:sz w:val="9"/>
                <w:szCs w:val="9"/>
                <w:color w:val="auto"/>
              </w:rPr>
              <w:t>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700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2,693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14,065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5"/>
              <w:spacing w:after="0"/>
              <w:rPr>
                <w:sz w:val="20"/>
                <w:szCs w:val="20"/>
                <w:color w:val="auto"/>
              </w:rPr>
            </w:pPr>
            <w:r>
              <w:rPr>
                <w:rFonts w:ascii="Arial" w:cs="Arial" w:eastAsia="Arial" w:hAnsi="Arial"/>
                <w:sz w:val="9"/>
                <w:szCs w:val="9"/>
                <w:color w:val="auto"/>
              </w:rPr>
              <w:t>18,895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404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19,299</w:t>
            </w:r>
          </w:p>
        </w:tc>
        <w:tc>
          <w:tcPr>
            <w:tcW w:w="0" w:type="dxa"/>
            <w:vAlign w:val="bottom"/>
          </w:tcPr>
          <w:p>
            <w:pPr>
              <w:spacing w:after="0"/>
              <w:rPr>
                <w:sz w:val="1"/>
                <w:szCs w:val="1"/>
                <w:color w:val="auto"/>
              </w:rPr>
            </w:pPr>
          </w:p>
        </w:tc>
      </w:tr>
      <w:tr>
        <w:trPr>
          <w:trHeight w:val="140"/>
        </w:trPr>
        <w:tc>
          <w:tcPr>
            <w:tcW w:w="2480" w:type="dxa"/>
            <w:vAlign w:val="bottom"/>
            <w:shd w:val="clear" w:color="auto" w:fill="DBDBDB"/>
          </w:tcPr>
          <w:p>
            <w:pPr>
              <w:ind w:left="120"/>
              <w:spacing w:after="0"/>
              <w:rPr>
                <w:sz w:val="20"/>
                <w:szCs w:val="20"/>
                <w:color w:val="auto"/>
              </w:rPr>
            </w:pPr>
            <w:r>
              <w:rPr>
                <w:rFonts w:ascii="Arial" w:cs="Arial" w:eastAsia="Arial" w:hAnsi="Arial"/>
                <w:sz w:val="9"/>
                <w:szCs w:val="9"/>
                <w:color w:val="auto"/>
              </w:rPr>
              <w:t>Straight-line rent revenue and expense</w:t>
            </w:r>
          </w:p>
        </w:tc>
        <w:tc>
          <w:tcPr>
            <w:tcW w:w="60" w:type="dxa"/>
            <w:vAlign w:val="bottom"/>
            <w:shd w:val="clear" w:color="auto" w:fill="DBDBDB"/>
          </w:tcPr>
          <w:p>
            <w:pPr>
              <w:spacing w:after="0"/>
              <w:rPr>
                <w:sz w:val="12"/>
                <w:szCs w:val="12"/>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9"/>
                <w:szCs w:val="9"/>
                <w:color w:val="auto"/>
              </w:rPr>
              <w:t>(2)</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4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129</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6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13,420</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9"/>
                <w:szCs w:val="9"/>
                <w:color w:val="auto"/>
              </w:rPr>
              <w:t>(158)</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9"/>
                <w:szCs w:val="9"/>
                <w:color w:val="auto"/>
              </w:rPr>
              <w:t>(591)</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12,798</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4,427</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9"/>
                <w:szCs w:val="9"/>
                <w:color w:val="auto"/>
              </w:rPr>
              <w:t>17,225</w:t>
            </w:r>
          </w:p>
        </w:tc>
        <w:tc>
          <w:tcPr>
            <w:tcW w:w="0" w:type="dxa"/>
            <w:vAlign w:val="bottom"/>
          </w:tcPr>
          <w:p>
            <w:pPr>
              <w:spacing w:after="0"/>
              <w:rPr>
                <w:sz w:val="1"/>
                <w:szCs w:val="1"/>
                <w:color w:val="auto"/>
              </w:rPr>
            </w:pPr>
          </w:p>
        </w:tc>
      </w:tr>
      <w:tr>
        <w:trPr>
          <w:trHeight w:val="99"/>
        </w:trPr>
        <w:tc>
          <w:tcPr>
            <w:tcW w:w="2480" w:type="dxa"/>
            <w:vAlign w:val="bottom"/>
          </w:tcPr>
          <w:p>
            <w:pPr>
              <w:ind w:left="120"/>
              <w:spacing w:after="0" w:line="99" w:lineRule="exact"/>
              <w:rPr>
                <w:sz w:val="20"/>
                <w:szCs w:val="20"/>
                <w:color w:val="auto"/>
              </w:rPr>
            </w:pPr>
            <w:r>
              <w:rPr>
                <w:rFonts w:ascii="Arial" w:cs="Arial" w:eastAsia="Arial" w:hAnsi="Arial"/>
                <w:sz w:val="9"/>
                <w:szCs w:val="9"/>
                <w:color w:val="auto"/>
              </w:rPr>
              <w:t>Amortization of acquired above- and below-market lease</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480" w:type="dxa"/>
            <w:vAlign w:val="bottom"/>
          </w:tcPr>
          <w:p>
            <w:pPr>
              <w:ind w:left="120"/>
              <w:spacing w:after="0"/>
              <w:rPr>
                <w:sz w:val="20"/>
                <w:szCs w:val="20"/>
                <w:color w:val="auto"/>
              </w:rPr>
            </w:pPr>
            <w:r>
              <w:rPr>
                <w:rFonts w:ascii="Arial" w:cs="Arial" w:eastAsia="Arial" w:hAnsi="Arial"/>
                <w:sz w:val="9"/>
                <w:szCs w:val="9"/>
                <w:color w:val="auto"/>
              </w:rPr>
              <w:t>values, net</w:t>
            </w:r>
          </w:p>
        </w:tc>
        <w:tc>
          <w:tcPr>
            <w:tcW w:w="6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60" w:type="dxa"/>
            <w:vAlign w:val="bottom"/>
          </w:tcPr>
          <w:p>
            <w:pPr>
              <w:jc w:val="right"/>
              <w:ind w:right="15"/>
              <w:spacing w:after="0"/>
              <w:rPr>
                <w:sz w:val="20"/>
                <w:szCs w:val="20"/>
                <w:color w:val="auto"/>
              </w:rPr>
            </w:pPr>
            <w:r>
              <w:rPr>
                <w:rFonts w:ascii="Arial" w:cs="Arial" w:eastAsia="Arial" w:hAnsi="Arial"/>
                <w:sz w:val="9"/>
                <w:szCs w:val="9"/>
                <w:color w:val="auto"/>
              </w:rPr>
              <w:t>79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3,684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tcPr>
          <w:p>
            <w:pPr>
              <w:jc w:val="right"/>
              <w:ind w:right="15"/>
              <w:spacing w:after="0"/>
              <w:rPr>
                <w:sz w:val="20"/>
                <w:szCs w:val="20"/>
                <w:color w:val="auto"/>
              </w:rPr>
            </w:pPr>
            <w:r>
              <w:rPr>
                <w:rFonts w:ascii="Arial" w:cs="Arial" w:eastAsia="Arial" w:hAnsi="Arial"/>
                <w:sz w:val="9"/>
                <w:szCs w:val="9"/>
                <w:color w:val="auto"/>
              </w:rPr>
              <w:t>3,761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2,244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6,005</w:t>
            </w:r>
          </w:p>
        </w:tc>
        <w:tc>
          <w:tcPr>
            <w:tcW w:w="0" w:type="dxa"/>
            <w:vAlign w:val="bottom"/>
          </w:tcPr>
          <w:p>
            <w:pPr>
              <w:spacing w:after="0"/>
              <w:rPr>
                <w:sz w:val="1"/>
                <w:szCs w:val="1"/>
                <w:color w:val="auto"/>
              </w:rPr>
            </w:pPr>
          </w:p>
        </w:tc>
      </w:tr>
      <w:tr>
        <w:trPr>
          <w:trHeight w:val="131"/>
        </w:trPr>
        <w:tc>
          <w:tcPr>
            <w:tcW w:w="2480" w:type="dxa"/>
            <w:vAlign w:val="bottom"/>
            <w:shd w:val="clear" w:color="auto" w:fill="DBDBDB"/>
          </w:tcPr>
          <w:p>
            <w:pPr>
              <w:ind w:left="120"/>
              <w:spacing w:after="0"/>
              <w:rPr>
                <w:sz w:val="20"/>
                <w:szCs w:val="20"/>
                <w:color w:val="auto"/>
              </w:rPr>
            </w:pPr>
            <w:r>
              <w:rPr>
                <w:rFonts w:ascii="Arial" w:cs="Arial" w:eastAsia="Arial" w:hAnsi="Arial"/>
                <w:sz w:val="9"/>
                <w:szCs w:val="9"/>
                <w:color w:val="auto"/>
              </w:rPr>
              <w:t>Debt prepayment penalties and amortization of deferred</w:t>
            </w:r>
          </w:p>
        </w:tc>
        <w:tc>
          <w:tcPr>
            <w:tcW w:w="60" w:type="dxa"/>
            <w:vAlign w:val="bottom"/>
            <w:shd w:val="clear" w:color="auto" w:fill="DBDBDB"/>
          </w:tcPr>
          <w:p>
            <w:pPr>
              <w:spacing w:after="0"/>
              <w:rPr>
                <w:sz w:val="11"/>
                <w:szCs w:val="11"/>
                <w:color w:val="auto"/>
              </w:rPr>
            </w:pPr>
          </w:p>
        </w:tc>
        <w:tc>
          <w:tcPr>
            <w:tcW w:w="4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6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4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6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6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8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480" w:type="dxa"/>
            <w:vAlign w:val="bottom"/>
            <w:shd w:val="clear" w:color="auto" w:fill="DBDBDB"/>
          </w:tcPr>
          <w:p>
            <w:pPr>
              <w:ind w:left="120"/>
              <w:spacing w:after="0"/>
              <w:rPr>
                <w:sz w:val="20"/>
                <w:szCs w:val="20"/>
                <w:color w:val="auto"/>
              </w:rPr>
            </w:pPr>
            <w:r>
              <w:rPr>
                <w:rFonts w:ascii="Arial" w:cs="Arial" w:eastAsia="Arial" w:hAnsi="Arial"/>
                <w:sz w:val="9"/>
                <w:szCs w:val="9"/>
                <w:color w:val="auto"/>
              </w:rPr>
              <w:t>financing costs and debt premiums and discounts</w:t>
            </w:r>
          </w:p>
        </w:tc>
        <w:tc>
          <w:tcPr>
            <w:tcW w:w="60" w:type="dxa"/>
            <w:vAlign w:val="bottom"/>
            <w:shd w:val="clear" w:color="auto" w:fill="DBDBDB"/>
          </w:tcPr>
          <w:p>
            <w:pPr>
              <w:spacing w:after="0"/>
              <w:rPr>
                <w:sz w:val="10"/>
                <w:szCs w:val="10"/>
                <w:color w:val="auto"/>
              </w:rPr>
            </w:pPr>
          </w:p>
        </w:tc>
        <w:tc>
          <w:tcPr>
            <w:tcW w:w="520" w:type="dxa"/>
            <w:vAlign w:val="bottom"/>
            <w:gridSpan w:val="2"/>
            <w:shd w:val="clear" w:color="auto" w:fill="DBDBDB"/>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0"/>
                <w:szCs w:val="10"/>
                <w:color w:val="auto"/>
              </w:rPr>
            </w:pPr>
          </w:p>
        </w:tc>
        <w:tc>
          <w:tcPr>
            <w:tcW w:w="4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398</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0"/>
                <w:szCs w:val="10"/>
                <w:color w:val="auto"/>
              </w:rPr>
            </w:pPr>
          </w:p>
        </w:tc>
        <w:tc>
          <w:tcPr>
            <w:tcW w:w="6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2,220</w:t>
            </w:r>
          </w:p>
        </w:tc>
        <w:tc>
          <w:tcPr>
            <w:tcW w:w="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0"/>
                <w:szCs w:val="10"/>
                <w:color w:val="auto"/>
              </w:rPr>
            </w:pPr>
          </w:p>
        </w:tc>
        <w:tc>
          <w:tcPr>
            <w:tcW w:w="6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35,278</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9"/>
                <w:szCs w:val="9"/>
                <w:color w:val="auto"/>
              </w:rPr>
              <w:t>1,223</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50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39,119</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6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6,508</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9"/>
                <w:szCs w:val="9"/>
                <w:color w:val="auto"/>
              </w:rPr>
              <w:t>45,627</w:t>
            </w:r>
          </w:p>
        </w:tc>
        <w:tc>
          <w:tcPr>
            <w:tcW w:w="0" w:type="dxa"/>
            <w:vAlign w:val="bottom"/>
          </w:tcPr>
          <w:p>
            <w:pPr>
              <w:spacing w:after="0"/>
              <w:rPr>
                <w:sz w:val="1"/>
                <w:szCs w:val="1"/>
                <w:color w:val="auto"/>
              </w:rPr>
            </w:pPr>
          </w:p>
        </w:tc>
      </w:tr>
      <w:tr>
        <w:trPr>
          <w:trHeight w:val="99"/>
        </w:trPr>
        <w:tc>
          <w:tcPr>
            <w:tcW w:w="2480" w:type="dxa"/>
            <w:vAlign w:val="bottom"/>
          </w:tcPr>
          <w:p>
            <w:pPr>
              <w:ind w:left="120"/>
              <w:spacing w:after="0" w:line="99" w:lineRule="exact"/>
              <w:rPr>
                <w:sz w:val="20"/>
                <w:szCs w:val="20"/>
                <w:color w:val="auto"/>
              </w:rPr>
            </w:pPr>
            <w:r>
              <w:rPr>
                <w:rFonts w:ascii="Arial" w:cs="Arial" w:eastAsia="Arial" w:hAnsi="Arial"/>
                <w:sz w:val="9"/>
                <w:szCs w:val="9"/>
                <w:color w:val="auto"/>
              </w:rPr>
              <w:t>Non-real estate fixed asset depreciation, amortization and</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480" w:type="dxa"/>
            <w:vAlign w:val="bottom"/>
          </w:tcPr>
          <w:p>
            <w:pPr>
              <w:ind w:left="120"/>
              <w:spacing w:after="0"/>
              <w:rPr>
                <w:sz w:val="20"/>
                <w:szCs w:val="20"/>
                <w:color w:val="auto"/>
              </w:rPr>
            </w:pPr>
            <w:r>
              <w:rPr>
                <w:rFonts w:ascii="Arial" w:cs="Arial" w:eastAsia="Arial" w:hAnsi="Arial"/>
                <w:sz w:val="9"/>
                <w:szCs w:val="9"/>
                <w:color w:val="auto"/>
              </w:rPr>
              <w:t>impairment</w:t>
            </w: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15"/>
              <w:spacing w:after="0"/>
              <w:rPr>
                <w:sz w:val="20"/>
                <w:szCs w:val="20"/>
                <w:color w:val="auto"/>
              </w:rPr>
            </w:pPr>
            <w:r>
              <w:rPr>
                <w:rFonts w:ascii="Arial" w:cs="Arial" w:eastAsia="Arial" w:hAnsi="Arial"/>
                <w:sz w:val="9"/>
                <w:szCs w:val="9"/>
                <w:color w:val="auto"/>
              </w:rPr>
              <w:t>356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10,457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5,637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604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5"/>
              <w:spacing w:after="0"/>
              <w:rPr>
                <w:sz w:val="20"/>
                <w:szCs w:val="20"/>
                <w:color w:val="auto"/>
              </w:rPr>
            </w:pPr>
            <w:r>
              <w:rPr>
                <w:rFonts w:ascii="Arial" w:cs="Arial" w:eastAsia="Arial" w:hAnsi="Arial"/>
                <w:sz w:val="9"/>
                <w:szCs w:val="9"/>
                <w:color w:val="auto"/>
              </w:rPr>
              <w:t>17,095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3,468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20,563</w:t>
            </w:r>
          </w:p>
        </w:tc>
        <w:tc>
          <w:tcPr>
            <w:tcW w:w="0" w:type="dxa"/>
            <w:vAlign w:val="bottom"/>
          </w:tcPr>
          <w:p>
            <w:pPr>
              <w:spacing w:after="0"/>
              <w:rPr>
                <w:sz w:val="1"/>
                <w:szCs w:val="1"/>
                <w:color w:val="auto"/>
              </w:rPr>
            </w:pPr>
          </w:p>
        </w:tc>
      </w:tr>
      <w:tr>
        <w:trPr>
          <w:trHeight w:val="140"/>
        </w:trPr>
        <w:tc>
          <w:tcPr>
            <w:tcW w:w="2480" w:type="dxa"/>
            <w:vAlign w:val="bottom"/>
            <w:shd w:val="clear" w:color="auto" w:fill="DBDBDB"/>
          </w:tcPr>
          <w:p>
            <w:pPr>
              <w:ind w:left="120"/>
              <w:spacing w:after="0"/>
              <w:rPr>
                <w:sz w:val="20"/>
                <w:szCs w:val="20"/>
                <w:color w:val="auto"/>
              </w:rPr>
            </w:pPr>
            <w:r>
              <w:rPr>
                <w:rFonts w:ascii="Arial" w:cs="Arial" w:eastAsia="Arial" w:hAnsi="Arial"/>
                <w:sz w:val="9"/>
                <w:szCs w:val="9"/>
                <w:color w:val="auto"/>
              </w:rPr>
              <w:t>Restructuring and transaction-related charges</w:t>
            </w:r>
            <w:r>
              <w:rPr>
                <w:rFonts w:ascii="Arial" w:cs="Arial" w:eastAsia="Arial" w:hAnsi="Arial"/>
                <w:sz w:val="11"/>
                <w:szCs w:val="11"/>
                <w:color w:val="auto"/>
                <w:vertAlign w:val="superscript"/>
              </w:rPr>
              <w:t>(1)</w:t>
            </w:r>
          </w:p>
        </w:tc>
        <w:tc>
          <w:tcPr>
            <w:tcW w:w="60" w:type="dxa"/>
            <w:vAlign w:val="bottom"/>
            <w:shd w:val="clear" w:color="auto" w:fill="DBDBDB"/>
          </w:tcPr>
          <w:p>
            <w:pPr>
              <w:spacing w:after="0"/>
              <w:rPr>
                <w:sz w:val="12"/>
                <w:szCs w:val="12"/>
                <w:color w:val="auto"/>
              </w:rPr>
            </w:pPr>
          </w:p>
        </w:tc>
        <w:tc>
          <w:tcPr>
            <w:tcW w:w="520" w:type="dxa"/>
            <w:vAlign w:val="bottom"/>
            <w:gridSpan w:val="2"/>
            <w:shd w:val="clear" w:color="auto" w:fill="DBDBDB"/>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5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6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1,104</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4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667</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6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1,450</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9"/>
                <w:szCs w:val="9"/>
                <w:color w:val="auto"/>
              </w:rPr>
              <w:t>31,244</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34,465</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17</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9"/>
                <w:szCs w:val="9"/>
                <w:color w:val="auto"/>
              </w:rPr>
              <w:t>34,482</w:t>
            </w:r>
          </w:p>
        </w:tc>
        <w:tc>
          <w:tcPr>
            <w:tcW w:w="0" w:type="dxa"/>
            <w:vAlign w:val="bottom"/>
          </w:tcPr>
          <w:p>
            <w:pPr>
              <w:spacing w:after="0"/>
              <w:rPr>
                <w:sz w:val="1"/>
                <w:szCs w:val="1"/>
                <w:color w:val="auto"/>
              </w:rPr>
            </w:pPr>
          </w:p>
        </w:tc>
      </w:tr>
      <w:tr>
        <w:trPr>
          <w:trHeight w:val="99"/>
        </w:trPr>
        <w:tc>
          <w:tcPr>
            <w:tcW w:w="2480" w:type="dxa"/>
            <w:vAlign w:val="bottom"/>
          </w:tcPr>
          <w:p>
            <w:pPr>
              <w:ind w:left="120"/>
              <w:spacing w:after="0" w:line="99" w:lineRule="exact"/>
              <w:rPr>
                <w:sz w:val="20"/>
                <w:szCs w:val="20"/>
                <w:color w:val="auto"/>
              </w:rPr>
            </w:pPr>
            <w:r>
              <w:rPr>
                <w:rFonts w:ascii="Arial" w:cs="Arial" w:eastAsia="Arial" w:hAnsi="Arial"/>
                <w:sz w:val="9"/>
                <w:szCs w:val="9"/>
                <w:color w:val="auto"/>
              </w:rPr>
              <w:t>Non-real estate (gains) losses, excluding realized gains or</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480" w:type="dxa"/>
            <w:vAlign w:val="bottom"/>
          </w:tcPr>
          <w:p>
            <w:pPr>
              <w:ind w:left="120"/>
              <w:spacing w:after="0"/>
              <w:rPr>
                <w:sz w:val="20"/>
                <w:szCs w:val="20"/>
                <w:color w:val="auto"/>
              </w:rPr>
            </w:pPr>
            <w:r>
              <w:rPr>
                <w:rFonts w:ascii="Arial" w:cs="Arial" w:eastAsia="Arial" w:hAnsi="Arial"/>
                <w:sz w:val="9"/>
                <w:szCs w:val="9"/>
                <w:color w:val="auto"/>
              </w:rPr>
              <w:t>losses within the Digital Other segment</w:t>
            </w: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(2,490)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(413)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(32,784)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80,113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12,700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5"/>
              <w:spacing w:after="0"/>
              <w:rPr>
                <w:sz w:val="20"/>
                <w:szCs w:val="20"/>
                <w:color w:val="auto"/>
              </w:rPr>
            </w:pPr>
            <w:r>
              <w:rPr>
                <w:rFonts w:ascii="Arial" w:cs="Arial" w:eastAsia="Arial" w:hAnsi="Arial"/>
                <w:sz w:val="9"/>
                <w:szCs w:val="9"/>
                <w:color w:val="auto"/>
              </w:rPr>
              <w:t>56,904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210,908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267,812</w:t>
            </w:r>
          </w:p>
        </w:tc>
        <w:tc>
          <w:tcPr>
            <w:tcW w:w="0" w:type="dxa"/>
            <w:vAlign w:val="bottom"/>
          </w:tcPr>
          <w:p>
            <w:pPr>
              <w:spacing w:after="0"/>
              <w:rPr>
                <w:sz w:val="1"/>
                <w:szCs w:val="1"/>
                <w:color w:val="auto"/>
              </w:rPr>
            </w:pPr>
          </w:p>
        </w:tc>
      </w:tr>
      <w:tr>
        <w:trPr>
          <w:trHeight w:val="140"/>
        </w:trPr>
        <w:tc>
          <w:tcPr>
            <w:tcW w:w="2480" w:type="dxa"/>
            <w:vAlign w:val="bottom"/>
            <w:shd w:val="clear" w:color="auto" w:fill="DBDBDB"/>
          </w:tcPr>
          <w:p>
            <w:pPr>
              <w:ind w:left="120"/>
              <w:spacing w:after="0"/>
              <w:rPr>
                <w:sz w:val="20"/>
                <w:szCs w:val="20"/>
                <w:color w:val="auto"/>
              </w:rPr>
            </w:pPr>
            <w:r>
              <w:rPr>
                <w:rFonts w:ascii="Arial" w:cs="Arial" w:eastAsia="Arial" w:hAnsi="Arial"/>
                <w:sz w:val="9"/>
                <w:szCs w:val="9"/>
                <w:color w:val="auto"/>
              </w:rPr>
              <w:t>Net unrealized carried interest</w:t>
            </w:r>
          </w:p>
        </w:tc>
        <w:tc>
          <w:tcPr>
            <w:tcW w:w="60" w:type="dxa"/>
            <w:vAlign w:val="bottom"/>
            <w:shd w:val="clear" w:color="auto" w:fill="DBDBDB"/>
          </w:tcPr>
          <w:p>
            <w:pPr>
              <w:spacing w:after="0"/>
              <w:rPr>
                <w:sz w:val="12"/>
                <w:szCs w:val="12"/>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9"/>
                <w:szCs w:val="9"/>
                <w:color w:val="auto"/>
              </w:rPr>
              <w:t>23</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DBDBDB"/>
          </w:tcPr>
          <w:p>
            <w:pPr>
              <w:spacing w:after="0"/>
              <w:rPr>
                <w:sz w:val="12"/>
                <w:szCs w:val="12"/>
                <w:color w:val="auto"/>
              </w:rPr>
            </w:pPr>
          </w:p>
        </w:tc>
        <w:tc>
          <w:tcPr>
            <w:tcW w:w="5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620" w:type="dxa"/>
            <w:vAlign w:val="bottom"/>
            <w:gridSpan w:val="2"/>
            <w:shd w:val="clear" w:color="auto" w:fill="DBDBDB"/>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23</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166</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9"/>
                <w:szCs w:val="9"/>
                <w:color w:val="auto"/>
              </w:rPr>
              <w:t>189</w:t>
            </w:r>
          </w:p>
        </w:tc>
        <w:tc>
          <w:tcPr>
            <w:tcW w:w="0" w:type="dxa"/>
            <w:vAlign w:val="bottom"/>
          </w:tcPr>
          <w:p>
            <w:pPr>
              <w:spacing w:after="0"/>
              <w:rPr>
                <w:sz w:val="1"/>
                <w:szCs w:val="1"/>
                <w:color w:val="auto"/>
              </w:rPr>
            </w:pPr>
          </w:p>
        </w:tc>
      </w:tr>
      <w:tr>
        <w:trPr>
          <w:trHeight w:val="99"/>
        </w:trPr>
        <w:tc>
          <w:tcPr>
            <w:tcW w:w="2480" w:type="dxa"/>
            <w:vAlign w:val="bottom"/>
          </w:tcPr>
          <w:p>
            <w:pPr>
              <w:ind w:left="120"/>
              <w:spacing w:after="0" w:line="99" w:lineRule="exact"/>
              <w:rPr>
                <w:sz w:val="20"/>
                <w:szCs w:val="20"/>
                <w:color w:val="auto"/>
              </w:rPr>
            </w:pPr>
            <w:r>
              <w:rPr>
                <w:rFonts w:ascii="Arial" w:cs="Arial" w:eastAsia="Arial" w:hAnsi="Arial"/>
                <w:sz w:val="9"/>
                <w:szCs w:val="9"/>
                <w:color w:val="auto"/>
              </w:rPr>
              <w:t>Deferred taxes and tax effect on certain of the foregoing</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480" w:type="dxa"/>
            <w:vAlign w:val="bottom"/>
          </w:tcPr>
          <w:p>
            <w:pPr>
              <w:ind w:left="120"/>
              <w:spacing w:after="0"/>
              <w:rPr>
                <w:sz w:val="20"/>
                <w:szCs w:val="20"/>
                <w:color w:val="auto"/>
              </w:rPr>
            </w:pPr>
            <w:r>
              <w:rPr>
                <w:rFonts w:ascii="Arial" w:cs="Arial" w:eastAsia="Arial" w:hAnsi="Arial"/>
                <w:sz w:val="9"/>
                <w:szCs w:val="9"/>
                <w:color w:val="auto"/>
              </w:rPr>
              <w:t>adjustments</w:t>
            </w: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(629)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(2,481)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(1,090)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(3,296)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(208)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(6,909)</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(9,431)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(24,044)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(10,436)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(34,480)</w:t>
            </w:r>
          </w:p>
        </w:tc>
        <w:tc>
          <w:tcPr>
            <w:tcW w:w="0" w:type="dxa"/>
            <w:vAlign w:val="bottom"/>
          </w:tcPr>
          <w:p>
            <w:pPr>
              <w:spacing w:after="0"/>
              <w:rPr>
                <w:sz w:val="1"/>
                <w:szCs w:val="1"/>
                <w:color w:val="auto"/>
              </w:rPr>
            </w:pPr>
          </w:p>
        </w:tc>
      </w:tr>
      <w:tr>
        <w:trPr>
          <w:trHeight w:val="104"/>
        </w:trPr>
        <w:tc>
          <w:tcPr>
            <w:tcW w:w="2480" w:type="dxa"/>
            <w:vAlign w:val="bottom"/>
            <w:shd w:val="clear" w:color="auto" w:fill="DBDBDB"/>
          </w:tcPr>
          <w:p>
            <w:pPr>
              <w:ind w:left="120"/>
              <w:spacing w:after="0"/>
              <w:rPr>
                <w:sz w:val="20"/>
                <w:szCs w:val="20"/>
                <w:color w:val="auto"/>
              </w:rPr>
            </w:pPr>
            <w:r>
              <w:rPr>
                <w:rFonts w:ascii="Arial" w:cs="Arial" w:eastAsia="Arial" w:hAnsi="Arial"/>
                <w:sz w:val="9"/>
                <w:szCs w:val="9"/>
                <w:color w:val="auto"/>
              </w:rPr>
              <w:t>Less: Adjustments attributable to noncontrolling interests</w:t>
            </w:r>
          </w:p>
        </w:tc>
        <w:tc>
          <w:tcPr>
            <w:tcW w:w="60" w:type="dxa"/>
            <w:vAlign w:val="bottom"/>
            <w:shd w:val="clear" w:color="auto" w:fill="DBDBDB"/>
          </w:tcPr>
          <w:p>
            <w:pPr>
              <w:spacing w:after="0"/>
              <w:rPr>
                <w:sz w:val="9"/>
                <w:szCs w:val="9"/>
                <w:color w:val="auto"/>
              </w:rPr>
            </w:pPr>
          </w:p>
        </w:tc>
        <w:tc>
          <w:tcPr>
            <w:tcW w:w="44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60" w:type="dxa"/>
            <w:vAlign w:val="bottom"/>
            <w:shd w:val="clear" w:color="auto" w:fill="DBDBDB"/>
          </w:tcPr>
          <w:p>
            <w:pPr>
              <w:spacing w:after="0"/>
              <w:rPr>
                <w:sz w:val="9"/>
                <w:szCs w:val="9"/>
                <w:color w:val="auto"/>
              </w:rPr>
            </w:pPr>
          </w:p>
        </w:tc>
        <w:tc>
          <w:tcPr>
            <w:tcW w:w="62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42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60" w:type="dxa"/>
            <w:vAlign w:val="bottom"/>
            <w:shd w:val="clear" w:color="auto" w:fill="DBDBDB"/>
          </w:tcPr>
          <w:p>
            <w:pPr>
              <w:spacing w:after="0"/>
              <w:rPr>
                <w:sz w:val="9"/>
                <w:szCs w:val="9"/>
                <w:color w:val="auto"/>
              </w:rPr>
            </w:pPr>
          </w:p>
        </w:tc>
        <w:tc>
          <w:tcPr>
            <w:tcW w:w="62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60" w:type="dxa"/>
            <w:vAlign w:val="bottom"/>
            <w:shd w:val="clear" w:color="auto" w:fill="DBDBDB"/>
          </w:tcPr>
          <w:p>
            <w:pPr>
              <w:spacing w:after="0"/>
              <w:rPr>
                <w:sz w:val="9"/>
                <w:szCs w:val="9"/>
                <w:color w:val="auto"/>
              </w:rPr>
            </w:pPr>
          </w:p>
        </w:tc>
        <w:tc>
          <w:tcPr>
            <w:tcW w:w="54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50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60" w:type="dxa"/>
            <w:vAlign w:val="bottom"/>
            <w:shd w:val="clear" w:color="auto" w:fill="DBDBDB"/>
          </w:tcPr>
          <w:p>
            <w:pPr>
              <w:spacing w:after="0"/>
              <w:rPr>
                <w:sz w:val="9"/>
                <w:szCs w:val="9"/>
                <w:color w:val="auto"/>
              </w:rPr>
            </w:pPr>
          </w:p>
        </w:tc>
        <w:tc>
          <w:tcPr>
            <w:tcW w:w="66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58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480" w:type="dxa"/>
            <w:vAlign w:val="bottom"/>
            <w:shd w:val="clear" w:color="auto" w:fill="DBDBDB"/>
          </w:tcPr>
          <w:p>
            <w:pPr>
              <w:ind w:left="120"/>
              <w:spacing w:after="0"/>
              <w:rPr>
                <w:sz w:val="20"/>
                <w:szCs w:val="20"/>
                <w:color w:val="auto"/>
              </w:rPr>
            </w:pPr>
            <w:r>
              <w:rPr>
                <w:rFonts w:ascii="Arial" w:cs="Arial" w:eastAsia="Arial" w:hAnsi="Arial"/>
                <w:sz w:val="9"/>
                <w:szCs w:val="9"/>
                <w:color w:val="auto"/>
              </w:rPr>
              <w:t>in investment entities</w:t>
            </w:r>
          </w:p>
        </w:tc>
        <w:tc>
          <w:tcPr>
            <w:tcW w:w="60" w:type="dxa"/>
            <w:vAlign w:val="bottom"/>
            <w:shd w:val="clear" w:color="auto" w:fill="DBDBDB"/>
          </w:tcPr>
          <w:p>
            <w:pPr>
              <w:spacing w:after="0"/>
              <w:rPr>
                <w:sz w:val="10"/>
                <w:szCs w:val="10"/>
                <w:color w:val="auto"/>
              </w:rPr>
            </w:pPr>
          </w:p>
        </w:tc>
        <w:tc>
          <w:tcPr>
            <w:tcW w:w="520" w:type="dxa"/>
            <w:vAlign w:val="bottom"/>
            <w:gridSpan w:val="2"/>
            <w:shd w:val="clear" w:color="auto" w:fill="DBDBDB"/>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0"/>
                <w:szCs w:val="10"/>
                <w:color w:val="auto"/>
              </w:rPr>
            </w:pPr>
          </w:p>
        </w:tc>
        <w:tc>
          <w:tcPr>
            <w:tcW w:w="5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0"/>
                <w:szCs w:val="10"/>
                <w:color w:val="auto"/>
              </w:rPr>
            </w:pP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0"/>
                <w:szCs w:val="10"/>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DBDBDB"/>
          </w:tcPr>
          <w:p>
            <w:pPr>
              <w:spacing w:after="0"/>
              <w:rPr>
                <w:sz w:val="10"/>
                <w:szCs w:val="10"/>
                <w:color w:val="auto"/>
              </w:rPr>
            </w:pPr>
          </w:p>
        </w:tc>
        <w:tc>
          <w:tcPr>
            <w:tcW w:w="5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0"/>
                <w:szCs w:val="10"/>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0"/>
                <w:szCs w:val="10"/>
                <w:color w:val="auto"/>
              </w:rPr>
            </w:pPr>
          </w:p>
        </w:tc>
        <w:tc>
          <w:tcPr>
            <w:tcW w:w="620" w:type="dxa"/>
            <w:vAlign w:val="bottom"/>
            <w:gridSpan w:val="2"/>
            <w:shd w:val="clear" w:color="auto" w:fill="DBDBDB"/>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0"/>
                <w:szCs w:val="10"/>
                <w:color w:val="auto"/>
              </w:rPr>
            </w:pPr>
          </w:p>
        </w:tc>
        <w:tc>
          <w:tcPr>
            <w:tcW w:w="50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9"/>
                <w:szCs w:val="9"/>
                <w:color w:val="auto"/>
              </w:rPr>
              <w:t>(217,706)</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9"/>
                <w:szCs w:val="9"/>
                <w:color w:val="auto"/>
              </w:rPr>
              <w:t>(217,706)</w:t>
            </w:r>
          </w:p>
        </w:tc>
        <w:tc>
          <w:tcPr>
            <w:tcW w:w="0" w:type="dxa"/>
            <w:vAlign w:val="bottom"/>
          </w:tcPr>
          <w:p>
            <w:pPr>
              <w:spacing w:after="0"/>
              <w:rPr>
                <w:sz w:val="1"/>
                <w:szCs w:val="1"/>
                <w:color w:val="auto"/>
              </w:rPr>
            </w:pPr>
          </w:p>
        </w:tc>
      </w:tr>
      <w:tr>
        <w:trPr>
          <w:trHeight w:val="130"/>
        </w:trPr>
        <w:tc>
          <w:tcPr>
            <w:tcW w:w="2480" w:type="dxa"/>
            <w:vAlign w:val="bottom"/>
            <w:tcBorders>
              <w:bottom w:val="single" w:sz="8" w:color="DBDBDB"/>
            </w:tcBorders>
          </w:tcPr>
          <w:p>
            <w:pPr>
              <w:ind w:left="120"/>
              <w:spacing w:after="0"/>
              <w:rPr>
                <w:sz w:val="20"/>
                <w:szCs w:val="20"/>
                <w:color w:val="auto"/>
              </w:rPr>
            </w:pPr>
            <w:r>
              <w:rPr>
                <w:rFonts w:ascii="Arial" w:cs="Arial" w:eastAsia="Arial" w:hAnsi="Arial"/>
                <w:sz w:val="9"/>
                <w:szCs w:val="9"/>
                <w:color w:val="auto"/>
              </w:rPr>
              <w:t>Less: Core FFO from discontinued operations</w:t>
            </w: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17,854</w:t>
            </w:r>
          </w:p>
        </w:tc>
        <w:tc>
          <w:tcPr>
            <w:tcW w:w="80" w:type="dxa"/>
            <w:vAlign w:val="bottom"/>
            <w:tcBorders>
              <w:bottom w:val="single" w:sz="8" w:color="DBDBDB"/>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17,854</w:t>
            </w:r>
          </w:p>
        </w:tc>
        <w:tc>
          <w:tcPr>
            <w:tcW w:w="80" w:type="dxa"/>
            <w:vAlign w:val="bottom"/>
            <w:tcBorders>
              <w:bottom w:val="single" w:sz="8" w:color="DBDBDB"/>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17,854</w:t>
            </w:r>
          </w:p>
        </w:tc>
        <w:tc>
          <w:tcPr>
            <w:tcW w:w="0" w:type="dxa"/>
            <w:vAlign w:val="bottom"/>
          </w:tcPr>
          <w:p>
            <w:pPr>
              <w:spacing w:after="0"/>
              <w:rPr>
                <w:sz w:val="1"/>
                <w:szCs w:val="1"/>
                <w:color w:val="auto"/>
              </w:rPr>
            </w:pPr>
          </w:p>
        </w:tc>
      </w:tr>
      <w:tr>
        <w:trPr>
          <w:trHeight w:val="120"/>
        </w:trPr>
        <w:tc>
          <w:tcPr>
            <w:tcW w:w="2480" w:type="dxa"/>
            <w:vAlign w:val="bottom"/>
            <w:shd w:val="clear" w:color="auto" w:fill="DBDBDB"/>
          </w:tcPr>
          <w:p>
            <w:pPr>
              <w:ind w:left="20"/>
              <w:spacing w:after="0"/>
              <w:rPr>
                <w:sz w:val="20"/>
                <w:szCs w:val="20"/>
                <w:color w:val="auto"/>
              </w:rPr>
            </w:pPr>
            <w:r>
              <w:rPr>
                <w:rFonts w:ascii="Arial" w:cs="Arial" w:eastAsia="Arial" w:hAnsi="Arial"/>
                <w:sz w:val="9"/>
                <w:szCs w:val="9"/>
                <w:b w:val="1"/>
                <w:bCs w:val="1"/>
                <w:color w:val="auto"/>
              </w:rPr>
              <w:t>Core FFO</w:t>
            </w: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9"/>
                <w:szCs w:val="9"/>
                <w:color w:val="auto"/>
              </w:rPr>
              <w:t>6,568</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8,992</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785</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19,227</w:t>
            </w:r>
          </w:p>
        </w:tc>
        <w:tc>
          <w:tcPr>
            <w:tcW w:w="80" w:type="dxa"/>
            <w:vAlign w:val="bottom"/>
            <w:shd w:val="clear" w:color="auto" w:fill="DBDBDB"/>
          </w:tcPr>
          <w:p>
            <w:pPr>
              <w:spacing w:after="0"/>
              <w:rPr>
                <w:sz w:val="10"/>
                <w:szCs w:val="1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5,002</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9"/>
                <w:szCs w:val="9"/>
                <w:color w:val="auto"/>
              </w:rPr>
              <w:t>(36,517)</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4,057</w:t>
            </w:r>
          </w:p>
        </w:tc>
        <w:tc>
          <w:tcPr>
            <w:tcW w:w="140" w:type="dxa"/>
            <w:vAlign w:val="bottom"/>
            <w:gridSpan w:val="2"/>
            <w:shd w:val="clear" w:color="auto" w:fill="DBDBDB"/>
          </w:tcPr>
          <w:p>
            <w:pPr>
              <w:jc w:val="right"/>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9"/>
                <w:szCs w:val="9"/>
                <w:color w:val="auto"/>
              </w:rPr>
              <w:t>4,057</w:t>
            </w:r>
          </w:p>
        </w:tc>
        <w:tc>
          <w:tcPr>
            <w:tcW w:w="0" w:type="dxa"/>
            <w:vAlign w:val="bottom"/>
          </w:tcPr>
          <w:p>
            <w:pPr>
              <w:spacing w:after="0"/>
              <w:rPr>
                <w:sz w:val="1"/>
                <w:szCs w:val="1"/>
                <w:color w:val="auto"/>
              </w:rPr>
            </w:pPr>
          </w:p>
        </w:tc>
      </w:tr>
      <w:tr>
        <w:trPr>
          <w:trHeight w:val="130"/>
        </w:trPr>
        <w:tc>
          <w:tcPr>
            <w:tcW w:w="2480" w:type="dxa"/>
            <w:vAlign w:val="bottom"/>
          </w:tcPr>
          <w:p>
            <w:pPr>
              <w:ind w:left="120"/>
              <w:spacing w:after="0"/>
              <w:rPr>
                <w:sz w:val="20"/>
                <w:szCs w:val="20"/>
                <w:color w:val="auto"/>
              </w:rPr>
            </w:pPr>
            <w:r>
              <w:rPr>
                <w:rFonts w:ascii="Arial" w:cs="Arial" w:eastAsia="Arial" w:hAnsi="Arial"/>
                <w:sz w:val="9"/>
                <w:szCs w:val="9"/>
                <w:color w:val="auto"/>
              </w:rPr>
              <w:t>Less: Earnings of equity method investments</w:t>
            </w:r>
          </w:p>
        </w:tc>
        <w:tc>
          <w:tcPr>
            <w:tcW w:w="6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(4,794)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(4,794)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80" w:type="dxa"/>
            <w:vAlign w:val="bottom"/>
            <w:shd w:val="clear" w:color="auto" w:fill="DBDBDB"/>
          </w:tcPr>
          <w:p>
            <w:pPr>
              <w:ind w:left="120"/>
              <w:spacing w:after="0"/>
              <w:rPr>
                <w:sz w:val="20"/>
                <w:szCs w:val="20"/>
                <w:color w:val="auto"/>
              </w:rPr>
            </w:pPr>
            <w:r>
              <w:rPr>
                <w:rFonts w:ascii="Arial" w:cs="Arial" w:eastAsia="Arial" w:hAnsi="Arial"/>
                <w:sz w:val="9"/>
                <w:szCs w:val="9"/>
                <w:color w:val="auto"/>
              </w:rPr>
              <w:t>Plus: Preferred dividends</w:t>
            </w:r>
          </w:p>
        </w:tc>
        <w:tc>
          <w:tcPr>
            <w:tcW w:w="60" w:type="dxa"/>
            <w:vAlign w:val="bottom"/>
            <w:shd w:val="clear" w:color="auto" w:fill="DBDBDB"/>
          </w:tcPr>
          <w:p>
            <w:pPr>
              <w:spacing w:after="0"/>
              <w:rPr>
                <w:sz w:val="12"/>
                <w:szCs w:val="12"/>
                <w:color w:val="auto"/>
              </w:rPr>
            </w:pPr>
          </w:p>
        </w:tc>
        <w:tc>
          <w:tcPr>
            <w:tcW w:w="520" w:type="dxa"/>
            <w:vAlign w:val="bottom"/>
            <w:gridSpan w:val="2"/>
            <w:shd w:val="clear" w:color="auto" w:fill="DBDBDB"/>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5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DBDBDB"/>
          </w:tcPr>
          <w:p>
            <w:pPr>
              <w:spacing w:after="0"/>
              <w:rPr>
                <w:sz w:val="12"/>
                <w:szCs w:val="12"/>
                <w:color w:val="auto"/>
              </w:rPr>
            </w:pPr>
          </w:p>
        </w:tc>
        <w:tc>
          <w:tcPr>
            <w:tcW w:w="5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9"/>
                <w:szCs w:val="9"/>
                <w:color w:val="auto"/>
              </w:rPr>
              <w:t>18,516</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18,516</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80" w:type="dxa"/>
            <w:vAlign w:val="bottom"/>
          </w:tcPr>
          <w:p>
            <w:pPr>
              <w:ind w:left="120"/>
              <w:spacing w:after="0"/>
              <w:rPr>
                <w:sz w:val="20"/>
                <w:szCs w:val="20"/>
                <w:color w:val="auto"/>
              </w:rPr>
            </w:pPr>
            <w:r>
              <w:rPr>
                <w:rFonts w:ascii="Arial" w:cs="Arial" w:eastAsia="Arial" w:hAnsi="Arial"/>
                <w:sz w:val="9"/>
                <w:szCs w:val="9"/>
                <w:color w:val="auto"/>
              </w:rPr>
              <w:t>Plus: Core interest expense</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15"/>
              <w:spacing w:after="0"/>
              <w:rPr>
                <w:sz w:val="20"/>
                <w:szCs w:val="20"/>
                <w:color w:val="auto"/>
              </w:rPr>
            </w:pPr>
            <w:r>
              <w:rPr>
                <w:rFonts w:ascii="Arial" w:cs="Arial" w:eastAsia="Arial" w:hAnsi="Arial"/>
                <w:sz w:val="9"/>
                <w:szCs w:val="9"/>
                <w:color w:val="auto"/>
              </w:rPr>
              <w:t>4,922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ind w:right="15"/>
              <w:spacing w:after="0"/>
              <w:rPr>
                <w:sz w:val="20"/>
                <w:szCs w:val="20"/>
                <w:color w:val="auto"/>
              </w:rPr>
            </w:pPr>
            <w:r>
              <w:rPr>
                <w:rFonts w:ascii="Arial" w:cs="Arial" w:eastAsia="Arial" w:hAnsi="Arial"/>
                <w:sz w:val="9"/>
                <w:szCs w:val="9"/>
                <w:color w:val="auto"/>
              </w:rPr>
              <w:t>35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21,964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7,426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5"/>
              <w:spacing w:after="0"/>
              <w:rPr>
                <w:sz w:val="20"/>
                <w:szCs w:val="20"/>
                <w:color w:val="auto"/>
              </w:rPr>
            </w:pPr>
            <w:r>
              <w:rPr>
                <w:rFonts w:ascii="Arial" w:cs="Arial" w:eastAsia="Arial" w:hAnsi="Arial"/>
                <w:sz w:val="9"/>
                <w:szCs w:val="9"/>
                <w:color w:val="auto"/>
              </w:rPr>
              <w:t>34,351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80" w:type="dxa"/>
            <w:vAlign w:val="bottom"/>
            <w:shd w:val="clear" w:color="auto" w:fill="DBDBDB"/>
          </w:tcPr>
          <w:p>
            <w:pPr>
              <w:ind w:left="120"/>
              <w:spacing w:after="0"/>
              <w:rPr>
                <w:sz w:val="20"/>
                <w:szCs w:val="20"/>
                <w:color w:val="auto"/>
              </w:rPr>
            </w:pPr>
            <w:r>
              <w:rPr>
                <w:rFonts w:ascii="Arial" w:cs="Arial" w:eastAsia="Arial" w:hAnsi="Arial"/>
                <w:sz w:val="9"/>
                <w:szCs w:val="9"/>
                <w:color w:val="auto"/>
              </w:rPr>
              <w:t>Plus: Core tax expense</w:t>
            </w:r>
          </w:p>
        </w:tc>
        <w:tc>
          <w:tcPr>
            <w:tcW w:w="60" w:type="dxa"/>
            <w:vAlign w:val="bottom"/>
            <w:shd w:val="clear" w:color="auto" w:fill="DBDBDB"/>
          </w:tcPr>
          <w:p>
            <w:pPr>
              <w:spacing w:after="0"/>
              <w:rPr>
                <w:sz w:val="12"/>
                <w:szCs w:val="12"/>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9"/>
                <w:szCs w:val="9"/>
                <w:color w:val="auto"/>
              </w:rPr>
              <w:t>3,199</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4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27</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6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1,873</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9"/>
                <w:szCs w:val="9"/>
                <w:color w:val="auto"/>
              </w:rPr>
              <w:t>(3,051)</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2,048</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80" w:type="dxa"/>
            <w:vAlign w:val="bottom"/>
          </w:tcPr>
          <w:p>
            <w:pPr>
              <w:ind w:left="120"/>
              <w:spacing w:after="0"/>
              <w:rPr>
                <w:sz w:val="20"/>
                <w:szCs w:val="20"/>
                <w:color w:val="auto"/>
              </w:rPr>
            </w:pPr>
            <w:r>
              <w:rPr>
                <w:rFonts w:ascii="Arial" w:cs="Arial" w:eastAsia="Arial" w:hAnsi="Arial"/>
                <w:sz w:val="9"/>
                <w:szCs w:val="9"/>
                <w:color w:val="auto"/>
              </w:rPr>
              <w:t>Plus: Non pro-rata allocation of income (loss) to NCI</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1,214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tcPr>
          <w:p>
            <w:pPr>
              <w:jc w:val="right"/>
              <w:ind w:right="15"/>
              <w:spacing w:after="0"/>
              <w:rPr>
                <w:sz w:val="20"/>
                <w:szCs w:val="20"/>
                <w:color w:val="auto"/>
              </w:rPr>
            </w:pPr>
            <w:r>
              <w:rPr>
                <w:rFonts w:ascii="Arial" w:cs="Arial" w:eastAsia="Arial" w:hAnsi="Arial"/>
                <w:sz w:val="9"/>
                <w:szCs w:val="9"/>
                <w:color w:val="auto"/>
              </w:rPr>
              <w:t>1,415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80" w:type="dxa"/>
            <w:vAlign w:val="bottom"/>
            <w:shd w:val="clear" w:color="auto" w:fill="DBDBDB"/>
          </w:tcPr>
          <w:p>
            <w:pPr>
              <w:ind w:left="120"/>
              <w:spacing w:after="0"/>
              <w:rPr>
                <w:sz w:val="20"/>
                <w:szCs w:val="20"/>
                <w:color w:val="auto"/>
              </w:rPr>
            </w:pPr>
            <w:r>
              <w:rPr>
                <w:rFonts w:ascii="Arial" w:cs="Arial" w:eastAsia="Arial" w:hAnsi="Arial"/>
                <w:sz w:val="9"/>
                <w:szCs w:val="9"/>
                <w:color w:val="auto"/>
              </w:rPr>
              <w:t>Plus: Placement fees</w:t>
            </w:r>
          </w:p>
        </w:tc>
        <w:tc>
          <w:tcPr>
            <w:tcW w:w="60" w:type="dxa"/>
            <w:vAlign w:val="bottom"/>
            <w:shd w:val="clear" w:color="auto" w:fill="DBDBDB"/>
          </w:tcPr>
          <w:p>
            <w:pPr>
              <w:spacing w:after="0"/>
              <w:rPr>
                <w:sz w:val="12"/>
                <w:szCs w:val="12"/>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9"/>
                <w:szCs w:val="9"/>
                <w:color w:val="auto"/>
              </w:rPr>
              <w:t>40</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DBDBDB"/>
          </w:tcPr>
          <w:p>
            <w:pPr>
              <w:spacing w:after="0"/>
              <w:rPr>
                <w:sz w:val="12"/>
                <w:szCs w:val="12"/>
                <w:color w:val="auto"/>
              </w:rPr>
            </w:pPr>
          </w:p>
        </w:tc>
        <w:tc>
          <w:tcPr>
            <w:tcW w:w="5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spacing w:after="0"/>
              <w:rPr>
                <w:sz w:val="12"/>
                <w:szCs w:val="12"/>
                <w:color w:val="auto"/>
              </w:rPr>
            </w:pPr>
          </w:p>
        </w:tc>
        <w:tc>
          <w:tcPr>
            <w:tcW w:w="620" w:type="dxa"/>
            <w:vAlign w:val="bottom"/>
            <w:gridSpan w:val="2"/>
            <w:shd w:val="clear" w:color="auto" w:fill="DBDBDB"/>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40</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480" w:type="dxa"/>
            <w:vAlign w:val="bottom"/>
          </w:tcPr>
          <w:p>
            <w:pPr>
              <w:ind w:left="120"/>
              <w:spacing w:after="0" w:line="99" w:lineRule="exact"/>
              <w:rPr>
                <w:sz w:val="20"/>
                <w:szCs w:val="20"/>
                <w:color w:val="auto"/>
              </w:rPr>
            </w:pPr>
            <w:r>
              <w:rPr>
                <w:rFonts w:ascii="Arial" w:cs="Arial" w:eastAsia="Arial" w:hAnsi="Arial"/>
                <w:sz w:val="9"/>
                <w:szCs w:val="9"/>
                <w:color w:val="auto"/>
              </w:rPr>
              <w:t>Digital Operating installation services, restructuring,</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480" w:type="dxa"/>
            <w:vAlign w:val="bottom"/>
            <w:tcBorders>
              <w:bottom w:val="single" w:sz="8" w:color="DBDBDB"/>
            </w:tcBorders>
          </w:tcPr>
          <w:p>
            <w:pPr>
              <w:ind w:left="120"/>
              <w:spacing w:after="0"/>
              <w:rPr>
                <w:sz w:val="20"/>
                <w:szCs w:val="20"/>
                <w:color w:val="auto"/>
              </w:rPr>
            </w:pPr>
            <w:r>
              <w:rPr>
                <w:rFonts w:ascii="Arial" w:cs="Arial" w:eastAsia="Arial" w:hAnsi="Arial"/>
                <w:sz w:val="9"/>
                <w:szCs w:val="9"/>
                <w:color w:val="auto"/>
              </w:rPr>
              <w:t>integration, and transaction costs</w:t>
            </w: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499</w:t>
            </w:r>
          </w:p>
        </w:tc>
        <w:tc>
          <w:tcPr>
            <w:tcW w:w="80" w:type="dxa"/>
            <w:vAlign w:val="bottom"/>
            <w:tcBorders>
              <w:bottom w:val="single" w:sz="8" w:color="DBDBDB"/>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DBDBDB"/>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499</w:t>
            </w:r>
          </w:p>
        </w:tc>
        <w:tc>
          <w:tcPr>
            <w:tcW w:w="80" w:type="dxa"/>
            <w:vAlign w:val="bottom"/>
            <w:tcBorders>
              <w:bottom w:val="single" w:sz="8" w:color="DBDBDB"/>
            </w:tcBorders>
          </w:tcPr>
          <w:p>
            <w:pPr>
              <w:spacing w:after="0"/>
              <w:rPr>
                <w:sz w:val="9"/>
                <w:szCs w:val="9"/>
                <w:color w:val="auto"/>
              </w:rPr>
            </w:pPr>
          </w:p>
        </w:tc>
        <w:tc>
          <w:tcPr>
            <w:tcW w:w="60" w:type="dxa"/>
            <w:vAlign w:val="bottom"/>
            <w:tcBorders>
              <w:bottom w:val="single" w:sz="8" w:color="DBDBDB"/>
            </w:tcBorders>
          </w:tcPr>
          <w:p>
            <w:pPr>
              <w:spacing w:after="0"/>
              <w:rPr>
                <w:sz w:val="9"/>
                <w:szCs w:val="9"/>
                <w:color w:val="auto"/>
              </w:rPr>
            </w:pPr>
          </w:p>
        </w:tc>
        <w:tc>
          <w:tcPr>
            <w:tcW w:w="660" w:type="dxa"/>
            <w:vAlign w:val="bottom"/>
            <w:tcBorders>
              <w:bottom w:val="single" w:sz="8" w:color="DBDBDB"/>
            </w:tcBorders>
          </w:tcPr>
          <w:p>
            <w:pPr>
              <w:spacing w:after="0"/>
              <w:rPr>
                <w:sz w:val="9"/>
                <w:szCs w:val="9"/>
                <w:color w:val="auto"/>
              </w:rPr>
            </w:pPr>
          </w:p>
        </w:tc>
        <w:tc>
          <w:tcPr>
            <w:tcW w:w="80" w:type="dxa"/>
            <w:vAlign w:val="bottom"/>
            <w:tcBorders>
              <w:bottom w:val="single" w:sz="8" w:color="DBDBDB"/>
            </w:tcBorders>
          </w:tcPr>
          <w:p>
            <w:pPr>
              <w:spacing w:after="0"/>
              <w:rPr>
                <w:sz w:val="9"/>
                <w:szCs w:val="9"/>
                <w:color w:val="auto"/>
              </w:rPr>
            </w:pPr>
          </w:p>
        </w:tc>
        <w:tc>
          <w:tcPr>
            <w:tcW w:w="80" w:type="dxa"/>
            <w:vAlign w:val="bottom"/>
            <w:tcBorders>
              <w:bottom w:val="single" w:sz="8" w:color="DBDBDB"/>
            </w:tcBorders>
          </w:tcPr>
          <w:p>
            <w:pPr>
              <w:spacing w:after="0"/>
              <w:rPr>
                <w:sz w:val="9"/>
                <w:szCs w:val="9"/>
                <w:color w:val="auto"/>
              </w:rPr>
            </w:pPr>
          </w:p>
        </w:tc>
        <w:tc>
          <w:tcPr>
            <w:tcW w:w="580" w:type="dxa"/>
            <w:vAlign w:val="bottom"/>
            <w:tcBorders>
              <w:bottom w:val="single" w:sz="8" w:color="DBDBDB"/>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480" w:type="dxa"/>
            <w:vAlign w:val="bottom"/>
            <w:shd w:val="clear" w:color="auto" w:fill="DBDBDB"/>
          </w:tcPr>
          <w:p>
            <w:pPr>
              <w:ind w:left="20"/>
              <w:spacing w:after="0"/>
              <w:rPr>
                <w:sz w:val="20"/>
                <w:szCs w:val="20"/>
                <w:color w:val="auto"/>
              </w:rPr>
            </w:pPr>
            <w:r>
              <w:rPr>
                <w:rFonts w:ascii="Arial" w:cs="Arial" w:eastAsia="Arial" w:hAnsi="Arial"/>
                <w:sz w:val="9"/>
                <w:szCs w:val="9"/>
                <w:b w:val="1"/>
                <w:bCs w:val="1"/>
                <w:color w:val="auto"/>
              </w:rPr>
              <w:t>Adjusted EBITDA (CLNY OP Share)</w:t>
            </w: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9"/>
                <w:szCs w:val="9"/>
                <w:color w:val="auto"/>
              </w:rPr>
              <w:t>10,012</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14,440</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820</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44,278</w:t>
            </w:r>
          </w:p>
        </w:tc>
        <w:tc>
          <w:tcPr>
            <w:tcW w:w="80" w:type="dxa"/>
            <w:vAlign w:val="bottom"/>
            <w:shd w:val="clear" w:color="auto" w:fill="DBDBDB"/>
          </w:tcPr>
          <w:p>
            <w:pPr>
              <w:spacing w:after="0"/>
              <w:rPr>
                <w:sz w:val="10"/>
                <w:szCs w:val="1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208</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DBDBDB"/>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9"/>
                <w:szCs w:val="9"/>
                <w:color w:val="auto"/>
              </w:rPr>
              <w:t>(13,626)</w:t>
            </w: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DBDBDB"/>
          </w:tcPr>
          <w:p>
            <w:pPr>
              <w:jc w:val="right"/>
              <w:ind w:right="15"/>
              <w:spacing w:after="0"/>
              <w:rPr>
                <w:sz w:val="20"/>
                <w:szCs w:val="20"/>
                <w:color w:val="auto"/>
              </w:rPr>
            </w:pPr>
            <w:r>
              <w:rPr>
                <w:rFonts w:ascii="Arial" w:cs="Arial" w:eastAsia="Arial" w:hAnsi="Arial"/>
                <w:sz w:val="9"/>
                <w:szCs w:val="9"/>
                <w:color w:val="auto"/>
              </w:rPr>
              <w:t>56,132</w:t>
            </w:r>
          </w:p>
        </w:tc>
        <w:tc>
          <w:tcPr>
            <w:tcW w:w="8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6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7" w:lineRule="exact"/>
        <w:rPr>
          <w:sz w:val="20"/>
          <w:szCs w:val="20"/>
          <w:color w:val="auto"/>
        </w:rPr>
      </w:pPr>
    </w:p>
    <w:p>
      <w:pPr>
        <w:ind w:left="208" w:right="20" w:hanging="208"/>
        <w:spacing w:after="0" w:line="279" w:lineRule="auto"/>
        <w:tabs>
          <w:tab w:leader="none" w:pos="207" w:val="left"/>
        </w:tabs>
        <w:numPr>
          <w:ilvl w:val="0"/>
          <w:numId w:val="20"/>
        </w:numPr>
        <w:rPr>
          <w:rFonts w:ascii="Arial" w:cs="Arial" w:eastAsia="Arial" w:hAnsi="Arial"/>
          <w:sz w:val="8"/>
          <w:szCs w:val="8"/>
          <w:color w:val="424242"/>
        </w:rPr>
      </w:pPr>
      <w:r>
        <w:rPr>
          <w:rFonts w:ascii="Arial" w:cs="Arial" w:eastAsia="Arial" w:hAnsi="Arial"/>
          <w:sz w:val="8"/>
          <w:szCs w:val="8"/>
          <w:color w:val="424242"/>
        </w:rPr>
        <w:t>Restructuring and non-recurring items primarily represent costs and charges incurred as a result of corporate restructuring and reorganization to implement the digital evolution. These costs and charges include severance, retention, relocation, transition, shareholder settlement and other related restructuring costs, which are not reflective of the Company’s core operating performance.</w:t>
      </w:r>
    </w:p>
    <w:p>
      <w:pPr>
        <w:spacing w:after="0" w:line="25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13</w:t>
            </w:r>
          </w:p>
        </w:tc>
      </w:tr>
    </w:tbl>
    <w:p>
      <w:pPr>
        <w:sectPr>
          <w:pgSz w:w="11900" w:h="16838" w:orient="portrait"/>
          <w:cols w:equalWidth="0" w:num="1">
            <w:col w:w="11308"/>
          </w:cols>
          <w:pgMar w:left="292" w:top="158" w:right="299" w:bottom="1440" w:gutter="0" w:footer="0" w:header="0"/>
        </w:sectPr>
      </w:pPr>
    </w:p>
    <w:bookmarkStart w:id="28" w:name="page29"/>
    <w:bookmarkEnd w:id="28"/>
    <w:p>
      <w:pPr>
        <w:ind w:left="8"/>
        <w:spacing w:after="0"/>
        <w:rPr>
          <w:sz w:val="20"/>
          <w:szCs w:val="20"/>
          <w:color w:val="auto"/>
        </w:rPr>
      </w:pPr>
      <w:r>
        <w:rPr>
          <w:rFonts w:ascii="Arial" w:cs="Arial" w:eastAsia="Arial" w:hAnsi="Arial"/>
          <w:sz w:val="29"/>
          <w:szCs w:val="29"/>
          <w:color w:val="auto"/>
        </w:rPr>
        <w:t>IIIa. Capitalization -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060" w:type="dxa"/>
            <w:vAlign w:val="bottom"/>
            <w:gridSpan w:val="4"/>
            <w:vMerge w:val="restart"/>
          </w:tcPr>
          <w:p>
            <w:pPr>
              <w:spacing w:after="0"/>
              <w:rPr>
                <w:sz w:val="20"/>
                <w:szCs w:val="20"/>
                <w:color w:val="auto"/>
              </w:rPr>
            </w:pPr>
            <w:r>
              <w:rPr>
                <w:rFonts w:ascii="Arial" w:cs="Arial" w:eastAsia="Arial" w:hAnsi="Arial"/>
                <w:sz w:val="11"/>
                <w:szCs w:val="11"/>
                <w:i w:val="1"/>
                <w:iCs w:val="1"/>
                <w:color w:val="auto"/>
                <w:w w:val="99"/>
              </w:rPr>
              <w:t>($ in thousands; as of March 31, 2021, unless otherwise noted)</w:t>
            </w:r>
          </w:p>
        </w:tc>
        <w:tc>
          <w:tcPr>
            <w:tcW w:w="12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Consolidated amount</w:t>
            </w:r>
          </w:p>
        </w:tc>
        <w:tc>
          <w:tcPr>
            <w:tcW w:w="100" w:type="dxa"/>
            <w:vAlign w:val="bottom"/>
          </w:tcPr>
          <w:p>
            <w:pPr>
              <w:spacing w:after="0"/>
              <w:rPr>
                <w:sz w:val="10"/>
                <w:szCs w:val="10"/>
                <w:color w:val="auto"/>
              </w:rPr>
            </w:pPr>
          </w:p>
        </w:tc>
        <w:tc>
          <w:tcPr>
            <w:tcW w:w="1220" w:type="dxa"/>
            <w:vAlign w:val="bottom"/>
          </w:tcPr>
          <w:p>
            <w:pPr>
              <w:jc w:val="right"/>
              <w:ind w:right="161"/>
              <w:spacing w:after="0"/>
              <w:rPr>
                <w:sz w:val="20"/>
                <w:szCs w:val="20"/>
                <w:color w:val="auto"/>
              </w:rPr>
            </w:pPr>
            <w:r>
              <w:rPr>
                <w:rFonts w:ascii="Arial" w:cs="Arial" w:eastAsia="Arial" w:hAnsi="Arial"/>
                <w:sz w:val="11"/>
                <w:szCs w:val="11"/>
                <w:b w:val="1"/>
                <w:bCs w:val="1"/>
                <w:color w:val="auto"/>
              </w:rPr>
              <w:t>CLNY OP share of</w:t>
            </w:r>
          </w:p>
        </w:tc>
        <w:tc>
          <w:tcPr>
            <w:tcW w:w="1460" w:type="dxa"/>
            <w:vAlign w:val="bottom"/>
          </w:tcPr>
          <w:p>
            <w:pPr>
              <w:jc w:val="right"/>
              <w:ind w:right="261"/>
              <w:spacing w:after="0"/>
              <w:rPr>
                <w:sz w:val="20"/>
                <w:szCs w:val="20"/>
                <w:color w:val="auto"/>
              </w:rPr>
            </w:pPr>
            <w:r>
              <w:rPr>
                <w:rFonts w:ascii="Arial" w:cs="Arial" w:eastAsia="Arial" w:hAnsi="Arial"/>
                <w:sz w:val="11"/>
                <w:szCs w:val="11"/>
                <w:b w:val="1"/>
                <w:bCs w:val="1"/>
                <w:color w:val="auto"/>
              </w:rPr>
              <w:t>Wtd. avg. years</w:t>
            </w:r>
          </w:p>
        </w:tc>
        <w:tc>
          <w:tcPr>
            <w:tcW w:w="1200" w:type="dxa"/>
            <w:vAlign w:val="bottom"/>
          </w:tcPr>
          <w:p>
            <w:pPr>
              <w:jc w:val="right"/>
              <w:ind w:right="181"/>
              <w:spacing w:after="0"/>
              <w:rPr>
                <w:sz w:val="20"/>
                <w:szCs w:val="20"/>
                <w:color w:val="auto"/>
              </w:rPr>
            </w:pPr>
            <w:r>
              <w:rPr>
                <w:rFonts w:ascii="Arial" w:cs="Arial" w:eastAsia="Arial" w:hAnsi="Arial"/>
                <w:sz w:val="11"/>
                <w:szCs w:val="11"/>
                <w:b w:val="1"/>
                <w:bCs w:val="1"/>
                <w:color w:val="auto"/>
              </w:rPr>
              <w:t>Wtd. avg. interest</w:t>
            </w:r>
          </w:p>
        </w:tc>
        <w:tc>
          <w:tcPr>
            <w:tcW w:w="0" w:type="dxa"/>
            <w:vAlign w:val="bottom"/>
          </w:tcPr>
          <w:p>
            <w:pPr>
              <w:spacing w:after="0"/>
              <w:rPr>
                <w:sz w:val="1"/>
                <w:szCs w:val="1"/>
                <w:color w:val="auto"/>
              </w:rPr>
            </w:pPr>
          </w:p>
        </w:tc>
      </w:tr>
      <w:tr>
        <w:trPr>
          <w:trHeight w:val="144"/>
        </w:trPr>
        <w:tc>
          <w:tcPr>
            <w:tcW w:w="3060" w:type="dxa"/>
            <w:vAlign w:val="bottom"/>
            <w:gridSpan w:val="4"/>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61"/>
              <w:spacing w:after="0"/>
              <w:rPr>
                <w:sz w:val="20"/>
                <w:szCs w:val="20"/>
                <w:color w:val="auto"/>
              </w:rPr>
            </w:pPr>
            <w:r>
              <w:rPr>
                <w:rFonts w:ascii="Arial" w:cs="Arial" w:eastAsia="Arial" w:hAnsi="Arial"/>
                <w:sz w:val="11"/>
                <w:szCs w:val="11"/>
                <w:b w:val="1"/>
                <w:bCs w:val="1"/>
                <w:color w:val="auto"/>
                <w:w w:val="97"/>
              </w:rPr>
              <w:t>consolidated amount</w:t>
            </w:r>
          </w:p>
        </w:tc>
        <w:tc>
          <w:tcPr>
            <w:tcW w:w="1460" w:type="dxa"/>
            <w:vAlign w:val="bottom"/>
          </w:tcPr>
          <w:p>
            <w:pPr>
              <w:jc w:val="right"/>
              <w:ind w:right="61"/>
              <w:spacing w:after="0" w:line="144" w:lineRule="exact"/>
              <w:rPr>
                <w:sz w:val="20"/>
                <w:szCs w:val="20"/>
                <w:color w:val="auto"/>
              </w:rPr>
            </w:pPr>
            <w:r>
              <w:rPr>
                <w:rFonts w:ascii="Arial" w:cs="Arial" w:eastAsia="Arial" w:hAnsi="Arial"/>
                <w:sz w:val="11"/>
                <w:szCs w:val="11"/>
                <w:b w:val="1"/>
                <w:bCs w:val="1"/>
                <w:color w:val="auto"/>
              </w:rPr>
              <w:t>remaining to maturity</w:t>
            </w:r>
            <w:r>
              <w:rPr>
                <w:rFonts w:ascii="Arial" w:cs="Arial" w:eastAsia="Arial" w:hAnsi="Arial"/>
                <w:sz w:val="14"/>
                <w:szCs w:val="14"/>
                <w:b w:val="1"/>
                <w:bCs w:val="1"/>
                <w:color w:val="auto"/>
                <w:vertAlign w:val="superscript"/>
              </w:rPr>
              <w:t>(1)</w:t>
            </w:r>
          </w:p>
        </w:tc>
        <w:tc>
          <w:tcPr>
            <w:tcW w:w="1200" w:type="dxa"/>
            <w:vAlign w:val="bottom"/>
          </w:tcPr>
          <w:p>
            <w:pPr>
              <w:jc w:val="right"/>
              <w:ind w:right="481"/>
              <w:spacing w:after="0" w:line="144" w:lineRule="exact"/>
              <w:rPr>
                <w:sz w:val="20"/>
                <w:szCs w:val="20"/>
                <w:color w:val="auto"/>
              </w:rPr>
            </w:pPr>
            <w:r>
              <w:rPr>
                <w:rFonts w:ascii="Arial" w:cs="Arial" w:eastAsia="Arial" w:hAnsi="Arial"/>
                <w:sz w:val="11"/>
                <w:szCs w:val="11"/>
                <w:b w:val="1"/>
                <w:bCs w:val="1"/>
                <w:color w:val="auto"/>
              </w:rPr>
              <w:t>rate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95"/>
        </w:trPr>
        <w:tc>
          <w:tcPr>
            <w:tcW w:w="3060" w:type="dxa"/>
            <w:vAlign w:val="bottom"/>
            <w:gridSpan w:val="4"/>
          </w:tcPr>
          <w:p>
            <w:pPr>
              <w:spacing w:after="0"/>
              <w:rPr>
                <w:sz w:val="20"/>
                <w:szCs w:val="20"/>
                <w:color w:val="auto"/>
              </w:rPr>
            </w:pPr>
            <w:r>
              <w:rPr>
                <w:rFonts w:ascii="Arial" w:cs="Arial" w:eastAsia="Arial" w:hAnsi="Arial"/>
                <w:sz w:val="12"/>
                <w:szCs w:val="12"/>
                <w:b w:val="1"/>
                <w:bCs w:val="1"/>
                <w:i w:val="1"/>
                <w:iCs w:val="1"/>
                <w:color w:val="003366"/>
              </w:rPr>
              <w:t>Debt (UPB)</w:t>
            </w:r>
          </w:p>
        </w:tc>
        <w:tc>
          <w:tcPr>
            <w:tcW w:w="3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9"/>
              </w:rPr>
              <w:t>Investment-level debt:</w:t>
            </w:r>
          </w:p>
        </w:tc>
        <w:tc>
          <w:tcPr>
            <w:tcW w:w="178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60" w:type="dxa"/>
            <w:vAlign w:val="bottom"/>
            <w:gridSpan w:val="4"/>
            <w:shd w:val="clear" w:color="auto" w:fill="DBDBDB"/>
          </w:tcPr>
          <w:p>
            <w:pPr>
              <w:ind w:left="140"/>
              <w:spacing w:after="0"/>
              <w:rPr>
                <w:sz w:val="20"/>
                <w:szCs w:val="20"/>
                <w:color w:val="auto"/>
              </w:rPr>
            </w:pPr>
            <w:r>
              <w:rPr>
                <w:rFonts w:ascii="Arial" w:cs="Arial" w:eastAsia="Arial" w:hAnsi="Arial"/>
                <w:sz w:val="12"/>
                <w:szCs w:val="12"/>
                <w:color w:val="auto"/>
              </w:rPr>
              <w:t>Digital Operating</w:t>
            </w:r>
          </w:p>
        </w:tc>
        <w:tc>
          <w:tcPr>
            <w:tcW w:w="32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3,369,338</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527,520</w:t>
            </w:r>
          </w:p>
        </w:tc>
        <w:tc>
          <w:tcPr>
            <w:tcW w:w="1460" w:type="dxa"/>
            <w:vAlign w:val="bottom"/>
            <w:shd w:val="clear" w:color="auto" w:fill="DBDBDB"/>
          </w:tcPr>
          <w:p>
            <w:pPr>
              <w:jc w:val="right"/>
              <w:ind w:right="21"/>
              <w:spacing w:after="0"/>
              <w:rPr>
                <w:sz w:val="20"/>
                <w:szCs w:val="20"/>
                <w:color w:val="auto"/>
              </w:rPr>
            </w:pPr>
            <w:r>
              <w:rPr>
                <w:rFonts w:ascii="Arial" w:cs="Arial" w:eastAsia="Arial" w:hAnsi="Arial"/>
                <w:sz w:val="12"/>
                <w:szCs w:val="12"/>
                <w:color w:val="auto"/>
              </w:rPr>
              <w:t>4.7</w:t>
            </w:r>
          </w:p>
        </w:tc>
        <w:tc>
          <w:tcPr>
            <w:tcW w:w="1200" w:type="dxa"/>
            <w:vAlign w:val="bottom"/>
            <w:shd w:val="clear" w:color="auto" w:fill="DBDBDB"/>
          </w:tcPr>
          <w:p>
            <w:pPr>
              <w:jc w:val="right"/>
              <w:ind w:right="141"/>
              <w:spacing w:after="0"/>
              <w:rPr>
                <w:sz w:val="20"/>
                <w:szCs w:val="20"/>
                <w:color w:val="auto"/>
              </w:rPr>
            </w:pPr>
            <w:r>
              <w:rPr>
                <w:rFonts w:ascii="Arial" w:cs="Arial" w:eastAsia="Arial" w:hAnsi="Arial"/>
                <w:sz w:val="12"/>
                <w:szCs w:val="12"/>
                <w:color w:val="auto"/>
              </w:rPr>
              <w:t>3.2 %</w:t>
            </w:r>
          </w:p>
        </w:tc>
        <w:tc>
          <w:tcPr>
            <w:tcW w:w="0" w:type="dxa"/>
            <w:vAlign w:val="bottom"/>
          </w:tcPr>
          <w:p>
            <w:pPr>
              <w:spacing w:after="0"/>
              <w:rPr>
                <w:sz w:val="1"/>
                <w:szCs w:val="1"/>
                <w:color w:val="auto"/>
              </w:rPr>
            </w:pPr>
          </w:p>
        </w:tc>
      </w:tr>
      <w:tr>
        <w:trPr>
          <w:trHeight w:val="171"/>
        </w:trPr>
        <w:tc>
          <w:tcPr>
            <w:tcW w:w="3060" w:type="dxa"/>
            <w:vAlign w:val="bottom"/>
            <w:gridSpan w:val="4"/>
          </w:tcPr>
          <w:p>
            <w:pPr>
              <w:ind w:left="140"/>
              <w:spacing w:after="0"/>
              <w:rPr>
                <w:sz w:val="20"/>
                <w:szCs w:val="20"/>
                <w:color w:val="auto"/>
              </w:rPr>
            </w:pPr>
            <w:r>
              <w:rPr>
                <w:rFonts w:ascii="Arial" w:cs="Arial" w:eastAsia="Arial" w:hAnsi="Arial"/>
                <w:sz w:val="12"/>
                <w:szCs w:val="12"/>
                <w:color w:val="auto"/>
              </w:rPr>
              <w:t>Wellness Infrastructure</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2,683,533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1,894,745</w:t>
            </w:r>
          </w:p>
        </w:tc>
        <w:tc>
          <w:tcPr>
            <w:tcW w:w="1460" w:type="dxa"/>
            <w:vAlign w:val="bottom"/>
          </w:tcPr>
          <w:p>
            <w:pPr>
              <w:jc w:val="right"/>
              <w:ind w:right="21"/>
              <w:spacing w:after="0"/>
              <w:rPr>
                <w:sz w:val="20"/>
                <w:szCs w:val="20"/>
                <w:color w:val="auto"/>
              </w:rPr>
            </w:pPr>
            <w:r>
              <w:rPr>
                <w:rFonts w:ascii="Arial" w:cs="Arial" w:eastAsia="Arial" w:hAnsi="Arial"/>
                <w:sz w:val="12"/>
                <w:szCs w:val="12"/>
                <w:color w:val="auto"/>
              </w:rPr>
              <w:t>3.3</w:t>
            </w:r>
          </w:p>
        </w:tc>
        <w:tc>
          <w:tcPr>
            <w:tcW w:w="1200" w:type="dxa"/>
            <w:vAlign w:val="bottom"/>
          </w:tcPr>
          <w:p>
            <w:pPr>
              <w:jc w:val="right"/>
              <w:ind w:right="141"/>
              <w:spacing w:after="0"/>
              <w:rPr>
                <w:sz w:val="20"/>
                <w:szCs w:val="20"/>
                <w:color w:val="auto"/>
              </w:rPr>
            </w:pPr>
            <w:r>
              <w:rPr>
                <w:rFonts w:ascii="Arial" w:cs="Arial" w:eastAsia="Arial" w:hAnsi="Arial"/>
                <w:sz w:val="12"/>
                <w:szCs w:val="12"/>
                <w:color w:val="auto"/>
              </w:rPr>
              <w:t>4.0 %</w:t>
            </w:r>
          </w:p>
        </w:tc>
        <w:tc>
          <w:tcPr>
            <w:tcW w:w="0" w:type="dxa"/>
            <w:vAlign w:val="bottom"/>
          </w:tcPr>
          <w:p>
            <w:pPr>
              <w:spacing w:after="0"/>
              <w:rPr>
                <w:sz w:val="1"/>
                <w:szCs w:val="1"/>
                <w:color w:val="auto"/>
              </w:rPr>
            </w:pPr>
          </w:p>
        </w:tc>
      </w:tr>
      <w:tr>
        <w:trPr>
          <w:trHeight w:val="171"/>
        </w:trPr>
        <w:tc>
          <w:tcPr>
            <w:tcW w:w="3060" w:type="dxa"/>
            <w:vAlign w:val="bottom"/>
            <w:gridSpan w:val="4"/>
            <w:shd w:val="clear" w:color="auto" w:fill="DBDBDB"/>
          </w:tcPr>
          <w:p>
            <w:pPr>
              <w:ind w:left="140"/>
              <w:spacing w:after="0"/>
              <w:rPr>
                <w:sz w:val="20"/>
                <w:szCs w:val="20"/>
                <w:color w:val="auto"/>
              </w:rPr>
            </w:pPr>
            <w:r>
              <w:rPr>
                <w:rFonts w:ascii="Arial" w:cs="Arial" w:eastAsia="Arial" w:hAnsi="Arial"/>
                <w:sz w:val="12"/>
                <w:szCs w:val="12"/>
                <w:color w:val="auto"/>
              </w:rPr>
              <w:t>Other</w:t>
            </w:r>
          </w:p>
        </w:tc>
        <w:tc>
          <w:tcPr>
            <w:tcW w:w="32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176,633</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176,633</w:t>
            </w:r>
          </w:p>
        </w:tc>
        <w:tc>
          <w:tcPr>
            <w:tcW w:w="1460" w:type="dxa"/>
            <w:vAlign w:val="bottom"/>
            <w:shd w:val="clear" w:color="auto" w:fill="DBDBDB"/>
          </w:tcPr>
          <w:p>
            <w:pPr>
              <w:jc w:val="right"/>
              <w:ind w:right="21"/>
              <w:spacing w:after="0"/>
              <w:rPr>
                <w:sz w:val="20"/>
                <w:szCs w:val="20"/>
                <w:color w:val="auto"/>
              </w:rPr>
            </w:pPr>
            <w:r>
              <w:rPr>
                <w:rFonts w:ascii="Arial" w:cs="Arial" w:eastAsia="Arial" w:hAnsi="Arial"/>
                <w:sz w:val="12"/>
                <w:szCs w:val="12"/>
                <w:color w:val="auto"/>
              </w:rPr>
              <w:t>0.7</w:t>
            </w:r>
          </w:p>
        </w:tc>
        <w:tc>
          <w:tcPr>
            <w:tcW w:w="1200" w:type="dxa"/>
            <w:vAlign w:val="bottom"/>
            <w:shd w:val="clear" w:color="auto" w:fill="DBDBDB"/>
          </w:tcPr>
          <w:p>
            <w:pPr>
              <w:jc w:val="right"/>
              <w:ind w:right="141"/>
              <w:spacing w:after="0"/>
              <w:rPr>
                <w:sz w:val="20"/>
                <w:szCs w:val="20"/>
                <w:color w:val="auto"/>
              </w:rPr>
            </w:pPr>
            <w:r>
              <w:rPr>
                <w:rFonts w:ascii="Arial" w:cs="Arial" w:eastAsia="Arial" w:hAnsi="Arial"/>
                <w:sz w:val="12"/>
                <w:szCs w:val="12"/>
                <w:color w:val="auto"/>
              </w:rPr>
              <w:t>4.9 %</w:t>
            </w:r>
          </w:p>
        </w:tc>
        <w:tc>
          <w:tcPr>
            <w:tcW w:w="0" w:type="dxa"/>
            <w:vAlign w:val="bottom"/>
          </w:tcPr>
          <w:p>
            <w:pPr>
              <w:spacing w:after="0"/>
              <w:rPr>
                <w:sz w:val="1"/>
                <w:szCs w:val="1"/>
                <w:color w:val="auto"/>
              </w:rPr>
            </w:pPr>
          </w:p>
        </w:tc>
      </w:tr>
      <w:tr>
        <w:trPr>
          <w:trHeight w:val="171"/>
        </w:trPr>
        <w:tc>
          <w:tcPr>
            <w:tcW w:w="3060" w:type="dxa"/>
            <w:vAlign w:val="bottom"/>
            <w:gridSpan w:val="4"/>
          </w:tcPr>
          <w:p>
            <w:pPr>
              <w:ind w:left="140"/>
              <w:spacing w:after="0" w:line="171" w:lineRule="exact"/>
              <w:rPr>
                <w:sz w:val="20"/>
                <w:szCs w:val="20"/>
                <w:color w:val="auto"/>
              </w:rPr>
            </w:pPr>
            <w:r>
              <w:rPr>
                <w:rFonts w:ascii="Arial" w:cs="Arial" w:eastAsia="Arial" w:hAnsi="Arial"/>
                <w:sz w:val="12"/>
                <w:szCs w:val="12"/>
                <w:color w:val="auto"/>
              </w:rPr>
              <w:t>5.375% Exchangeable senior notes</w:t>
            </w:r>
            <w:r>
              <w:rPr>
                <w:rFonts w:ascii="Arial" w:cs="Arial" w:eastAsia="Arial" w:hAnsi="Arial"/>
                <w:sz w:val="15"/>
                <w:szCs w:val="15"/>
                <w:color w:val="auto"/>
                <w:vertAlign w:val="superscript"/>
              </w:rPr>
              <w:t>(3)</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13,605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13,605</w:t>
            </w:r>
          </w:p>
        </w:tc>
        <w:tc>
          <w:tcPr>
            <w:tcW w:w="1460" w:type="dxa"/>
            <w:vAlign w:val="bottom"/>
          </w:tcPr>
          <w:p>
            <w:pPr>
              <w:jc w:val="right"/>
              <w:ind w:right="21"/>
              <w:spacing w:after="0"/>
              <w:rPr>
                <w:sz w:val="20"/>
                <w:szCs w:val="20"/>
                <w:color w:val="auto"/>
              </w:rPr>
            </w:pPr>
            <w:r>
              <w:rPr>
                <w:rFonts w:ascii="Arial" w:cs="Arial" w:eastAsia="Arial" w:hAnsi="Arial"/>
                <w:sz w:val="12"/>
                <w:szCs w:val="12"/>
                <w:color w:val="auto"/>
              </w:rPr>
              <w:t>12.2</w:t>
            </w:r>
          </w:p>
        </w:tc>
        <w:tc>
          <w:tcPr>
            <w:tcW w:w="1200" w:type="dxa"/>
            <w:vAlign w:val="bottom"/>
          </w:tcPr>
          <w:p>
            <w:pPr>
              <w:jc w:val="right"/>
              <w:ind w:right="141"/>
              <w:spacing w:after="0"/>
              <w:rPr>
                <w:sz w:val="20"/>
                <w:szCs w:val="20"/>
                <w:color w:val="auto"/>
              </w:rPr>
            </w:pPr>
            <w:r>
              <w:rPr>
                <w:rFonts w:ascii="Arial" w:cs="Arial" w:eastAsia="Arial" w:hAnsi="Arial"/>
                <w:sz w:val="12"/>
                <w:szCs w:val="12"/>
                <w:color w:val="auto"/>
              </w:rPr>
              <w:t>5.4 %</w:t>
            </w:r>
          </w:p>
        </w:tc>
        <w:tc>
          <w:tcPr>
            <w:tcW w:w="0" w:type="dxa"/>
            <w:vAlign w:val="bottom"/>
          </w:tcPr>
          <w:p>
            <w:pPr>
              <w:spacing w:after="0"/>
              <w:rPr>
                <w:sz w:val="1"/>
                <w:szCs w:val="1"/>
                <w:color w:val="auto"/>
              </w:rPr>
            </w:pPr>
          </w:p>
        </w:tc>
      </w:tr>
      <w:tr>
        <w:trPr>
          <w:trHeight w:val="171"/>
        </w:trPr>
        <w:tc>
          <w:tcPr>
            <w:tcW w:w="3060" w:type="dxa"/>
            <w:vAlign w:val="bottom"/>
            <w:gridSpan w:val="4"/>
            <w:shd w:val="clear" w:color="auto" w:fill="DBDBDB"/>
          </w:tcPr>
          <w:p>
            <w:pPr>
              <w:ind w:left="140"/>
              <w:spacing w:after="0" w:line="171" w:lineRule="exact"/>
              <w:rPr>
                <w:sz w:val="20"/>
                <w:szCs w:val="20"/>
                <w:color w:val="auto"/>
              </w:rPr>
            </w:pPr>
            <w:r>
              <w:rPr>
                <w:rFonts w:ascii="Arial" w:cs="Arial" w:eastAsia="Arial" w:hAnsi="Arial"/>
                <w:sz w:val="12"/>
                <w:szCs w:val="12"/>
                <w:color w:val="auto"/>
              </w:rPr>
              <w:t>TruPS</w:t>
            </w:r>
            <w:r>
              <w:rPr>
                <w:rFonts w:ascii="Arial" w:cs="Arial" w:eastAsia="Arial" w:hAnsi="Arial"/>
                <w:sz w:val="15"/>
                <w:szCs w:val="15"/>
                <w:color w:val="auto"/>
                <w:vertAlign w:val="superscript"/>
              </w:rPr>
              <w:t>(3)</w:t>
            </w:r>
          </w:p>
        </w:tc>
        <w:tc>
          <w:tcPr>
            <w:tcW w:w="320" w:type="dxa"/>
            <w:vAlign w:val="bottom"/>
            <w:tcBorders>
              <w:bottom w:val="single" w:sz="8" w:color="auto"/>
            </w:tcBorders>
            <w:shd w:val="clear" w:color="auto" w:fill="DBDBDB"/>
          </w:tcPr>
          <w:p>
            <w:pPr>
              <w:spacing w:after="0"/>
              <w:rPr>
                <w:sz w:val="14"/>
                <w:szCs w:val="14"/>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280,117</w:t>
            </w:r>
          </w:p>
        </w:tc>
        <w:tc>
          <w:tcPr>
            <w:tcW w:w="10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2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280,117</w:t>
            </w:r>
          </w:p>
        </w:tc>
        <w:tc>
          <w:tcPr>
            <w:tcW w:w="1460" w:type="dxa"/>
            <w:vAlign w:val="bottom"/>
            <w:shd w:val="clear" w:color="auto" w:fill="DBDBDB"/>
          </w:tcPr>
          <w:p>
            <w:pPr>
              <w:jc w:val="right"/>
              <w:ind w:right="21"/>
              <w:spacing w:after="0"/>
              <w:rPr>
                <w:sz w:val="20"/>
                <w:szCs w:val="20"/>
                <w:color w:val="auto"/>
              </w:rPr>
            </w:pPr>
            <w:r>
              <w:rPr>
                <w:rFonts w:ascii="Arial" w:cs="Arial" w:eastAsia="Arial" w:hAnsi="Arial"/>
                <w:sz w:val="12"/>
                <w:szCs w:val="12"/>
                <w:color w:val="auto"/>
              </w:rPr>
              <w:t>15.2</w:t>
            </w: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 xml:space="preserve">3.1 % </w:t>
            </w: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98"/>
        </w:trPr>
        <w:tc>
          <w:tcPr>
            <w:tcW w:w="3060" w:type="dxa"/>
            <w:vAlign w:val="bottom"/>
            <w:gridSpan w:val="4"/>
          </w:tcPr>
          <w:p>
            <w:pPr>
              <w:ind w:left="300"/>
              <w:spacing w:after="0"/>
              <w:rPr>
                <w:sz w:val="20"/>
                <w:szCs w:val="20"/>
                <w:color w:val="auto"/>
              </w:rPr>
            </w:pPr>
            <w:r>
              <w:rPr>
                <w:rFonts w:ascii="Arial" w:cs="Arial" w:eastAsia="Arial" w:hAnsi="Arial"/>
                <w:sz w:val="12"/>
                <w:szCs w:val="12"/>
                <w:b w:val="1"/>
                <w:bCs w:val="1"/>
                <w:color w:val="auto"/>
              </w:rPr>
              <w:t>Total investment-level debt</w:t>
            </w:r>
            <w:r>
              <w:rPr>
                <w:rFonts w:ascii="Arial" w:cs="Arial" w:eastAsia="Arial" w:hAnsi="Arial"/>
                <w:sz w:val="15"/>
                <w:szCs w:val="15"/>
                <w:b w:val="1"/>
                <w:bCs w:val="1"/>
                <w:color w:val="auto"/>
                <w:vertAlign w:val="superscript"/>
              </w:rPr>
              <w:t>(5)</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6,523,226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b w:val="1"/>
                <w:bCs w:val="1"/>
                <w:color w:val="auto"/>
              </w:rPr>
              <w:t>2,892,620</w:t>
            </w: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gridSpan w:val="4"/>
          </w:tcPr>
          <w:p>
            <w:pPr>
              <w:spacing w:after="0"/>
              <w:rPr>
                <w:sz w:val="20"/>
                <w:szCs w:val="20"/>
                <w:color w:val="auto"/>
              </w:rPr>
            </w:pPr>
            <w:r>
              <w:rPr>
                <w:rFonts w:ascii="Arial" w:cs="Arial" w:eastAsia="Arial" w:hAnsi="Arial"/>
                <w:sz w:val="12"/>
                <w:szCs w:val="12"/>
                <w:b w:val="1"/>
                <w:bCs w:val="1"/>
                <w:color w:val="auto"/>
              </w:rPr>
              <w:t>Corporate debt:</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060" w:type="dxa"/>
            <w:vAlign w:val="bottom"/>
            <w:gridSpan w:val="4"/>
            <w:shd w:val="clear" w:color="auto" w:fill="DBDBDB"/>
          </w:tcPr>
          <w:p>
            <w:pPr>
              <w:ind w:left="140"/>
              <w:spacing w:after="0"/>
              <w:rPr>
                <w:sz w:val="20"/>
                <w:szCs w:val="20"/>
                <w:color w:val="auto"/>
              </w:rPr>
            </w:pPr>
            <w:r>
              <w:rPr>
                <w:rFonts w:ascii="Arial" w:cs="Arial" w:eastAsia="Arial" w:hAnsi="Arial"/>
                <w:sz w:val="12"/>
                <w:szCs w:val="12"/>
                <w:color w:val="auto"/>
              </w:rPr>
              <w:t>$400 million revolving credit facility</w:t>
            </w:r>
          </w:p>
        </w:tc>
        <w:tc>
          <w:tcPr>
            <w:tcW w:w="320" w:type="dxa"/>
            <w:vAlign w:val="bottom"/>
            <w:shd w:val="clear" w:color="auto" w:fill="DBDBDB"/>
          </w:tcPr>
          <w:p>
            <w:pPr>
              <w:spacing w:after="0"/>
              <w:rPr>
                <w:sz w:val="14"/>
                <w:szCs w:val="14"/>
                <w:color w:val="auto"/>
              </w:rPr>
            </w:pPr>
          </w:p>
        </w:tc>
        <w:tc>
          <w:tcPr>
            <w:tcW w:w="94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1460" w:type="dxa"/>
            <w:vAlign w:val="bottom"/>
            <w:shd w:val="clear" w:color="auto" w:fill="DBDBDB"/>
          </w:tcPr>
          <w:p>
            <w:pPr>
              <w:jc w:val="right"/>
              <w:ind w:right="21"/>
              <w:spacing w:after="0"/>
              <w:rPr>
                <w:sz w:val="20"/>
                <w:szCs w:val="20"/>
                <w:color w:val="auto"/>
              </w:rPr>
            </w:pPr>
            <w:r>
              <w:rPr>
                <w:rFonts w:ascii="Arial" w:cs="Arial" w:eastAsia="Arial" w:hAnsi="Arial"/>
                <w:sz w:val="12"/>
                <w:szCs w:val="12"/>
                <w:color w:val="auto"/>
              </w:rPr>
              <w:t>N/A</w:t>
            </w:r>
          </w:p>
        </w:tc>
        <w:tc>
          <w:tcPr>
            <w:tcW w:w="1200" w:type="dxa"/>
            <w:vAlign w:val="bottom"/>
            <w:shd w:val="clear" w:color="auto" w:fill="DBDBDB"/>
          </w:tcPr>
          <w:p>
            <w:pPr>
              <w:jc w:val="right"/>
              <w:ind w:right="141"/>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71"/>
        </w:trPr>
        <w:tc>
          <w:tcPr>
            <w:tcW w:w="3060" w:type="dxa"/>
            <w:vAlign w:val="bottom"/>
            <w:tcBorders>
              <w:bottom w:val="single" w:sz="8" w:color="DBDBDB"/>
            </w:tcBorders>
            <w:gridSpan w:val="4"/>
          </w:tcPr>
          <w:p>
            <w:pPr>
              <w:ind w:left="140"/>
              <w:spacing w:after="0"/>
              <w:rPr>
                <w:sz w:val="20"/>
                <w:szCs w:val="20"/>
                <w:color w:val="auto"/>
              </w:rPr>
            </w:pPr>
            <w:r>
              <w:rPr>
                <w:rFonts w:ascii="Arial" w:cs="Arial" w:eastAsia="Arial" w:hAnsi="Arial"/>
                <w:sz w:val="12"/>
                <w:szCs w:val="12"/>
                <w:color w:val="auto"/>
              </w:rPr>
              <w:t>Convertible/exchangeable senior notes</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tcBorders>
              <w:bottom w:val="single" w:sz="8" w:color="DBDBD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500,000</w:t>
            </w:r>
          </w:p>
        </w:tc>
        <w:tc>
          <w:tcPr>
            <w:tcW w:w="1460" w:type="dxa"/>
            <w:vAlign w:val="bottom"/>
            <w:tcBorders>
              <w:bottom w:val="single" w:sz="8" w:color="DBDBDB"/>
            </w:tcBorders>
          </w:tcPr>
          <w:p>
            <w:pPr>
              <w:jc w:val="right"/>
              <w:ind w:right="21"/>
              <w:spacing w:after="0"/>
              <w:rPr>
                <w:sz w:val="20"/>
                <w:szCs w:val="20"/>
                <w:color w:val="auto"/>
              </w:rPr>
            </w:pPr>
            <w:r>
              <w:rPr>
                <w:rFonts w:ascii="Arial" w:cs="Arial" w:eastAsia="Arial" w:hAnsi="Arial"/>
                <w:sz w:val="12"/>
                <w:szCs w:val="12"/>
                <w:color w:val="auto"/>
              </w:rPr>
              <w:t>3.4</w:t>
            </w:r>
          </w:p>
        </w:tc>
        <w:tc>
          <w:tcPr>
            <w:tcW w:w="1200" w:type="dxa"/>
            <w:vAlign w:val="bottom"/>
            <w:tcBorders>
              <w:bottom w:val="single" w:sz="8" w:color="DBDBDB"/>
            </w:tcBorders>
          </w:tcPr>
          <w:p>
            <w:pPr>
              <w:jc w:val="right"/>
              <w:ind w:right="141"/>
              <w:spacing w:after="0"/>
              <w:rPr>
                <w:sz w:val="20"/>
                <w:szCs w:val="20"/>
                <w:color w:val="auto"/>
              </w:rPr>
            </w:pPr>
            <w:r>
              <w:rPr>
                <w:rFonts w:ascii="Arial" w:cs="Arial" w:eastAsia="Arial" w:hAnsi="Arial"/>
                <w:sz w:val="12"/>
                <w:szCs w:val="12"/>
                <w:color w:val="auto"/>
              </w:rPr>
              <w:t>5.5 %</w:t>
            </w:r>
          </w:p>
        </w:tc>
        <w:tc>
          <w:tcPr>
            <w:tcW w:w="0" w:type="dxa"/>
            <w:vAlign w:val="bottom"/>
          </w:tcPr>
          <w:p>
            <w:pPr>
              <w:spacing w:after="0"/>
              <w:rPr>
                <w:sz w:val="1"/>
                <w:szCs w:val="1"/>
                <w:color w:val="auto"/>
              </w:rPr>
            </w:pPr>
          </w:p>
        </w:tc>
      </w:tr>
      <w:tr>
        <w:trPr>
          <w:trHeight w:val="151"/>
        </w:trPr>
        <w:tc>
          <w:tcPr>
            <w:tcW w:w="3060" w:type="dxa"/>
            <w:vAlign w:val="bottom"/>
            <w:gridSpan w:val="4"/>
            <w:shd w:val="clear" w:color="auto" w:fill="DBDBDB"/>
          </w:tcPr>
          <w:p>
            <w:pPr>
              <w:ind w:left="300"/>
              <w:spacing w:after="0"/>
              <w:rPr>
                <w:sz w:val="20"/>
                <w:szCs w:val="20"/>
                <w:color w:val="auto"/>
              </w:rPr>
            </w:pPr>
            <w:r>
              <w:rPr>
                <w:rFonts w:ascii="Arial" w:cs="Arial" w:eastAsia="Arial" w:hAnsi="Arial"/>
                <w:sz w:val="12"/>
                <w:szCs w:val="12"/>
                <w:b w:val="1"/>
                <w:bCs w:val="1"/>
                <w:color w:val="auto"/>
              </w:rPr>
              <w:t>Total corporate debt</w:t>
            </w:r>
          </w:p>
        </w:tc>
        <w:tc>
          <w:tcPr>
            <w:tcW w:w="320" w:type="dxa"/>
            <w:vAlign w:val="bottom"/>
            <w:shd w:val="clear" w:color="auto" w:fill="DBDBDB"/>
          </w:tcPr>
          <w:p>
            <w:pPr>
              <w:spacing w:after="0"/>
              <w:rPr>
                <w:sz w:val="13"/>
                <w:szCs w:val="13"/>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500,000</w:t>
            </w: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20" w:type="dxa"/>
            <w:vAlign w:val="bottom"/>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500,000</w:t>
            </w:r>
          </w:p>
        </w:tc>
        <w:tc>
          <w:tcPr>
            <w:tcW w:w="1460" w:type="dxa"/>
            <w:vAlign w:val="bottom"/>
            <w:shd w:val="clear" w:color="auto" w:fill="DBDBDB"/>
          </w:tcPr>
          <w:p>
            <w:pPr>
              <w:spacing w:after="0"/>
              <w:rPr>
                <w:sz w:val="13"/>
                <w:szCs w:val="13"/>
                <w:color w:val="auto"/>
              </w:rPr>
            </w:pPr>
          </w:p>
        </w:tc>
        <w:tc>
          <w:tcPr>
            <w:tcW w:w="12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900" w:type="dxa"/>
            <w:vAlign w:val="bottom"/>
            <w:tcBorders>
              <w:bottom w:val="single" w:sz="8" w:color="DBDBDB"/>
            </w:tcBorders>
          </w:tcPr>
          <w:p>
            <w:pPr>
              <w:spacing w:after="0"/>
              <w:rPr>
                <w:sz w:val="3"/>
                <w:szCs w:val="3"/>
                <w:color w:val="auto"/>
              </w:rPr>
            </w:pPr>
          </w:p>
        </w:tc>
        <w:tc>
          <w:tcPr>
            <w:tcW w:w="380" w:type="dxa"/>
            <w:vAlign w:val="bottom"/>
            <w:tcBorders>
              <w:bottom w:val="single" w:sz="8" w:color="DBDBDB"/>
            </w:tcBorders>
          </w:tcPr>
          <w:p>
            <w:pPr>
              <w:spacing w:after="0"/>
              <w:rPr>
                <w:sz w:val="3"/>
                <w:szCs w:val="3"/>
                <w:color w:val="auto"/>
              </w:rPr>
            </w:pPr>
          </w:p>
        </w:tc>
        <w:tc>
          <w:tcPr>
            <w:tcW w:w="840" w:type="dxa"/>
            <w:vAlign w:val="bottom"/>
            <w:tcBorders>
              <w:bottom w:val="single" w:sz="8" w:color="DBDBDB"/>
            </w:tcBorders>
          </w:tcPr>
          <w:p>
            <w:pPr>
              <w:spacing w:after="0"/>
              <w:rPr>
                <w:sz w:val="3"/>
                <w:szCs w:val="3"/>
                <w:color w:val="auto"/>
              </w:rPr>
            </w:pPr>
          </w:p>
        </w:tc>
        <w:tc>
          <w:tcPr>
            <w:tcW w:w="940" w:type="dxa"/>
            <w:vAlign w:val="bottom"/>
            <w:tcBorders>
              <w:bottom w:val="single" w:sz="8" w:color="DBDBDB"/>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60" w:type="dxa"/>
            <w:vAlign w:val="bottom"/>
            <w:tcBorders>
              <w:bottom w:val="single" w:sz="8" w:color="DBDBDB"/>
            </w:tcBorders>
          </w:tcPr>
          <w:p>
            <w:pPr>
              <w:spacing w:after="0"/>
              <w:rPr>
                <w:sz w:val="3"/>
                <w:szCs w:val="3"/>
                <w:color w:val="auto"/>
              </w:rPr>
            </w:pPr>
          </w:p>
        </w:tc>
        <w:tc>
          <w:tcPr>
            <w:tcW w:w="120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060" w:type="dxa"/>
            <w:vAlign w:val="bottom"/>
            <w:tcBorders>
              <w:bottom w:val="single" w:sz="8" w:color="DBDBDB"/>
            </w:tcBorders>
            <w:gridSpan w:val="4"/>
            <w:shd w:val="clear" w:color="auto" w:fill="DBDBDB"/>
          </w:tcPr>
          <w:p>
            <w:pPr>
              <w:spacing w:after="0" w:line="142" w:lineRule="exact"/>
              <w:rPr>
                <w:sz w:val="20"/>
                <w:szCs w:val="20"/>
                <w:color w:val="auto"/>
              </w:rPr>
            </w:pPr>
            <w:r>
              <w:rPr>
                <w:rFonts w:ascii="Arial" w:cs="Arial" w:eastAsia="Arial" w:hAnsi="Arial"/>
                <w:sz w:val="12"/>
                <w:szCs w:val="12"/>
                <w:b w:val="1"/>
                <w:bCs w:val="1"/>
                <w:color w:val="auto"/>
              </w:rPr>
              <w:t>Total debt</w:t>
            </w:r>
            <w:r>
              <w:rPr>
                <w:rFonts w:ascii="Arial" w:cs="Arial" w:eastAsia="Arial" w:hAnsi="Arial"/>
                <w:sz w:val="15"/>
                <w:szCs w:val="15"/>
                <w:b w:val="1"/>
                <w:bCs w:val="1"/>
                <w:color w:val="auto"/>
                <w:vertAlign w:val="superscript"/>
              </w:rPr>
              <w:t>(5)</w:t>
            </w:r>
          </w:p>
        </w:tc>
        <w:tc>
          <w:tcPr>
            <w:tcW w:w="3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7,023,226</w:t>
            </w:r>
          </w:p>
        </w:tc>
        <w:tc>
          <w:tcPr>
            <w:tcW w:w="10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w w:val="89"/>
              </w:rPr>
              <w:t>$</w:t>
            </w:r>
          </w:p>
        </w:tc>
        <w:tc>
          <w:tcPr>
            <w:tcW w:w="12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3,392,620</w:t>
            </w:r>
          </w:p>
        </w:tc>
        <w:tc>
          <w:tcPr>
            <w:tcW w:w="1460" w:type="dxa"/>
            <w:vAlign w:val="bottom"/>
            <w:tcBorders>
              <w:bottom w:val="single" w:sz="8" w:color="DBDBDB"/>
            </w:tcBorders>
            <w:shd w:val="clear" w:color="auto" w:fill="DBDBDB"/>
          </w:tcPr>
          <w:p>
            <w:pPr>
              <w:spacing w:after="0"/>
              <w:rPr>
                <w:sz w:val="14"/>
                <w:szCs w:val="14"/>
                <w:color w:val="auto"/>
              </w:rPr>
            </w:pPr>
          </w:p>
        </w:tc>
        <w:tc>
          <w:tcPr>
            <w:tcW w:w="120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060" w:type="dxa"/>
            <w:vAlign w:val="bottom"/>
            <w:gridSpan w:val="4"/>
          </w:tcPr>
          <w:p>
            <w:pPr>
              <w:spacing w:after="0"/>
              <w:rPr>
                <w:sz w:val="20"/>
                <w:szCs w:val="20"/>
                <w:color w:val="auto"/>
              </w:rPr>
            </w:pPr>
            <w:r>
              <w:rPr>
                <w:rFonts w:ascii="Arial" w:cs="Arial" w:eastAsia="Arial" w:hAnsi="Arial"/>
                <w:sz w:val="12"/>
                <w:szCs w:val="12"/>
                <w:b w:val="1"/>
                <w:bCs w:val="1"/>
                <w:color w:val="auto"/>
              </w:rPr>
              <w:t>Total debt - Fixed / Floating summary</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120" w:type="dxa"/>
            <w:vAlign w:val="bottom"/>
            <w:tcBorders>
              <w:top w:val="single" w:sz="8" w:color="auto"/>
            </w:tcBorders>
            <w:gridSpan w:val="3"/>
            <w:shd w:val="clear" w:color="auto" w:fill="DBDBDB"/>
          </w:tcPr>
          <w:p>
            <w:pPr>
              <w:ind w:left="140"/>
              <w:spacing w:after="0"/>
              <w:rPr>
                <w:sz w:val="20"/>
                <w:szCs w:val="20"/>
                <w:color w:val="auto"/>
              </w:rPr>
            </w:pPr>
            <w:r>
              <w:rPr>
                <w:rFonts w:ascii="Arial" w:cs="Arial" w:eastAsia="Arial" w:hAnsi="Arial"/>
                <w:sz w:val="12"/>
                <w:szCs w:val="12"/>
                <w:color w:val="auto"/>
              </w:rPr>
              <w:t>Fixed</w:t>
            </w:r>
          </w:p>
        </w:tc>
        <w:tc>
          <w:tcPr>
            <w:tcW w:w="940" w:type="dxa"/>
            <w:vAlign w:val="bottom"/>
            <w:shd w:val="clear" w:color="auto" w:fill="DBDBDB"/>
          </w:tcPr>
          <w:p>
            <w:pPr>
              <w:spacing w:after="0"/>
              <w:rPr>
                <w:sz w:val="14"/>
                <w:szCs w:val="14"/>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3,724,333</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1,227,383</w:t>
            </w:r>
          </w:p>
        </w:tc>
        <w:tc>
          <w:tcPr>
            <w:tcW w:w="146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Borders>
              <w:bottom w:val="single" w:sz="8" w:color="DBDBDB"/>
            </w:tcBorders>
            <w:gridSpan w:val="4"/>
          </w:tcPr>
          <w:p>
            <w:pPr>
              <w:ind w:left="140"/>
              <w:spacing w:after="0"/>
              <w:rPr>
                <w:sz w:val="20"/>
                <w:szCs w:val="20"/>
                <w:color w:val="auto"/>
              </w:rPr>
            </w:pPr>
            <w:r>
              <w:rPr>
                <w:rFonts w:ascii="Arial" w:cs="Arial" w:eastAsia="Arial" w:hAnsi="Arial"/>
                <w:sz w:val="12"/>
                <w:szCs w:val="12"/>
                <w:color w:val="auto"/>
              </w:rPr>
              <w:t>Floating</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3,298,893</w:t>
            </w:r>
          </w:p>
        </w:tc>
        <w:tc>
          <w:tcPr>
            <w:tcW w:w="100" w:type="dxa"/>
            <w:vAlign w:val="bottom"/>
            <w:tcBorders>
              <w:bottom w:val="single" w:sz="8" w:color="DBDBD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2,165,237</w:t>
            </w:r>
          </w:p>
        </w:tc>
        <w:tc>
          <w:tcPr>
            <w:tcW w:w="1460" w:type="dxa"/>
            <w:vAlign w:val="bottom"/>
            <w:tcBorders>
              <w:bottom w:val="single" w:sz="8" w:color="DBDBDB"/>
            </w:tcBorders>
          </w:tcPr>
          <w:p>
            <w:pPr>
              <w:spacing w:after="0"/>
              <w:rPr>
                <w:sz w:val="14"/>
                <w:szCs w:val="14"/>
                <w:color w:val="auto"/>
              </w:rPr>
            </w:pPr>
          </w:p>
        </w:tc>
        <w:tc>
          <w:tcPr>
            <w:tcW w:w="120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Borders>
              <w:bottom w:val="single" w:sz="8" w:color="DBDBDB"/>
            </w:tcBorders>
            <w:gridSpan w:val="4"/>
            <w:shd w:val="clear" w:color="auto" w:fill="DBDBDB"/>
          </w:tcPr>
          <w:p>
            <w:pPr>
              <w:spacing w:after="0"/>
              <w:rPr>
                <w:sz w:val="20"/>
                <w:szCs w:val="20"/>
                <w:color w:val="auto"/>
              </w:rPr>
            </w:pPr>
            <w:r>
              <w:rPr>
                <w:rFonts w:ascii="Arial" w:cs="Arial" w:eastAsia="Arial" w:hAnsi="Arial"/>
                <w:sz w:val="12"/>
                <w:szCs w:val="12"/>
                <w:b w:val="1"/>
                <w:bCs w:val="1"/>
                <w:color w:val="auto"/>
              </w:rPr>
              <w:t>Total debt</w:t>
            </w:r>
          </w:p>
        </w:tc>
        <w:tc>
          <w:tcPr>
            <w:tcW w:w="3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7,023,226</w:t>
            </w:r>
          </w:p>
        </w:tc>
        <w:tc>
          <w:tcPr>
            <w:tcW w:w="10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w w:val="89"/>
              </w:rPr>
              <w:t>$</w:t>
            </w:r>
          </w:p>
        </w:tc>
        <w:tc>
          <w:tcPr>
            <w:tcW w:w="12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3,392,620</w:t>
            </w:r>
          </w:p>
        </w:tc>
        <w:tc>
          <w:tcPr>
            <w:tcW w:w="1460" w:type="dxa"/>
            <w:vAlign w:val="bottom"/>
            <w:tcBorders>
              <w:bottom w:val="single" w:sz="8" w:color="DBDBDB"/>
            </w:tcBorders>
            <w:shd w:val="clear" w:color="auto" w:fill="DBDBDB"/>
          </w:tcPr>
          <w:p>
            <w:pPr>
              <w:spacing w:after="0"/>
              <w:rPr>
                <w:sz w:val="14"/>
                <w:szCs w:val="14"/>
                <w:color w:val="auto"/>
              </w:rPr>
            </w:pPr>
          </w:p>
        </w:tc>
        <w:tc>
          <w:tcPr>
            <w:tcW w:w="120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3060" w:type="dxa"/>
            <w:vAlign w:val="bottom"/>
            <w:tcBorders>
              <w:bottom w:val="single" w:sz="8" w:color="DBDBDB"/>
            </w:tcBorders>
            <w:gridSpan w:val="4"/>
          </w:tcPr>
          <w:p>
            <w:pPr>
              <w:spacing w:after="0"/>
              <w:rPr>
                <w:sz w:val="20"/>
                <w:szCs w:val="20"/>
                <w:color w:val="auto"/>
              </w:rPr>
            </w:pPr>
            <w:r>
              <w:rPr>
                <w:rFonts w:ascii="Arial" w:cs="Arial" w:eastAsia="Arial" w:hAnsi="Arial"/>
                <w:sz w:val="12"/>
                <w:szCs w:val="12"/>
                <w:b w:val="1"/>
                <w:bCs w:val="1"/>
                <w:i w:val="1"/>
                <w:iCs w:val="1"/>
                <w:color w:val="003366"/>
              </w:rPr>
              <w:t>Perpetual preferred stock, redemption value</w:t>
            </w:r>
          </w:p>
        </w:tc>
        <w:tc>
          <w:tcPr>
            <w:tcW w:w="320" w:type="dxa"/>
            <w:vAlign w:val="bottom"/>
            <w:tcBorders>
              <w:bottom w:val="single" w:sz="8" w:color="DBDBDB"/>
            </w:tcBorders>
          </w:tcPr>
          <w:p>
            <w:pPr>
              <w:spacing w:after="0"/>
              <w:rPr>
                <w:sz w:val="24"/>
                <w:szCs w:val="24"/>
                <w:color w:val="auto"/>
              </w:rPr>
            </w:pPr>
          </w:p>
        </w:tc>
        <w:tc>
          <w:tcPr>
            <w:tcW w:w="840" w:type="dxa"/>
            <w:vAlign w:val="bottom"/>
            <w:tcBorders>
              <w:bottom w:val="single" w:sz="8" w:color="DBDBDB"/>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60" w:type="dxa"/>
            <w:vAlign w:val="bottom"/>
            <w:tcBorders>
              <w:bottom w:val="single" w:sz="8" w:color="DBDBDB"/>
            </w:tcBorders>
          </w:tcPr>
          <w:p>
            <w:pPr>
              <w:spacing w:after="0"/>
              <w:rPr>
                <w:sz w:val="24"/>
                <w:szCs w:val="24"/>
                <w:color w:val="auto"/>
              </w:rPr>
            </w:pPr>
          </w:p>
        </w:tc>
        <w:tc>
          <w:tcPr>
            <w:tcW w:w="1200" w:type="dxa"/>
            <w:vAlign w:val="bottom"/>
            <w:tcBorders>
              <w:bottom w:val="single" w:sz="8" w:color="DBDBDB"/>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60" w:type="dxa"/>
            <w:vAlign w:val="bottom"/>
            <w:tcBorders>
              <w:bottom w:val="single" w:sz="8" w:color="DBDBDB"/>
            </w:tcBorders>
            <w:gridSpan w:val="4"/>
            <w:shd w:val="clear" w:color="auto" w:fill="DBDBDB"/>
          </w:tcPr>
          <w:p>
            <w:pPr>
              <w:spacing w:after="0"/>
              <w:rPr>
                <w:sz w:val="20"/>
                <w:szCs w:val="20"/>
                <w:color w:val="auto"/>
              </w:rPr>
            </w:pPr>
            <w:r>
              <w:rPr>
                <w:rFonts w:ascii="Arial" w:cs="Arial" w:eastAsia="Arial" w:hAnsi="Arial"/>
                <w:sz w:val="12"/>
                <w:szCs w:val="12"/>
                <w:b w:val="1"/>
                <w:bCs w:val="1"/>
                <w:color w:val="auto"/>
              </w:rPr>
              <w:t>Total perpetual preferred stock</w:t>
            </w:r>
          </w:p>
        </w:tc>
        <w:tc>
          <w:tcPr>
            <w:tcW w:w="3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spacing w:after="0"/>
              <w:rPr>
                <w:sz w:val="12"/>
                <w:szCs w:val="12"/>
                <w:color w:val="auto"/>
              </w:rPr>
            </w:pPr>
          </w:p>
        </w:tc>
        <w:tc>
          <w:tcPr>
            <w:tcW w:w="100" w:type="dxa"/>
            <w:vAlign w:val="bottom"/>
            <w:tcBorders>
              <w:bottom w:val="single" w:sz="8" w:color="DBDBDB"/>
            </w:tcBorders>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w w:val="89"/>
              </w:rPr>
              <w:t>$</w:t>
            </w:r>
          </w:p>
        </w:tc>
        <w:tc>
          <w:tcPr>
            <w:tcW w:w="12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1,033,750</w:t>
            </w:r>
          </w:p>
        </w:tc>
        <w:tc>
          <w:tcPr>
            <w:tcW w:w="146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25" w:lineRule="exact"/>
        <w:rPr>
          <w:sz w:val="20"/>
          <w:szCs w:val="20"/>
          <w:color w:val="auto"/>
        </w:rPr>
      </w:pPr>
    </w:p>
    <w:p>
      <w:pPr>
        <w:ind w:left="188" w:hanging="188"/>
        <w:spacing w:after="0"/>
        <w:tabs>
          <w:tab w:leader="none" w:pos="188" w:val="left"/>
        </w:tabs>
        <w:numPr>
          <w:ilvl w:val="0"/>
          <w:numId w:val="21"/>
        </w:numPr>
        <w:rPr>
          <w:rFonts w:ascii="Arial" w:cs="Arial" w:eastAsia="Arial" w:hAnsi="Arial"/>
          <w:sz w:val="8"/>
          <w:szCs w:val="8"/>
          <w:color w:val="424242"/>
        </w:rPr>
      </w:pPr>
      <w:r>
        <w:rPr>
          <w:rFonts w:ascii="Arial" w:cs="Arial" w:eastAsia="Arial" w:hAnsi="Arial"/>
          <w:sz w:val="8"/>
          <w:szCs w:val="8"/>
          <w:color w:val="424242"/>
        </w:rPr>
        <w:t>Weighted Average Years Remaining to Maturity is based on initial maturity dates or extended maturity dates if the criteria to extend have been met as of May 3, 2021, the latest practicable date that the information was available, and the extension option is at the Company’s discretion.</w:t>
      </w:r>
    </w:p>
    <w:p>
      <w:pPr>
        <w:spacing w:after="0" w:line="7" w:lineRule="exact"/>
        <w:rPr>
          <w:rFonts w:ascii="Arial" w:cs="Arial" w:eastAsia="Arial" w:hAnsi="Arial"/>
          <w:sz w:val="8"/>
          <w:szCs w:val="8"/>
          <w:color w:val="424242"/>
        </w:rPr>
      </w:pPr>
    </w:p>
    <w:p>
      <w:pPr>
        <w:ind w:left="188" w:hanging="188"/>
        <w:spacing w:after="0"/>
        <w:tabs>
          <w:tab w:leader="none" w:pos="188" w:val="left"/>
        </w:tabs>
        <w:numPr>
          <w:ilvl w:val="0"/>
          <w:numId w:val="21"/>
        </w:numPr>
        <w:rPr>
          <w:rFonts w:ascii="Arial" w:cs="Arial" w:eastAsia="Arial" w:hAnsi="Arial"/>
          <w:sz w:val="8"/>
          <w:szCs w:val="8"/>
          <w:color w:val="424242"/>
        </w:rPr>
      </w:pPr>
      <w:r>
        <w:rPr>
          <w:rFonts w:ascii="Arial" w:cs="Arial" w:eastAsia="Arial" w:hAnsi="Arial"/>
          <w:sz w:val="8"/>
          <w:szCs w:val="8"/>
          <w:color w:val="424242"/>
        </w:rPr>
        <w:t>Based on 1-month LIBOR of 0.11% and 3-month LIBOR of 0.19% for floating rate debt.</w:t>
      </w:r>
    </w:p>
    <w:p>
      <w:pPr>
        <w:spacing w:after="0" w:line="7" w:lineRule="exact"/>
        <w:rPr>
          <w:rFonts w:ascii="Arial" w:cs="Arial" w:eastAsia="Arial" w:hAnsi="Arial"/>
          <w:sz w:val="8"/>
          <w:szCs w:val="8"/>
          <w:color w:val="424242"/>
        </w:rPr>
      </w:pPr>
    </w:p>
    <w:p>
      <w:pPr>
        <w:ind w:left="188" w:hanging="188"/>
        <w:spacing w:after="0"/>
        <w:tabs>
          <w:tab w:leader="none" w:pos="188" w:val="left"/>
        </w:tabs>
        <w:numPr>
          <w:ilvl w:val="0"/>
          <w:numId w:val="21"/>
        </w:numPr>
        <w:rPr>
          <w:rFonts w:ascii="Arial" w:cs="Arial" w:eastAsia="Arial" w:hAnsi="Arial"/>
          <w:sz w:val="8"/>
          <w:szCs w:val="8"/>
          <w:color w:val="424242"/>
        </w:rPr>
      </w:pPr>
      <w:r>
        <w:rPr>
          <w:rFonts w:ascii="Arial" w:cs="Arial" w:eastAsia="Arial" w:hAnsi="Arial"/>
          <w:sz w:val="8"/>
          <w:szCs w:val="8"/>
          <w:color w:val="424242"/>
        </w:rPr>
        <w:t>These obligations were issued by NRF Holdco, which holds the Wellness Infrastructure portfolio as its primary asset and acts as guarantor. The Company is neither an obligor nor guarantor on the TruPS and 5.375% exchangeable notes.</w:t>
      </w:r>
    </w:p>
    <w:p>
      <w:pPr>
        <w:spacing w:after="0" w:line="7" w:lineRule="exact"/>
        <w:rPr>
          <w:rFonts w:ascii="Arial" w:cs="Arial" w:eastAsia="Arial" w:hAnsi="Arial"/>
          <w:sz w:val="8"/>
          <w:szCs w:val="8"/>
          <w:color w:val="424242"/>
        </w:rPr>
      </w:pPr>
    </w:p>
    <w:p>
      <w:pPr>
        <w:ind w:left="188" w:hanging="188"/>
        <w:spacing w:after="0" w:line="234" w:lineRule="auto"/>
        <w:tabs>
          <w:tab w:leader="none" w:pos="188" w:val="left"/>
        </w:tabs>
        <w:numPr>
          <w:ilvl w:val="0"/>
          <w:numId w:val="21"/>
        </w:numPr>
        <w:rPr>
          <w:rFonts w:ascii="Arial" w:cs="Arial" w:eastAsia="Arial" w:hAnsi="Arial"/>
          <w:sz w:val="8"/>
          <w:szCs w:val="8"/>
          <w:color w:val="424242"/>
        </w:rPr>
      </w:pPr>
      <w:r>
        <w:rPr>
          <w:rFonts w:ascii="Arial" w:cs="Arial" w:eastAsia="Arial" w:hAnsi="Arial"/>
          <w:sz w:val="8"/>
          <w:szCs w:val="8"/>
          <w:color w:val="424242"/>
        </w:rPr>
        <w:t>Based on 3-month LIBOR plus rates between 2.50% to 3.25%.</w:t>
      </w:r>
    </w:p>
    <w:p>
      <w:pPr>
        <w:ind w:left="208" w:right="80" w:hanging="208"/>
        <w:spacing w:after="0" w:line="236" w:lineRule="auto"/>
        <w:tabs>
          <w:tab w:leader="none" w:pos="188" w:val="left"/>
        </w:tabs>
        <w:numPr>
          <w:ilvl w:val="0"/>
          <w:numId w:val="21"/>
        </w:numPr>
        <w:rPr>
          <w:rFonts w:ascii="Arial" w:cs="Arial" w:eastAsia="Arial" w:hAnsi="Arial"/>
          <w:sz w:val="8"/>
          <w:szCs w:val="8"/>
          <w:color w:val="424242"/>
        </w:rPr>
      </w:pPr>
      <w:r>
        <w:rPr>
          <w:rFonts w:ascii="Arial" w:cs="Arial" w:eastAsia="Arial" w:hAnsi="Arial"/>
          <w:sz w:val="8"/>
          <w:szCs w:val="8"/>
          <w:color w:val="424242"/>
        </w:rPr>
        <w:t>Excluded from above presentation is debt of assets which are presented under discontinued operations for the first quarter 2021, including, one hospitality portfolio under receivership, with related $780 million consolidated, or $702 million CLNY OP share, of debt, and substantially all of Other OED assets with related $884 million consolidated, or $331 million CLNY OP share, of debt.</w:t>
      </w:r>
    </w:p>
    <w:p>
      <w:pPr>
        <w:spacing w:after="0" w:line="30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14</w:t>
            </w:r>
          </w:p>
        </w:tc>
      </w:tr>
    </w:tbl>
    <w:p>
      <w:pPr>
        <w:sectPr>
          <w:pgSz w:w="11900" w:h="16838" w:orient="portrait"/>
          <w:cols w:equalWidth="0" w:num="1">
            <w:col w:w="11308"/>
          </w:cols>
          <w:pgMar w:left="292" w:top="158" w:right="299" w:bottom="1440" w:gutter="0" w:footer="0" w:header="0"/>
        </w:sectPr>
      </w:pPr>
    </w:p>
    <w:bookmarkStart w:id="29" w:name="page30"/>
    <w:bookmarkEnd w:id="29"/>
    <w:p>
      <w:pPr>
        <w:ind w:left="8"/>
        <w:spacing w:after="0"/>
        <w:rPr>
          <w:sz w:val="20"/>
          <w:szCs w:val="20"/>
          <w:color w:val="auto"/>
        </w:rPr>
      </w:pPr>
      <w:r>
        <w:rPr>
          <w:rFonts w:ascii="Arial" w:cs="Arial" w:eastAsia="Arial" w:hAnsi="Arial"/>
          <w:sz w:val="29"/>
          <w:szCs w:val="29"/>
          <w:color w:val="auto"/>
        </w:rPr>
        <w:t>IIIb. Capitalization -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4680" w:type="dxa"/>
            <w:vAlign w:val="bottom"/>
          </w:tcPr>
          <w:p>
            <w:pPr>
              <w:spacing w:after="0"/>
              <w:rPr>
                <w:sz w:val="20"/>
                <w:szCs w:val="20"/>
                <w:color w:val="auto"/>
              </w:rPr>
            </w:pPr>
            <w:r>
              <w:rPr>
                <w:rFonts w:ascii="Arial" w:cs="Arial" w:eastAsia="Arial" w:hAnsi="Arial"/>
                <w:sz w:val="11"/>
                <w:szCs w:val="11"/>
                <w:i w:val="1"/>
                <w:iCs w:val="1"/>
                <w:color w:val="auto"/>
              </w:rPr>
              <w:t>($ in thousands, except as noted; as of March 31, 2021)</w:t>
            </w:r>
          </w:p>
        </w:tc>
        <w:tc>
          <w:tcPr>
            <w:tcW w:w="23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84"/>
        </w:trPr>
        <w:tc>
          <w:tcPr>
            <w:tcW w:w="4680" w:type="dxa"/>
            <w:vAlign w:val="bottom"/>
          </w:tcPr>
          <w:p>
            <w:pPr>
              <w:spacing w:after="0"/>
              <w:rPr>
                <w:sz w:val="20"/>
                <w:szCs w:val="20"/>
                <w:color w:val="auto"/>
              </w:rPr>
            </w:pPr>
            <w:r>
              <w:rPr>
                <w:rFonts w:ascii="Arial" w:cs="Arial" w:eastAsia="Arial" w:hAnsi="Arial"/>
                <w:sz w:val="12"/>
                <w:szCs w:val="12"/>
                <w:b w:val="1"/>
                <w:bCs w:val="1"/>
                <w:i w:val="1"/>
                <w:iCs w:val="1"/>
                <w:color w:val="003366"/>
              </w:rPr>
              <w:t>Revolving credit facility</w:t>
            </w:r>
          </w:p>
        </w:tc>
        <w:tc>
          <w:tcPr>
            <w:tcW w:w="2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0"/>
        </w:trPr>
        <w:tc>
          <w:tcPr>
            <w:tcW w:w="4680" w:type="dxa"/>
            <w:vAlign w:val="bottom"/>
            <w:shd w:val="clear" w:color="auto" w:fill="DBDBDB"/>
          </w:tcPr>
          <w:p>
            <w:pPr>
              <w:spacing w:after="0"/>
              <w:rPr>
                <w:sz w:val="20"/>
                <w:szCs w:val="20"/>
                <w:color w:val="auto"/>
              </w:rPr>
            </w:pPr>
            <w:r>
              <w:rPr>
                <w:rFonts w:ascii="Arial" w:cs="Arial" w:eastAsia="Arial" w:hAnsi="Arial"/>
                <w:sz w:val="12"/>
                <w:szCs w:val="12"/>
                <w:color w:val="auto"/>
              </w:rPr>
              <w:t>Maximum principal amount</w:t>
            </w:r>
          </w:p>
        </w:tc>
        <w:tc>
          <w:tcPr>
            <w:tcW w:w="2380" w:type="dxa"/>
            <w:vAlign w:val="bottom"/>
            <w:shd w:val="clear" w:color="auto" w:fill="DBDBDB"/>
          </w:tcPr>
          <w:p>
            <w:pPr>
              <w:jc w:val="right"/>
              <w:ind w:right="260"/>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400,000</w:t>
            </w:r>
          </w:p>
        </w:tc>
      </w:tr>
      <w:tr>
        <w:trPr>
          <w:trHeight w:val="180"/>
        </w:trPr>
        <w:tc>
          <w:tcPr>
            <w:tcW w:w="4680" w:type="dxa"/>
            <w:vAlign w:val="bottom"/>
          </w:tcPr>
          <w:p>
            <w:pPr>
              <w:spacing w:after="0"/>
              <w:rPr>
                <w:sz w:val="20"/>
                <w:szCs w:val="20"/>
                <w:color w:val="auto"/>
              </w:rPr>
            </w:pPr>
            <w:r>
              <w:rPr>
                <w:rFonts w:ascii="Arial" w:cs="Arial" w:eastAsia="Arial" w:hAnsi="Arial"/>
                <w:sz w:val="12"/>
                <w:szCs w:val="12"/>
                <w:color w:val="auto"/>
              </w:rPr>
              <w:t>Amount outstanding</w:t>
            </w:r>
          </w:p>
        </w:tc>
        <w:tc>
          <w:tcPr>
            <w:tcW w:w="2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4680" w:type="dxa"/>
            <w:vAlign w:val="bottom"/>
            <w:shd w:val="clear" w:color="auto" w:fill="DBDBDB"/>
          </w:tcPr>
          <w:p>
            <w:pPr>
              <w:spacing w:after="0"/>
              <w:rPr>
                <w:sz w:val="20"/>
                <w:szCs w:val="20"/>
                <w:color w:val="auto"/>
              </w:rPr>
            </w:pPr>
            <w:r>
              <w:rPr>
                <w:rFonts w:ascii="Arial" w:cs="Arial" w:eastAsia="Arial" w:hAnsi="Arial"/>
                <w:sz w:val="12"/>
                <w:szCs w:val="12"/>
                <w:color w:val="auto"/>
              </w:rPr>
              <w:t>Current maturity</w:t>
            </w:r>
          </w:p>
        </w:tc>
        <w:tc>
          <w:tcPr>
            <w:tcW w:w="2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July 11, 2021</w:t>
            </w:r>
          </w:p>
        </w:tc>
      </w:tr>
      <w:tr>
        <w:trPr>
          <w:trHeight w:val="180"/>
        </w:trPr>
        <w:tc>
          <w:tcPr>
            <w:tcW w:w="4680" w:type="dxa"/>
            <w:vAlign w:val="bottom"/>
          </w:tcPr>
          <w:p>
            <w:pPr>
              <w:spacing w:after="0"/>
              <w:rPr>
                <w:sz w:val="20"/>
                <w:szCs w:val="20"/>
                <w:color w:val="auto"/>
              </w:rPr>
            </w:pPr>
            <w:r>
              <w:rPr>
                <w:rFonts w:ascii="Arial" w:cs="Arial" w:eastAsia="Arial" w:hAnsi="Arial"/>
                <w:sz w:val="12"/>
                <w:szCs w:val="12"/>
                <w:color w:val="auto"/>
              </w:rPr>
              <w:t>Fully-extended maturity</w:t>
            </w:r>
          </w:p>
        </w:tc>
        <w:tc>
          <w:tcPr>
            <w:tcW w:w="2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January 10, 2022</w:t>
            </w:r>
          </w:p>
        </w:tc>
      </w:tr>
      <w:tr>
        <w:trPr>
          <w:trHeight w:val="180"/>
        </w:trPr>
        <w:tc>
          <w:tcPr>
            <w:tcW w:w="4680" w:type="dxa"/>
            <w:vAlign w:val="bottom"/>
            <w:shd w:val="clear" w:color="auto" w:fill="DBDBDB"/>
          </w:tcPr>
          <w:p>
            <w:pPr>
              <w:spacing w:after="0"/>
              <w:rPr>
                <w:sz w:val="20"/>
                <w:szCs w:val="20"/>
                <w:color w:val="auto"/>
              </w:rPr>
            </w:pPr>
            <w:r>
              <w:rPr>
                <w:rFonts w:ascii="Arial" w:cs="Arial" w:eastAsia="Arial" w:hAnsi="Arial"/>
                <w:sz w:val="12"/>
                <w:szCs w:val="12"/>
                <w:color w:val="auto"/>
              </w:rPr>
              <w:t>Interest rate</w:t>
            </w:r>
          </w:p>
        </w:tc>
        <w:tc>
          <w:tcPr>
            <w:tcW w:w="2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LIBOR + 2.75%</w:t>
            </w:r>
          </w:p>
        </w:tc>
      </w:tr>
    </w:tbl>
    <w:p>
      <w:pPr>
        <w:spacing w:after="0" w:line="18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666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Financial covenants as defined in the Credit Agreement</w:t>
            </w:r>
            <w:r>
              <w:rPr>
                <w:rFonts w:ascii="Arial" w:cs="Arial" w:eastAsia="Arial" w:hAnsi="Arial"/>
                <w:sz w:val="15"/>
                <w:szCs w:val="15"/>
                <w:color w:val="auto"/>
                <w:vertAlign w:val="superscript"/>
              </w:rPr>
              <w:t>(1)</w:t>
            </w:r>
            <w:r>
              <w:rPr>
                <w:rFonts w:ascii="Arial" w:cs="Arial" w:eastAsia="Arial" w:hAnsi="Arial"/>
                <w:sz w:val="12"/>
                <w:szCs w:val="12"/>
                <w:color w:val="auto"/>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Covenant level</w:t>
            </w:r>
          </w:p>
        </w:tc>
      </w:tr>
      <w:tr>
        <w:trPr>
          <w:trHeight w:val="160"/>
        </w:trPr>
        <w:tc>
          <w:tcPr>
            <w:tcW w:w="6660" w:type="dxa"/>
            <w:vAlign w:val="bottom"/>
            <w:shd w:val="clear" w:color="auto" w:fill="DBDBDB"/>
          </w:tcPr>
          <w:p>
            <w:pPr>
              <w:ind w:left="120"/>
              <w:spacing w:after="0"/>
              <w:rPr>
                <w:sz w:val="20"/>
                <w:szCs w:val="20"/>
                <w:color w:val="auto"/>
              </w:rPr>
            </w:pPr>
            <w:r>
              <w:rPr>
                <w:rFonts w:ascii="Arial" w:cs="Arial" w:eastAsia="Arial" w:hAnsi="Arial"/>
                <w:sz w:val="12"/>
                <w:szCs w:val="12"/>
                <w:color w:val="auto"/>
              </w:rPr>
              <w:t>Consolidated Tangible Net Worth</w:t>
            </w:r>
          </w:p>
        </w:tc>
        <w:tc>
          <w:tcPr>
            <w:tcW w:w="164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Minimum $1,740 million</w:t>
            </w:r>
          </w:p>
        </w:tc>
      </w:tr>
      <w:tr>
        <w:trPr>
          <w:trHeight w:val="180"/>
        </w:trPr>
        <w:tc>
          <w:tcPr>
            <w:tcW w:w="6660" w:type="dxa"/>
            <w:vAlign w:val="bottom"/>
          </w:tcPr>
          <w:p>
            <w:pPr>
              <w:ind w:left="120"/>
              <w:spacing w:after="0"/>
              <w:rPr>
                <w:sz w:val="20"/>
                <w:szCs w:val="20"/>
                <w:color w:val="auto"/>
              </w:rPr>
            </w:pPr>
            <w:r>
              <w:rPr>
                <w:rFonts w:ascii="Arial" w:cs="Arial" w:eastAsia="Arial" w:hAnsi="Arial"/>
                <w:sz w:val="12"/>
                <w:szCs w:val="12"/>
                <w:color w:val="auto"/>
              </w:rPr>
              <w:t>Consolidated Fixed Charge Coverage Ratio</w:t>
            </w:r>
            <w:r>
              <w:rPr>
                <w:rFonts w:ascii="Arial" w:cs="Arial" w:eastAsia="Arial" w:hAnsi="Arial"/>
                <w:sz w:val="15"/>
                <w:szCs w:val="15"/>
                <w:color w:val="auto"/>
                <w:vertAlign w:val="superscript"/>
              </w:rPr>
              <w:t>(2)</w:t>
            </w:r>
          </w:p>
        </w:tc>
        <w:tc>
          <w:tcPr>
            <w:tcW w:w="1640" w:type="dxa"/>
            <w:vAlign w:val="bottom"/>
          </w:tcPr>
          <w:p>
            <w:pPr>
              <w:jc w:val="center"/>
              <w:spacing w:after="0"/>
              <w:rPr>
                <w:sz w:val="20"/>
                <w:szCs w:val="20"/>
                <w:color w:val="auto"/>
              </w:rPr>
            </w:pPr>
            <w:r>
              <w:rPr>
                <w:rFonts w:ascii="Arial" w:cs="Arial" w:eastAsia="Arial" w:hAnsi="Arial"/>
                <w:sz w:val="12"/>
                <w:szCs w:val="12"/>
                <w:color w:val="auto"/>
              </w:rPr>
              <w:t>Minimum 1.30 to 1.00</w:t>
            </w:r>
          </w:p>
        </w:tc>
      </w:tr>
      <w:tr>
        <w:trPr>
          <w:trHeight w:val="180"/>
        </w:trPr>
        <w:tc>
          <w:tcPr>
            <w:tcW w:w="6660" w:type="dxa"/>
            <w:vAlign w:val="bottom"/>
            <w:shd w:val="clear" w:color="auto" w:fill="DBDBDB"/>
          </w:tcPr>
          <w:p>
            <w:pPr>
              <w:ind w:left="120"/>
              <w:spacing w:after="0"/>
              <w:rPr>
                <w:sz w:val="20"/>
                <w:szCs w:val="20"/>
                <w:color w:val="auto"/>
              </w:rPr>
            </w:pPr>
            <w:r>
              <w:rPr>
                <w:rFonts w:ascii="Arial" w:cs="Arial" w:eastAsia="Arial" w:hAnsi="Arial"/>
                <w:sz w:val="12"/>
                <w:szCs w:val="12"/>
                <w:color w:val="auto"/>
              </w:rPr>
              <w:t>Interest Coverage Ratio</w:t>
            </w:r>
            <w:r>
              <w:rPr>
                <w:rFonts w:ascii="Arial" w:cs="Arial" w:eastAsia="Arial" w:hAnsi="Arial"/>
                <w:sz w:val="15"/>
                <w:szCs w:val="15"/>
                <w:color w:val="auto"/>
                <w:vertAlign w:val="superscript"/>
              </w:rPr>
              <w:t>(3)</w:t>
            </w:r>
          </w:p>
        </w:tc>
        <w:tc>
          <w:tcPr>
            <w:tcW w:w="164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Minimum 3.00 to 1.00</w:t>
            </w:r>
          </w:p>
        </w:tc>
      </w:tr>
      <w:tr>
        <w:trPr>
          <w:trHeight w:val="180"/>
        </w:trPr>
        <w:tc>
          <w:tcPr>
            <w:tcW w:w="6660" w:type="dxa"/>
            <w:vAlign w:val="bottom"/>
          </w:tcPr>
          <w:p>
            <w:pPr>
              <w:ind w:left="120"/>
              <w:spacing w:after="0"/>
              <w:rPr>
                <w:sz w:val="20"/>
                <w:szCs w:val="20"/>
                <w:color w:val="auto"/>
              </w:rPr>
            </w:pPr>
            <w:r>
              <w:rPr>
                <w:rFonts w:ascii="Arial" w:cs="Arial" w:eastAsia="Arial" w:hAnsi="Arial"/>
                <w:sz w:val="12"/>
                <w:szCs w:val="12"/>
                <w:color w:val="auto"/>
              </w:rPr>
              <w:t>Consolidated Leverage Ratio</w:t>
            </w:r>
          </w:p>
        </w:tc>
        <w:tc>
          <w:tcPr>
            <w:tcW w:w="1640" w:type="dxa"/>
            <w:vAlign w:val="bottom"/>
          </w:tcPr>
          <w:p>
            <w:pPr>
              <w:jc w:val="center"/>
              <w:spacing w:after="0"/>
              <w:rPr>
                <w:sz w:val="20"/>
                <w:szCs w:val="20"/>
                <w:color w:val="auto"/>
              </w:rPr>
            </w:pPr>
            <w:r>
              <w:rPr>
                <w:rFonts w:ascii="Arial" w:cs="Arial" w:eastAsia="Arial" w:hAnsi="Arial"/>
                <w:sz w:val="12"/>
                <w:szCs w:val="12"/>
                <w:color w:val="auto"/>
                <w:w w:val="99"/>
              </w:rPr>
              <w:t>Maximum 0.65 to 1.00</w:t>
            </w:r>
          </w:p>
        </w:tc>
      </w:tr>
      <w:tr>
        <w:trPr>
          <w:trHeight w:val="180"/>
        </w:trPr>
        <w:tc>
          <w:tcPr>
            <w:tcW w:w="6660" w:type="dxa"/>
            <w:vAlign w:val="bottom"/>
            <w:shd w:val="clear" w:color="auto" w:fill="DBDBDB"/>
          </w:tcPr>
          <w:p>
            <w:pPr>
              <w:spacing w:after="0"/>
              <w:rPr>
                <w:sz w:val="15"/>
                <w:szCs w:val="15"/>
                <w:color w:val="auto"/>
              </w:rPr>
            </w:pPr>
          </w:p>
        </w:tc>
        <w:tc>
          <w:tcPr>
            <w:tcW w:w="1640" w:type="dxa"/>
            <w:vAlign w:val="bottom"/>
            <w:shd w:val="clear" w:color="auto" w:fill="DBDBDB"/>
          </w:tcPr>
          <w:p>
            <w:pPr>
              <w:spacing w:after="0"/>
              <w:rPr>
                <w:sz w:val="15"/>
                <w:szCs w:val="15"/>
                <w:color w:val="auto"/>
              </w:rPr>
            </w:pPr>
          </w:p>
        </w:tc>
      </w:tr>
      <w:tr>
        <w:trPr>
          <w:trHeight w:val="180"/>
        </w:trPr>
        <w:tc>
          <w:tcPr>
            <w:tcW w:w="6660" w:type="dxa"/>
            <w:vAlign w:val="bottom"/>
          </w:tcPr>
          <w:p>
            <w:pPr>
              <w:spacing w:after="0"/>
              <w:rPr>
                <w:sz w:val="20"/>
                <w:szCs w:val="20"/>
                <w:color w:val="auto"/>
              </w:rPr>
            </w:pPr>
            <w:r>
              <w:rPr>
                <w:rFonts w:ascii="Arial" w:cs="Arial" w:eastAsia="Arial" w:hAnsi="Arial"/>
                <w:sz w:val="12"/>
                <w:szCs w:val="12"/>
                <w:color w:val="auto"/>
              </w:rPr>
              <w:t>Company status: As of March 31, 2021, CLNY is meeting all required covenant threshold levels.</w:t>
            </w:r>
          </w:p>
        </w:tc>
        <w:tc>
          <w:tcPr>
            <w:tcW w:w="16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25" w:lineRule="exact"/>
        <w:rPr>
          <w:sz w:val="20"/>
          <w:szCs w:val="20"/>
          <w:color w:val="auto"/>
        </w:rPr>
      </w:pPr>
    </w:p>
    <w:p>
      <w:pPr>
        <w:ind w:left="188" w:hanging="188"/>
        <w:spacing w:after="0"/>
        <w:tabs>
          <w:tab w:leader="none" w:pos="188" w:val="left"/>
        </w:tabs>
        <w:numPr>
          <w:ilvl w:val="0"/>
          <w:numId w:val="22"/>
        </w:numPr>
        <w:rPr>
          <w:rFonts w:ascii="Arial" w:cs="Arial" w:eastAsia="Arial" w:hAnsi="Arial"/>
          <w:sz w:val="8"/>
          <w:szCs w:val="8"/>
          <w:color w:val="424242"/>
        </w:rPr>
      </w:pPr>
      <w:r>
        <w:rPr>
          <w:rFonts w:ascii="Arial" w:cs="Arial" w:eastAsia="Arial" w:hAnsi="Arial"/>
          <w:sz w:val="8"/>
          <w:szCs w:val="8"/>
          <w:color w:val="424242"/>
        </w:rPr>
        <w:t>The Company's credit agreement allows for the exclusion of the assets, debt, fixed charges and earnings of investments with non-recourse debt at the Company's election.</w:t>
      </w:r>
    </w:p>
    <w:p>
      <w:pPr>
        <w:spacing w:after="0" w:line="16" w:lineRule="exact"/>
        <w:rPr>
          <w:rFonts w:ascii="Arial" w:cs="Arial" w:eastAsia="Arial" w:hAnsi="Arial"/>
          <w:sz w:val="8"/>
          <w:szCs w:val="8"/>
          <w:color w:val="424242"/>
        </w:rPr>
      </w:pPr>
    </w:p>
    <w:p>
      <w:pPr>
        <w:ind w:left="188" w:hanging="188"/>
        <w:spacing w:after="0"/>
        <w:tabs>
          <w:tab w:leader="none" w:pos="188" w:val="left"/>
        </w:tabs>
        <w:numPr>
          <w:ilvl w:val="0"/>
          <w:numId w:val="22"/>
        </w:numPr>
        <w:rPr>
          <w:rFonts w:ascii="Arial" w:cs="Arial" w:eastAsia="Arial" w:hAnsi="Arial"/>
          <w:sz w:val="8"/>
          <w:szCs w:val="8"/>
          <w:color w:val="424242"/>
        </w:rPr>
      </w:pPr>
      <w:r>
        <w:rPr>
          <w:rFonts w:ascii="Arial" w:cs="Arial" w:eastAsia="Arial" w:hAnsi="Arial"/>
          <w:sz w:val="8"/>
          <w:szCs w:val="8"/>
          <w:color w:val="424242"/>
        </w:rPr>
        <w:t>The borrowing base is discounted by 10% at a Fixed Charge Coverage Ratio between 1.30 and 1.50 to 1.00.</w:t>
      </w:r>
    </w:p>
    <w:p>
      <w:pPr>
        <w:spacing w:after="0" w:line="16" w:lineRule="exact"/>
        <w:rPr>
          <w:rFonts w:ascii="Arial" w:cs="Arial" w:eastAsia="Arial" w:hAnsi="Arial"/>
          <w:sz w:val="8"/>
          <w:szCs w:val="8"/>
          <w:color w:val="424242"/>
        </w:rPr>
      </w:pPr>
    </w:p>
    <w:p>
      <w:pPr>
        <w:ind w:left="208" w:right="20" w:hanging="208"/>
        <w:spacing w:after="0" w:line="279" w:lineRule="auto"/>
        <w:tabs>
          <w:tab w:leader="none" w:pos="188" w:val="left"/>
        </w:tabs>
        <w:numPr>
          <w:ilvl w:val="0"/>
          <w:numId w:val="22"/>
        </w:numPr>
        <w:rPr>
          <w:rFonts w:ascii="Arial" w:cs="Arial" w:eastAsia="Arial" w:hAnsi="Arial"/>
          <w:sz w:val="8"/>
          <w:szCs w:val="8"/>
          <w:color w:val="424242"/>
        </w:rPr>
      </w:pPr>
      <w:r>
        <w:rPr>
          <w:rFonts w:ascii="Arial" w:cs="Arial" w:eastAsia="Arial" w:hAnsi="Arial"/>
          <w:sz w:val="8"/>
          <w:szCs w:val="8"/>
          <w:color w:val="424242"/>
        </w:rPr>
        <w:t>Interest Coverage Ratio represents the ratio of the sum of (1) earnings from borrowing base assets and (2) certain investment management earnings divided by the greater of (a) actual interest expense on the revolving credit facility and (b) the average balance of the facility multiplied by 7.0% for the applicable quarter.</w:t>
      </w:r>
    </w:p>
    <w:p>
      <w:pPr>
        <w:spacing w:after="0" w:line="31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15</w:t>
            </w:r>
          </w:p>
        </w:tc>
      </w:tr>
    </w:tbl>
    <w:p>
      <w:pPr>
        <w:sectPr>
          <w:pgSz w:w="11900" w:h="16838" w:orient="portrait"/>
          <w:cols w:equalWidth="0" w:num="1">
            <w:col w:w="11308"/>
          </w:cols>
          <w:pgMar w:left="292" w:top="158" w:right="299" w:bottom="1440" w:gutter="0" w:footer="0" w:header="0"/>
        </w:sectPr>
      </w:pPr>
    </w:p>
    <w:bookmarkStart w:id="30" w:name="page31"/>
    <w:bookmarkEnd w:id="30"/>
    <w:p>
      <w:pPr>
        <w:ind w:left="8"/>
        <w:spacing w:after="0"/>
        <w:rPr>
          <w:sz w:val="20"/>
          <w:szCs w:val="20"/>
          <w:color w:val="auto"/>
        </w:rPr>
      </w:pPr>
      <w:r>
        <w:rPr>
          <w:rFonts w:ascii="Arial" w:cs="Arial" w:eastAsia="Arial" w:hAnsi="Arial"/>
          <w:sz w:val="29"/>
          <w:szCs w:val="29"/>
          <w:color w:val="auto"/>
        </w:rPr>
        <w:t>IIIc. Capitalization - Convertible/Exchangeable Notes &amp; Perpetual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8"/>
        <w:spacing w:after="0"/>
        <w:rPr>
          <w:sz w:val="20"/>
          <w:szCs w:val="20"/>
          <w:color w:val="auto"/>
        </w:rPr>
      </w:pPr>
      <w:r>
        <w:rPr>
          <w:rFonts w:ascii="Arial" w:cs="Arial" w:eastAsia="Arial" w:hAnsi="Arial"/>
          <w:sz w:val="11"/>
          <w:szCs w:val="11"/>
          <w:i w:val="1"/>
          <w:iCs w:val="1"/>
          <w:color w:val="auto"/>
        </w:rPr>
        <w:t>($ in thousands; except per share data; as of March 31, 2021, unless otherwise noted)</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003366"/>
        </w:rPr>
        <w:t>Convertible/exchangeable debt</w:t>
      </w:r>
    </w:p>
    <w:tbl>
      <w:tblPr>
        <w:tblLayout w:type="fixed"/>
        <w:tblInd w:w="8" w:type="dxa"/>
        <w:tblCellMar>
          <w:top w:w="0" w:type="dxa"/>
          <w:left w:w="0" w:type="dxa"/>
          <w:bottom w:w="0" w:type="dxa"/>
          <w:right w:w="0" w:type="dxa"/>
        </w:tblCellMar>
      </w:tblPr>
      <w:tr>
        <w:trPr>
          <w:trHeight w:val="118"/>
        </w:trPr>
        <w:tc>
          <w:tcPr>
            <w:tcW w:w="3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tcPr>
          <w:p>
            <w:pPr>
              <w:jc w:val="center"/>
              <w:ind w:right="80"/>
              <w:spacing w:after="0" w:line="118" w:lineRule="exact"/>
              <w:rPr>
                <w:sz w:val="20"/>
                <w:szCs w:val="20"/>
                <w:color w:val="auto"/>
              </w:rPr>
            </w:pPr>
            <w:r>
              <w:rPr>
                <w:rFonts w:ascii="Arial" w:cs="Arial" w:eastAsia="Arial" w:hAnsi="Arial"/>
                <w:sz w:val="11"/>
                <w:szCs w:val="11"/>
                <w:b w:val="1"/>
                <w:bCs w:val="1"/>
                <w:color w:val="auto"/>
              </w:rPr>
              <w:t>Conversion price (per</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ind w:right="124"/>
              <w:spacing w:after="0"/>
              <w:rPr>
                <w:sz w:val="20"/>
                <w:szCs w:val="20"/>
                <w:color w:val="auto"/>
              </w:rPr>
            </w:pPr>
            <w:r>
              <w:rPr>
                <w:rFonts w:ascii="Arial" w:cs="Arial" w:eastAsia="Arial" w:hAnsi="Arial"/>
                <w:sz w:val="11"/>
                <w:szCs w:val="11"/>
                <w:b w:val="1"/>
                <w:bCs w:val="1"/>
                <w:color w:val="auto"/>
              </w:rPr>
              <w:t>Conversion</w:t>
            </w:r>
          </w:p>
        </w:tc>
        <w:tc>
          <w:tcPr>
            <w:tcW w:w="0" w:type="dxa"/>
            <w:vAlign w:val="bottom"/>
          </w:tcPr>
          <w:p>
            <w:pPr>
              <w:spacing w:after="0"/>
              <w:rPr>
                <w:sz w:val="1"/>
                <w:szCs w:val="1"/>
                <w:color w:val="auto"/>
              </w:rPr>
            </w:pPr>
          </w:p>
        </w:tc>
      </w:tr>
      <w:tr>
        <w:trPr>
          <w:trHeight w:val="108"/>
        </w:trPr>
        <w:tc>
          <w:tcPr>
            <w:tcW w:w="3900" w:type="dxa"/>
            <w:vAlign w:val="bottom"/>
            <w:vMerge w:val="restart"/>
          </w:tcPr>
          <w:p>
            <w:pPr>
              <w:ind w:left="1640"/>
              <w:spacing w:after="0"/>
              <w:rPr>
                <w:sz w:val="20"/>
                <w:szCs w:val="20"/>
                <w:color w:val="auto"/>
              </w:rPr>
            </w:pPr>
            <w:r>
              <w:rPr>
                <w:rFonts w:ascii="Arial" w:cs="Arial" w:eastAsia="Arial" w:hAnsi="Arial"/>
                <w:sz w:val="11"/>
                <w:szCs w:val="11"/>
                <w:b w:val="1"/>
                <w:bCs w:val="1"/>
                <w:color w:val="auto"/>
              </w:rPr>
              <w:t>Description</w:t>
            </w:r>
          </w:p>
        </w:tc>
        <w:tc>
          <w:tcPr>
            <w:tcW w:w="8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1"/>
                <w:szCs w:val="11"/>
                <w:b w:val="1"/>
                <w:bCs w:val="1"/>
                <w:color w:val="auto"/>
                <w:w w:val="98"/>
              </w:rPr>
              <w:t>Outstanding principal</w:t>
            </w:r>
          </w:p>
        </w:tc>
        <w:tc>
          <w:tcPr>
            <w:tcW w:w="8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Final due date</w:t>
            </w:r>
            <w:r>
              <w:rPr>
                <w:rFonts w:ascii="Arial" w:cs="Arial" w:eastAsia="Arial" w:hAnsi="Arial"/>
                <w:sz w:val="14"/>
                <w:szCs w:val="14"/>
                <w:b w:val="1"/>
                <w:bCs w:val="1"/>
                <w:color w:val="auto"/>
                <w:w w:val="95"/>
                <w:vertAlign w:val="superscript"/>
              </w:rPr>
              <w:t>(1)</w:t>
            </w:r>
          </w:p>
        </w:tc>
        <w:tc>
          <w:tcPr>
            <w:tcW w:w="80" w:type="dxa"/>
            <w:vAlign w:val="bottom"/>
            <w:vMerge w:val="restart"/>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Interest rate</w:t>
            </w:r>
          </w:p>
        </w:tc>
        <w:tc>
          <w:tcPr>
            <w:tcW w:w="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share of common</w:t>
            </w:r>
          </w:p>
        </w:tc>
        <w:tc>
          <w:tcPr>
            <w:tcW w:w="9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Conversion ratio</w:t>
            </w:r>
          </w:p>
        </w:tc>
        <w:tc>
          <w:tcPr>
            <w:tcW w:w="80" w:type="dxa"/>
            <w:vAlign w:val="bottom"/>
            <w:vMerge w:val="restart"/>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9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64"/>
              <w:spacing w:after="0"/>
              <w:rPr>
                <w:sz w:val="20"/>
                <w:szCs w:val="20"/>
                <w:color w:val="auto"/>
              </w:rPr>
            </w:pPr>
            <w:r>
              <w:rPr>
                <w:rFonts w:ascii="Arial" w:cs="Arial" w:eastAsia="Arial" w:hAnsi="Arial"/>
                <w:sz w:val="11"/>
                <w:szCs w:val="11"/>
                <w:b w:val="1"/>
                <w:bCs w:val="1"/>
                <w:color w:val="auto"/>
                <w:w w:val="98"/>
              </w:rPr>
              <w:t>stock)</w:t>
            </w:r>
          </w:p>
        </w:tc>
        <w:tc>
          <w:tcPr>
            <w:tcW w:w="80" w:type="dxa"/>
            <w:vAlign w:val="bottom"/>
            <w:tcBorders>
              <w:bottom w:val="single" w:sz="8" w:color="DBDBDB"/>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vMerge w:val="continue"/>
          </w:tcPr>
          <w:p>
            <w:pPr>
              <w:spacing w:after="0"/>
              <w:rPr>
                <w:sz w:val="12"/>
                <w:szCs w:val="12"/>
                <w:color w:val="auto"/>
              </w:rPr>
            </w:pPr>
          </w:p>
        </w:tc>
        <w:tc>
          <w:tcPr>
            <w:tcW w:w="96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shares</w:t>
            </w:r>
          </w:p>
        </w:tc>
        <w:tc>
          <w:tcPr>
            <w:tcW w:w="0" w:type="dxa"/>
            <w:vAlign w:val="bottom"/>
          </w:tcPr>
          <w:p>
            <w:pPr>
              <w:spacing w:after="0"/>
              <w:rPr>
                <w:sz w:val="1"/>
                <w:szCs w:val="1"/>
                <w:color w:val="auto"/>
              </w:rPr>
            </w:pPr>
          </w:p>
        </w:tc>
      </w:tr>
      <w:tr>
        <w:trPr>
          <w:trHeight w:val="133"/>
        </w:trPr>
        <w:tc>
          <w:tcPr>
            <w:tcW w:w="3980" w:type="dxa"/>
            <w:vAlign w:val="bottom"/>
            <w:gridSpan w:val="2"/>
            <w:shd w:val="clear" w:color="auto" w:fill="DBDBDB"/>
          </w:tcPr>
          <w:p>
            <w:pPr>
              <w:spacing w:after="0"/>
              <w:rPr>
                <w:sz w:val="20"/>
                <w:szCs w:val="20"/>
                <w:color w:val="auto"/>
              </w:rPr>
            </w:pPr>
            <w:r>
              <w:rPr>
                <w:rFonts w:ascii="Arial" w:cs="Arial" w:eastAsia="Arial" w:hAnsi="Arial"/>
                <w:sz w:val="11"/>
                <w:szCs w:val="11"/>
                <w:color w:val="auto"/>
              </w:rPr>
              <w:t>5.75% Exchangeable senior notes</w:t>
            </w: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300,000</w:t>
            </w:r>
          </w:p>
        </w:tc>
        <w:tc>
          <w:tcPr>
            <w:tcW w:w="80" w:type="dxa"/>
            <w:vAlign w:val="bottom"/>
            <w:shd w:val="clear" w:color="auto" w:fill="DBDBDB"/>
          </w:tcPr>
          <w:p>
            <w:pPr>
              <w:spacing w:after="0"/>
              <w:rPr>
                <w:sz w:val="11"/>
                <w:szCs w:val="11"/>
                <w:color w:val="auto"/>
              </w:rPr>
            </w:pPr>
          </w:p>
        </w:tc>
        <w:tc>
          <w:tcPr>
            <w:tcW w:w="1580" w:type="dxa"/>
            <w:vAlign w:val="bottom"/>
            <w:gridSpan w:val="2"/>
            <w:shd w:val="clear" w:color="auto" w:fill="DBDBDB"/>
          </w:tcPr>
          <w:p>
            <w:pPr>
              <w:jc w:val="center"/>
              <w:ind w:right="80"/>
              <w:spacing w:after="0"/>
              <w:rPr>
                <w:sz w:val="20"/>
                <w:szCs w:val="20"/>
                <w:color w:val="auto"/>
              </w:rPr>
            </w:pPr>
            <w:r>
              <w:rPr>
                <w:rFonts w:ascii="Arial" w:cs="Arial" w:eastAsia="Arial" w:hAnsi="Arial"/>
                <w:sz w:val="11"/>
                <w:szCs w:val="11"/>
                <w:color w:val="auto"/>
              </w:rPr>
              <w:t>July 15, 2025</w:t>
            </w:r>
          </w:p>
        </w:tc>
        <w:tc>
          <w:tcPr>
            <w:tcW w:w="1120" w:type="dxa"/>
            <w:vAlign w:val="bottom"/>
            <w:gridSpan w:val="2"/>
            <w:shd w:val="clear" w:color="auto" w:fill="DBDBDB"/>
          </w:tcPr>
          <w:p>
            <w:pPr>
              <w:jc w:val="center"/>
              <w:ind w:right="80"/>
              <w:spacing w:after="0"/>
              <w:rPr>
                <w:sz w:val="20"/>
                <w:szCs w:val="20"/>
                <w:color w:val="auto"/>
              </w:rPr>
            </w:pPr>
            <w:r>
              <w:rPr>
                <w:rFonts w:ascii="Arial" w:cs="Arial" w:eastAsia="Arial" w:hAnsi="Arial"/>
                <w:sz w:val="11"/>
                <w:szCs w:val="11"/>
                <w:color w:val="auto"/>
              </w:rPr>
              <w:t>5.75% fixed</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2.30</w:t>
            </w:r>
          </w:p>
        </w:tc>
        <w:tc>
          <w:tcPr>
            <w:tcW w:w="80" w:type="dxa"/>
            <w:vAlign w:val="bottom"/>
            <w:shd w:val="clear" w:color="auto" w:fill="DBDBDB"/>
          </w:tcPr>
          <w:p>
            <w:pPr>
              <w:spacing w:after="0"/>
              <w:rPr>
                <w:sz w:val="11"/>
                <w:szCs w:val="1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434.7826</w:t>
            </w:r>
          </w:p>
        </w:tc>
        <w:tc>
          <w:tcPr>
            <w:tcW w:w="80" w:type="dxa"/>
            <w:vAlign w:val="bottom"/>
            <w:shd w:val="clear" w:color="auto" w:fill="DBDBDB"/>
          </w:tcPr>
          <w:p>
            <w:pPr>
              <w:spacing w:after="0"/>
              <w:rPr>
                <w:sz w:val="11"/>
                <w:szCs w:val="11"/>
                <w:color w:val="auto"/>
              </w:rPr>
            </w:pPr>
          </w:p>
        </w:tc>
        <w:tc>
          <w:tcPr>
            <w:tcW w:w="96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130,435</w:t>
            </w:r>
          </w:p>
        </w:tc>
        <w:tc>
          <w:tcPr>
            <w:tcW w:w="0" w:type="dxa"/>
            <w:vAlign w:val="bottom"/>
          </w:tcPr>
          <w:p>
            <w:pPr>
              <w:spacing w:after="0"/>
              <w:rPr>
                <w:sz w:val="1"/>
                <w:szCs w:val="1"/>
                <w:color w:val="auto"/>
              </w:rPr>
            </w:pPr>
          </w:p>
        </w:tc>
      </w:tr>
      <w:tr>
        <w:trPr>
          <w:trHeight w:val="143"/>
        </w:trPr>
        <w:tc>
          <w:tcPr>
            <w:tcW w:w="3980" w:type="dxa"/>
            <w:vAlign w:val="bottom"/>
            <w:gridSpan w:val="2"/>
          </w:tcPr>
          <w:p>
            <w:pPr>
              <w:spacing w:after="0"/>
              <w:rPr>
                <w:sz w:val="20"/>
                <w:szCs w:val="20"/>
                <w:color w:val="auto"/>
              </w:rPr>
            </w:pPr>
            <w:r>
              <w:rPr>
                <w:rFonts w:ascii="Arial" w:cs="Arial" w:eastAsia="Arial" w:hAnsi="Arial"/>
                <w:sz w:val="11"/>
                <w:szCs w:val="11"/>
                <w:color w:val="auto"/>
              </w:rPr>
              <w:t>5.0% Convertible senior notes</w:t>
            </w:r>
          </w:p>
        </w:tc>
        <w:tc>
          <w:tcPr>
            <w:tcW w:w="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200,000</w:t>
            </w:r>
          </w:p>
        </w:tc>
        <w:tc>
          <w:tcPr>
            <w:tcW w:w="80" w:type="dxa"/>
            <w:vAlign w:val="bottom"/>
          </w:tcPr>
          <w:p>
            <w:pPr>
              <w:spacing w:after="0"/>
              <w:rPr>
                <w:sz w:val="12"/>
                <w:szCs w:val="12"/>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1"/>
                <w:szCs w:val="11"/>
                <w:color w:val="auto"/>
              </w:rPr>
              <w:t>April 15, 2023</w:t>
            </w:r>
          </w:p>
        </w:tc>
        <w:tc>
          <w:tcPr>
            <w:tcW w:w="1120" w:type="dxa"/>
            <w:vAlign w:val="bottom"/>
            <w:gridSpan w:val="2"/>
          </w:tcPr>
          <w:p>
            <w:pPr>
              <w:jc w:val="center"/>
              <w:ind w:right="80"/>
              <w:spacing w:after="0"/>
              <w:rPr>
                <w:sz w:val="20"/>
                <w:szCs w:val="20"/>
                <w:color w:val="auto"/>
              </w:rPr>
            </w:pPr>
            <w:r>
              <w:rPr>
                <w:rFonts w:ascii="Arial" w:cs="Arial" w:eastAsia="Arial" w:hAnsi="Arial"/>
                <w:sz w:val="11"/>
                <w:szCs w:val="11"/>
                <w:color w:val="auto"/>
              </w:rPr>
              <w:t>5.00% fixed</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15.76</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63.4700</w:t>
            </w:r>
          </w:p>
        </w:tc>
        <w:tc>
          <w:tcPr>
            <w:tcW w:w="80" w:type="dxa"/>
            <w:vAlign w:val="bottom"/>
          </w:tcPr>
          <w:p>
            <w:pPr>
              <w:spacing w:after="0"/>
              <w:rPr>
                <w:sz w:val="12"/>
                <w:szCs w:val="12"/>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12,694</w:t>
            </w:r>
          </w:p>
        </w:tc>
        <w:tc>
          <w:tcPr>
            <w:tcW w:w="0" w:type="dxa"/>
            <w:vAlign w:val="bottom"/>
          </w:tcPr>
          <w:p>
            <w:pPr>
              <w:spacing w:after="0"/>
              <w:rPr>
                <w:sz w:val="1"/>
                <w:szCs w:val="1"/>
                <w:color w:val="auto"/>
              </w:rPr>
            </w:pPr>
          </w:p>
        </w:tc>
      </w:tr>
      <w:tr>
        <w:trPr>
          <w:trHeight w:val="144"/>
        </w:trPr>
        <w:tc>
          <w:tcPr>
            <w:tcW w:w="3980" w:type="dxa"/>
            <w:vAlign w:val="bottom"/>
            <w:gridSpan w:val="2"/>
            <w:shd w:val="clear" w:color="auto" w:fill="DBDBDB"/>
          </w:tcPr>
          <w:p>
            <w:pPr>
              <w:spacing w:after="0"/>
              <w:rPr>
                <w:sz w:val="20"/>
                <w:szCs w:val="20"/>
                <w:color w:val="auto"/>
              </w:rPr>
            </w:pPr>
            <w:r>
              <w:rPr>
                <w:rFonts w:ascii="Arial" w:cs="Arial" w:eastAsia="Arial" w:hAnsi="Arial"/>
                <w:sz w:val="11"/>
                <w:szCs w:val="11"/>
                <w:color w:val="auto"/>
              </w:rPr>
              <w:t>5.375% Exchangeable senior notes</w:t>
            </w:r>
          </w:p>
        </w:tc>
        <w:tc>
          <w:tcPr>
            <w:tcW w:w="80" w:type="dxa"/>
            <w:vAlign w:val="bottom"/>
            <w:tcBorders>
              <w:bottom w:val="single" w:sz="8" w:color="auto"/>
            </w:tcBorders>
            <w:shd w:val="clear" w:color="auto" w:fill="DBDBDB"/>
          </w:tcPr>
          <w:p>
            <w:pPr>
              <w:spacing w:after="0"/>
              <w:rPr>
                <w:sz w:val="12"/>
                <w:szCs w:val="12"/>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13,605</w:t>
            </w:r>
          </w:p>
        </w:tc>
        <w:tc>
          <w:tcPr>
            <w:tcW w:w="80" w:type="dxa"/>
            <w:vAlign w:val="bottom"/>
            <w:shd w:val="clear" w:color="auto" w:fill="DBDBDB"/>
          </w:tcPr>
          <w:p>
            <w:pPr>
              <w:spacing w:after="0"/>
              <w:rPr>
                <w:sz w:val="12"/>
                <w:szCs w:val="12"/>
                <w:color w:val="auto"/>
              </w:rPr>
            </w:pPr>
          </w:p>
        </w:tc>
        <w:tc>
          <w:tcPr>
            <w:tcW w:w="1580" w:type="dxa"/>
            <w:vAlign w:val="bottom"/>
            <w:gridSpan w:val="2"/>
            <w:shd w:val="clear" w:color="auto" w:fill="DBDBDB"/>
          </w:tcPr>
          <w:p>
            <w:pPr>
              <w:jc w:val="center"/>
              <w:ind w:right="80"/>
              <w:spacing w:after="0"/>
              <w:rPr>
                <w:sz w:val="20"/>
                <w:szCs w:val="20"/>
                <w:color w:val="auto"/>
              </w:rPr>
            </w:pPr>
            <w:r>
              <w:rPr>
                <w:rFonts w:ascii="Arial" w:cs="Arial" w:eastAsia="Arial" w:hAnsi="Arial"/>
                <w:sz w:val="11"/>
                <w:szCs w:val="11"/>
                <w:color w:val="auto"/>
              </w:rPr>
              <w:t>June 15, 2033</w:t>
            </w:r>
          </w:p>
        </w:tc>
        <w:tc>
          <w:tcPr>
            <w:tcW w:w="1120" w:type="dxa"/>
            <w:vAlign w:val="bottom"/>
            <w:gridSpan w:val="2"/>
            <w:shd w:val="clear" w:color="auto" w:fill="DBDBDB"/>
          </w:tcPr>
          <w:p>
            <w:pPr>
              <w:jc w:val="center"/>
              <w:ind w:right="80"/>
              <w:spacing w:after="0"/>
              <w:rPr>
                <w:sz w:val="20"/>
                <w:szCs w:val="20"/>
                <w:color w:val="auto"/>
              </w:rPr>
            </w:pPr>
            <w:r>
              <w:rPr>
                <w:rFonts w:ascii="Arial" w:cs="Arial" w:eastAsia="Arial" w:hAnsi="Arial"/>
                <w:sz w:val="11"/>
                <w:szCs w:val="11"/>
                <w:color w:val="auto"/>
              </w:rPr>
              <w:t>5.375% fixed</w:t>
            </w:r>
          </w:p>
        </w:tc>
        <w:tc>
          <w:tcPr>
            <w:tcW w:w="100" w:type="dxa"/>
            <w:vAlign w:val="bottom"/>
            <w:shd w:val="clear" w:color="auto" w:fill="DBDBDB"/>
          </w:tcPr>
          <w:p>
            <w:pPr>
              <w:spacing w:after="0"/>
              <w:rPr>
                <w:sz w:val="12"/>
                <w:szCs w:val="1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12.04</w:t>
            </w:r>
          </w:p>
        </w:tc>
        <w:tc>
          <w:tcPr>
            <w:tcW w:w="80" w:type="dxa"/>
            <w:vAlign w:val="bottom"/>
            <w:shd w:val="clear" w:color="auto" w:fill="DBDBDB"/>
          </w:tcPr>
          <w:p>
            <w:pPr>
              <w:spacing w:after="0"/>
              <w:rPr>
                <w:sz w:val="12"/>
                <w:szCs w:val="12"/>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83.0837</w:t>
            </w:r>
          </w:p>
        </w:tc>
        <w:tc>
          <w:tcPr>
            <w:tcW w:w="80" w:type="dxa"/>
            <w:vAlign w:val="bottom"/>
            <w:shd w:val="clear" w:color="auto" w:fill="DBDBDB"/>
          </w:tcPr>
          <w:p>
            <w:pPr>
              <w:spacing w:after="0"/>
              <w:rPr>
                <w:sz w:val="12"/>
                <w:szCs w:val="12"/>
                <w:color w:val="auto"/>
              </w:rPr>
            </w:pPr>
          </w:p>
        </w:tc>
        <w:tc>
          <w:tcPr>
            <w:tcW w:w="96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1,130</w:t>
            </w:r>
          </w:p>
        </w:tc>
        <w:tc>
          <w:tcPr>
            <w:tcW w:w="0" w:type="dxa"/>
            <w:vAlign w:val="bottom"/>
          </w:tcPr>
          <w:p>
            <w:pPr>
              <w:spacing w:after="0"/>
              <w:rPr>
                <w:sz w:val="1"/>
                <w:szCs w:val="1"/>
                <w:color w:val="auto"/>
              </w:rPr>
            </w:pPr>
          </w:p>
        </w:tc>
      </w:tr>
      <w:tr>
        <w:trPr>
          <w:trHeight w:val="134"/>
        </w:trPr>
        <w:tc>
          <w:tcPr>
            <w:tcW w:w="398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 convertible debt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513,605</w:t>
            </w: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003366"/>
        </w:rPr>
        <w:t>Perpetual preferred stock</w:t>
      </w:r>
    </w:p>
    <w:p>
      <w:pPr>
        <w:spacing w:after="0" w:line="2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320" w:type="dxa"/>
            <w:vAlign w:val="bottom"/>
            <w:vMerge w:val="restart"/>
          </w:tcPr>
          <w:p>
            <w:pPr>
              <w:spacing w:after="0"/>
              <w:rPr>
                <w:sz w:val="20"/>
                <w:szCs w:val="20"/>
                <w:color w:val="auto"/>
              </w:rPr>
            </w:pPr>
            <w:r>
              <w:rPr>
                <w:rFonts w:ascii="Arial" w:cs="Arial" w:eastAsia="Arial" w:hAnsi="Arial"/>
                <w:sz w:val="11"/>
                <w:szCs w:val="11"/>
                <w:b w:val="1"/>
                <w:bCs w:val="1"/>
                <w:color w:val="auto"/>
              </w:rPr>
              <w:t>Description</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Liquidation</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w w:val="97"/>
              </w:rPr>
              <w:t>Shares outstanding (In</w:t>
            </w:r>
          </w:p>
        </w:tc>
        <w:tc>
          <w:tcPr>
            <w:tcW w:w="100" w:type="dxa"/>
            <w:vAlign w:val="bottom"/>
          </w:tcPr>
          <w:p>
            <w:pPr>
              <w:spacing w:after="0"/>
              <w:rPr>
                <w:sz w:val="10"/>
                <w:szCs w:val="10"/>
                <w:color w:val="auto"/>
              </w:rPr>
            </w:pPr>
          </w:p>
        </w:tc>
        <w:tc>
          <w:tcPr>
            <w:tcW w:w="170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Callable period</w:t>
            </w:r>
          </w:p>
        </w:tc>
        <w:tc>
          <w:tcPr>
            <w:tcW w:w="0" w:type="dxa"/>
            <w:vAlign w:val="bottom"/>
          </w:tcPr>
          <w:p>
            <w:pPr>
              <w:spacing w:after="0"/>
              <w:rPr>
                <w:sz w:val="1"/>
                <w:szCs w:val="1"/>
                <w:color w:val="auto"/>
              </w:rPr>
            </w:pPr>
          </w:p>
        </w:tc>
      </w:tr>
      <w:tr>
        <w:trPr>
          <w:trHeight w:val="143"/>
        </w:trPr>
        <w:tc>
          <w:tcPr>
            <w:tcW w:w="43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DBDBDB"/>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preference</w:t>
            </w:r>
          </w:p>
        </w:tc>
        <w:tc>
          <w:tcPr>
            <w:tcW w:w="100" w:type="dxa"/>
            <w:vAlign w:val="bottom"/>
            <w:tcBorders>
              <w:bottom w:val="single" w:sz="8" w:color="DBDBDB"/>
            </w:tcBorders>
          </w:tcPr>
          <w:p>
            <w:pPr>
              <w:spacing w:after="0"/>
              <w:rPr>
                <w:sz w:val="12"/>
                <w:szCs w:val="12"/>
                <w:color w:val="auto"/>
              </w:rPr>
            </w:pPr>
          </w:p>
        </w:tc>
        <w:tc>
          <w:tcPr>
            <w:tcW w:w="120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thousands)</w:t>
            </w:r>
          </w:p>
        </w:tc>
        <w:tc>
          <w:tcPr>
            <w:tcW w:w="100" w:type="dxa"/>
            <w:vAlign w:val="bottom"/>
            <w:tcBorders>
              <w:bottom w:val="single" w:sz="8" w:color="DBDBDB"/>
            </w:tcBorders>
          </w:tcPr>
          <w:p>
            <w:pPr>
              <w:spacing w:after="0"/>
              <w:rPr>
                <w:sz w:val="12"/>
                <w:szCs w:val="12"/>
                <w:color w:val="auto"/>
              </w:rPr>
            </w:pPr>
          </w:p>
        </w:tc>
        <w:tc>
          <w:tcPr>
            <w:tcW w:w="1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420" w:type="dxa"/>
            <w:vAlign w:val="bottom"/>
            <w:gridSpan w:val="2"/>
            <w:shd w:val="clear" w:color="auto" w:fill="DBDBDB"/>
          </w:tcPr>
          <w:p>
            <w:pPr>
              <w:spacing w:after="0" w:line="134" w:lineRule="exact"/>
              <w:rPr>
                <w:sz w:val="20"/>
                <w:szCs w:val="20"/>
                <w:color w:val="auto"/>
              </w:rPr>
            </w:pPr>
            <w:r>
              <w:rPr>
                <w:rFonts w:ascii="Arial" w:cs="Arial" w:eastAsia="Arial" w:hAnsi="Arial"/>
                <w:sz w:val="12"/>
                <w:szCs w:val="12"/>
                <w:color w:val="auto"/>
              </w:rPr>
              <w:t>Series G 7.5% cumulative redeemable perpetual preferred stock</w:t>
            </w:r>
          </w:p>
        </w:tc>
        <w:tc>
          <w:tcPr>
            <w:tcW w:w="120" w:type="dxa"/>
            <w:vAlign w:val="bottom"/>
            <w:shd w:val="clear" w:color="auto" w:fill="DBDBDB"/>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DBDBDB"/>
          </w:tcPr>
          <w:p>
            <w:pPr>
              <w:jc w:val="right"/>
              <w:ind w:right="3"/>
              <w:spacing w:after="0" w:line="134" w:lineRule="exact"/>
              <w:rPr>
                <w:sz w:val="20"/>
                <w:szCs w:val="20"/>
                <w:color w:val="auto"/>
              </w:rPr>
            </w:pPr>
            <w:r>
              <w:rPr>
                <w:rFonts w:ascii="Arial" w:cs="Arial" w:eastAsia="Arial" w:hAnsi="Arial"/>
                <w:sz w:val="12"/>
                <w:szCs w:val="12"/>
                <w:color w:val="auto"/>
              </w:rPr>
              <w:t>86,250</w:t>
            </w:r>
          </w:p>
        </w:tc>
        <w:tc>
          <w:tcPr>
            <w:tcW w:w="100" w:type="dxa"/>
            <w:vAlign w:val="bottom"/>
            <w:shd w:val="clear" w:color="auto" w:fill="DBDBDB"/>
          </w:tcPr>
          <w:p>
            <w:pPr>
              <w:spacing w:after="0"/>
              <w:rPr>
                <w:sz w:val="11"/>
                <w:szCs w:val="11"/>
                <w:color w:val="auto"/>
              </w:rPr>
            </w:pPr>
          </w:p>
        </w:tc>
        <w:tc>
          <w:tcPr>
            <w:tcW w:w="1200" w:type="dxa"/>
            <w:vAlign w:val="bottom"/>
            <w:shd w:val="clear" w:color="auto" w:fill="DBDBDB"/>
          </w:tcPr>
          <w:p>
            <w:pPr>
              <w:jc w:val="right"/>
              <w:ind w:right="3"/>
              <w:spacing w:after="0" w:line="134" w:lineRule="exact"/>
              <w:rPr>
                <w:sz w:val="20"/>
                <w:szCs w:val="20"/>
                <w:color w:val="auto"/>
              </w:rPr>
            </w:pPr>
            <w:r>
              <w:rPr>
                <w:rFonts w:ascii="Arial" w:cs="Arial" w:eastAsia="Arial" w:hAnsi="Arial"/>
                <w:sz w:val="12"/>
                <w:szCs w:val="12"/>
                <w:color w:val="auto"/>
              </w:rPr>
              <w:t>3,450</w:t>
            </w:r>
          </w:p>
        </w:tc>
        <w:tc>
          <w:tcPr>
            <w:tcW w:w="100" w:type="dxa"/>
            <w:vAlign w:val="bottom"/>
            <w:shd w:val="clear" w:color="auto" w:fill="DBDBDB"/>
          </w:tcPr>
          <w:p>
            <w:pPr>
              <w:spacing w:after="0"/>
              <w:rPr>
                <w:sz w:val="11"/>
                <w:szCs w:val="11"/>
                <w:color w:val="auto"/>
              </w:rPr>
            </w:pPr>
          </w:p>
        </w:tc>
        <w:tc>
          <w:tcPr>
            <w:tcW w:w="1700" w:type="dxa"/>
            <w:vAlign w:val="bottom"/>
            <w:shd w:val="clear" w:color="auto" w:fill="DBDBDB"/>
          </w:tcPr>
          <w:p>
            <w:pPr>
              <w:spacing w:after="0" w:line="134" w:lineRule="exact"/>
              <w:rPr>
                <w:sz w:val="20"/>
                <w:szCs w:val="20"/>
                <w:color w:val="auto"/>
              </w:rPr>
            </w:pPr>
            <w:r>
              <w:rPr>
                <w:rFonts w:ascii="Arial" w:cs="Arial" w:eastAsia="Arial" w:hAnsi="Arial"/>
                <w:sz w:val="12"/>
                <w:szCs w:val="12"/>
                <w:color w:val="auto"/>
              </w:rPr>
              <w:t>Callable</w:t>
            </w:r>
          </w:p>
        </w:tc>
        <w:tc>
          <w:tcPr>
            <w:tcW w:w="0" w:type="dxa"/>
            <w:vAlign w:val="bottom"/>
          </w:tcPr>
          <w:p>
            <w:pPr>
              <w:spacing w:after="0"/>
              <w:rPr>
                <w:sz w:val="1"/>
                <w:szCs w:val="1"/>
                <w:color w:val="auto"/>
              </w:rPr>
            </w:pPr>
          </w:p>
        </w:tc>
      </w:tr>
      <w:tr>
        <w:trPr>
          <w:trHeight w:val="143"/>
        </w:trPr>
        <w:tc>
          <w:tcPr>
            <w:tcW w:w="4420" w:type="dxa"/>
            <w:vAlign w:val="bottom"/>
            <w:gridSpan w:val="2"/>
          </w:tcPr>
          <w:p>
            <w:pPr>
              <w:spacing w:after="0"/>
              <w:rPr>
                <w:sz w:val="20"/>
                <w:szCs w:val="20"/>
                <w:color w:val="auto"/>
              </w:rPr>
            </w:pPr>
            <w:r>
              <w:rPr>
                <w:rFonts w:ascii="Arial" w:cs="Arial" w:eastAsia="Arial" w:hAnsi="Arial"/>
                <w:sz w:val="12"/>
                <w:szCs w:val="12"/>
                <w:color w:val="auto"/>
              </w:rPr>
              <w:t>Series H 7.125% cumulative redeemable perpetual preferred stock</w:t>
            </w:r>
          </w:p>
        </w:tc>
        <w:tc>
          <w:tcPr>
            <w:tcW w:w="12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2"/>
                <w:szCs w:val="12"/>
                <w:color w:val="auto"/>
              </w:rPr>
              <w:t>287,500</w:t>
            </w:r>
          </w:p>
        </w:tc>
        <w:tc>
          <w:tcPr>
            <w:tcW w:w="100" w:type="dxa"/>
            <w:vAlign w:val="bottom"/>
          </w:tcPr>
          <w:p>
            <w:pPr>
              <w:spacing w:after="0"/>
              <w:rPr>
                <w:sz w:val="12"/>
                <w:szCs w:val="12"/>
                <w:color w:val="auto"/>
              </w:rPr>
            </w:pPr>
          </w:p>
        </w:tc>
        <w:tc>
          <w:tcPr>
            <w:tcW w:w="1200" w:type="dxa"/>
            <w:vAlign w:val="bottom"/>
          </w:tcPr>
          <w:p>
            <w:pPr>
              <w:jc w:val="right"/>
              <w:ind w:right="3"/>
              <w:spacing w:after="0"/>
              <w:rPr>
                <w:sz w:val="20"/>
                <w:szCs w:val="20"/>
                <w:color w:val="auto"/>
              </w:rPr>
            </w:pPr>
            <w:r>
              <w:rPr>
                <w:rFonts w:ascii="Arial" w:cs="Arial" w:eastAsia="Arial" w:hAnsi="Arial"/>
                <w:sz w:val="12"/>
                <w:szCs w:val="12"/>
                <w:color w:val="auto"/>
              </w:rPr>
              <w:t>11,500</w:t>
            </w:r>
          </w:p>
        </w:tc>
        <w:tc>
          <w:tcPr>
            <w:tcW w:w="100" w:type="dxa"/>
            <w:vAlign w:val="bottom"/>
          </w:tcPr>
          <w:p>
            <w:pPr>
              <w:spacing w:after="0"/>
              <w:rPr>
                <w:sz w:val="12"/>
                <w:szCs w:val="12"/>
                <w:color w:val="auto"/>
              </w:rPr>
            </w:pPr>
          </w:p>
        </w:tc>
        <w:tc>
          <w:tcPr>
            <w:tcW w:w="1700" w:type="dxa"/>
            <w:vAlign w:val="bottom"/>
          </w:tcPr>
          <w:p>
            <w:pPr>
              <w:spacing w:after="0"/>
              <w:rPr>
                <w:sz w:val="20"/>
                <w:szCs w:val="20"/>
                <w:color w:val="auto"/>
              </w:rPr>
            </w:pPr>
            <w:r>
              <w:rPr>
                <w:rFonts w:ascii="Arial" w:cs="Arial" w:eastAsia="Arial" w:hAnsi="Arial"/>
                <w:sz w:val="12"/>
                <w:szCs w:val="12"/>
                <w:color w:val="auto"/>
              </w:rPr>
              <w:t>Callable</w:t>
            </w:r>
          </w:p>
        </w:tc>
        <w:tc>
          <w:tcPr>
            <w:tcW w:w="0" w:type="dxa"/>
            <w:vAlign w:val="bottom"/>
          </w:tcPr>
          <w:p>
            <w:pPr>
              <w:spacing w:after="0"/>
              <w:rPr>
                <w:sz w:val="1"/>
                <w:szCs w:val="1"/>
                <w:color w:val="auto"/>
              </w:rPr>
            </w:pPr>
          </w:p>
        </w:tc>
      </w:tr>
      <w:tr>
        <w:trPr>
          <w:trHeight w:val="145"/>
        </w:trPr>
        <w:tc>
          <w:tcPr>
            <w:tcW w:w="442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Series I 7.15% cumulative redeemable perpetual preferred stock</w:t>
            </w:r>
          </w:p>
        </w:tc>
        <w:tc>
          <w:tcPr>
            <w:tcW w:w="120" w:type="dxa"/>
            <w:vAlign w:val="bottom"/>
            <w:shd w:val="clear" w:color="auto" w:fill="DBDBDB"/>
          </w:tcPr>
          <w:p>
            <w:pPr>
              <w:spacing w:after="0"/>
              <w:rPr>
                <w:sz w:val="12"/>
                <w:szCs w:val="12"/>
                <w:color w:val="auto"/>
              </w:rPr>
            </w:pPr>
          </w:p>
        </w:tc>
        <w:tc>
          <w:tcPr>
            <w:tcW w:w="86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345,000</w:t>
            </w:r>
          </w:p>
        </w:tc>
        <w:tc>
          <w:tcPr>
            <w:tcW w:w="100" w:type="dxa"/>
            <w:vAlign w:val="bottom"/>
            <w:shd w:val="clear" w:color="auto" w:fill="DBDBDB"/>
          </w:tcPr>
          <w:p>
            <w:pPr>
              <w:spacing w:after="0"/>
              <w:rPr>
                <w:sz w:val="12"/>
                <w:szCs w:val="12"/>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13,800</w:t>
            </w:r>
          </w:p>
        </w:tc>
        <w:tc>
          <w:tcPr>
            <w:tcW w:w="10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20"/>
                <w:szCs w:val="20"/>
                <w:color w:val="auto"/>
              </w:rPr>
            </w:pPr>
            <w:r>
              <w:rPr>
                <w:rFonts w:ascii="Arial" w:cs="Arial" w:eastAsia="Arial" w:hAnsi="Arial"/>
                <w:sz w:val="12"/>
                <w:szCs w:val="12"/>
                <w:color w:val="auto"/>
              </w:rPr>
              <w:t>On or after June 5, 2022</w:t>
            </w:r>
          </w:p>
        </w:tc>
        <w:tc>
          <w:tcPr>
            <w:tcW w:w="0" w:type="dxa"/>
            <w:vAlign w:val="bottom"/>
          </w:tcPr>
          <w:p>
            <w:pPr>
              <w:spacing w:after="0"/>
              <w:rPr>
                <w:sz w:val="1"/>
                <w:szCs w:val="1"/>
                <w:color w:val="auto"/>
              </w:rPr>
            </w:pPr>
          </w:p>
        </w:tc>
      </w:tr>
      <w:tr>
        <w:trPr>
          <w:trHeight w:val="143"/>
        </w:trPr>
        <w:tc>
          <w:tcPr>
            <w:tcW w:w="4420" w:type="dxa"/>
            <w:vAlign w:val="bottom"/>
            <w:tcBorders>
              <w:bottom w:val="single" w:sz="8" w:color="DBDBDB"/>
            </w:tcBorders>
            <w:gridSpan w:val="2"/>
          </w:tcPr>
          <w:p>
            <w:pPr>
              <w:spacing w:after="0"/>
              <w:rPr>
                <w:sz w:val="20"/>
                <w:szCs w:val="20"/>
                <w:color w:val="auto"/>
              </w:rPr>
            </w:pPr>
            <w:r>
              <w:rPr>
                <w:rFonts w:ascii="Arial" w:cs="Arial" w:eastAsia="Arial" w:hAnsi="Arial"/>
                <w:sz w:val="12"/>
                <w:szCs w:val="12"/>
                <w:color w:val="auto"/>
              </w:rPr>
              <w:t>Series J 7.125% cumulative redeemable perpetual preferred stock</w:t>
            </w: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315,000</w:t>
            </w:r>
          </w:p>
        </w:tc>
        <w:tc>
          <w:tcPr>
            <w:tcW w:w="100" w:type="dxa"/>
            <w:vAlign w:val="bottom"/>
            <w:tcBorders>
              <w:bottom w:val="single" w:sz="8" w:color="DBDBDB"/>
            </w:tcBorders>
          </w:tcPr>
          <w:p>
            <w:pPr>
              <w:spacing w:after="0"/>
              <w:rPr>
                <w:sz w:val="12"/>
                <w:szCs w:val="12"/>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12,600</w:t>
            </w:r>
          </w:p>
        </w:tc>
        <w:tc>
          <w:tcPr>
            <w:tcW w:w="100" w:type="dxa"/>
            <w:vAlign w:val="bottom"/>
            <w:tcBorders>
              <w:bottom w:val="single" w:sz="8" w:color="DBDBDB"/>
            </w:tcBorders>
          </w:tcPr>
          <w:p>
            <w:pPr>
              <w:spacing w:after="0"/>
              <w:rPr>
                <w:sz w:val="12"/>
                <w:szCs w:val="12"/>
                <w:color w:val="auto"/>
              </w:rPr>
            </w:pPr>
          </w:p>
        </w:tc>
        <w:tc>
          <w:tcPr>
            <w:tcW w:w="170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w w:val="99"/>
              </w:rPr>
              <w:t>On or after September 22, 2022</w:t>
            </w:r>
          </w:p>
        </w:tc>
        <w:tc>
          <w:tcPr>
            <w:tcW w:w="0" w:type="dxa"/>
            <w:vAlign w:val="bottom"/>
          </w:tcPr>
          <w:p>
            <w:pPr>
              <w:spacing w:after="0"/>
              <w:rPr>
                <w:sz w:val="1"/>
                <w:szCs w:val="1"/>
                <w:color w:val="auto"/>
              </w:rPr>
            </w:pPr>
          </w:p>
        </w:tc>
      </w:tr>
      <w:tr>
        <w:trPr>
          <w:trHeight w:val="150"/>
        </w:trPr>
        <w:tc>
          <w:tcPr>
            <w:tcW w:w="4420" w:type="dxa"/>
            <w:vAlign w:val="bottom"/>
            <w:tcBorders>
              <w:bottom w:val="single" w:sz="8" w:color="DBDBDB"/>
            </w:tcBorders>
            <w:gridSpan w:val="2"/>
            <w:shd w:val="clear" w:color="auto" w:fill="DBDBDB"/>
          </w:tcPr>
          <w:p>
            <w:pPr>
              <w:ind w:left="140"/>
              <w:spacing w:after="0" w:line="134" w:lineRule="exact"/>
              <w:rPr>
                <w:sz w:val="20"/>
                <w:szCs w:val="20"/>
                <w:color w:val="auto"/>
              </w:rPr>
            </w:pPr>
            <w:r>
              <w:rPr>
                <w:rFonts w:ascii="Arial" w:cs="Arial" w:eastAsia="Arial" w:hAnsi="Arial"/>
                <w:sz w:val="12"/>
                <w:szCs w:val="12"/>
                <w:b w:val="1"/>
                <w:bCs w:val="1"/>
                <w:color w:val="auto"/>
              </w:rPr>
              <w:t>Total preferred stock</w:t>
            </w:r>
          </w:p>
        </w:tc>
        <w:tc>
          <w:tcPr>
            <w:tcW w:w="1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DBDBDB"/>
          </w:tcPr>
          <w:p>
            <w:pPr>
              <w:jc w:val="right"/>
              <w:ind w:right="3"/>
              <w:spacing w:after="0" w:line="134" w:lineRule="exact"/>
              <w:rPr>
                <w:sz w:val="20"/>
                <w:szCs w:val="20"/>
                <w:color w:val="auto"/>
              </w:rPr>
            </w:pPr>
            <w:r>
              <w:rPr>
                <w:rFonts w:ascii="Arial" w:cs="Arial" w:eastAsia="Arial" w:hAnsi="Arial"/>
                <w:sz w:val="12"/>
                <w:szCs w:val="12"/>
                <w:b w:val="1"/>
                <w:bCs w:val="1"/>
                <w:color w:val="auto"/>
              </w:rPr>
              <w:t>1,033,750</w:t>
            </w:r>
          </w:p>
        </w:tc>
        <w:tc>
          <w:tcPr>
            <w:tcW w:w="100" w:type="dxa"/>
            <w:vAlign w:val="bottom"/>
            <w:tcBorders>
              <w:bottom w:val="single" w:sz="8" w:color="DBDBDB"/>
            </w:tcBorders>
            <w:shd w:val="clear" w:color="auto" w:fill="DBDBDB"/>
          </w:tcPr>
          <w:p>
            <w:pPr>
              <w:spacing w:after="0"/>
              <w:rPr>
                <w:sz w:val="13"/>
                <w:szCs w:val="13"/>
                <w:color w:val="auto"/>
              </w:rPr>
            </w:pPr>
          </w:p>
        </w:tc>
        <w:tc>
          <w:tcPr>
            <w:tcW w:w="1200" w:type="dxa"/>
            <w:vAlign w:val="bottom"/>
            <w:tcBorders>
              <w:bottom w:val="single" w:sz="8" w:color="auto"/>
            </w:tcBorders>
            <w:shd w:val="clear" w:color="auto" w:fill="DBDBDB"/>
          </w:tcPr>
          <w:p>
            <w:pPr>
              <w:jc w:val="right"/>
              <w:ind w:right="3"/>
              <w:spacing w:after="0" w:line="134" w:lineRule="exact"/>
              <w:rPr>
                <w:sz w:val="20"/>
                <w:szCs w:val="20"/>
                <w:color w:val="auto"/>
              </w:rPr>
            </w:pPr>
            <w:r>
              <w:rPr>
                <w:rFonts w:ascii="Arial" w:cs="Arial" w:eastAsia="Arial" w:hAnsi="Arial"/>
                <w:sz w:val="12"/>
                <w:szCs w:val="12"/>
                <w:b w:val="1"/>
                <w:bCs w:val="1"/>
                <w:color w:val="auto"/>
              </w:rPr>
              <w:t>41,350</w:t>
            </w:r>
          </w:p>
        </w:tc>
        <w:tc>
          <w:tcPr>
            <w:tcW w:w="100" w:type="dxa"/>
            <w:vAlign w:val="bottom"/>
            <w:tcBorders>
              <w:bottom w:val="single" w:sz="8" w:color="DBDBDB"/>
            </w:tcBorders>
            <w:shd w:val="clear" w:color="auto" w:fill="DBDBDB"/>
          </w:tcPr>
          <w:p>
            <w:pPr>
              <w:spacing w:after="0"/>
              <w:rPr>
                <w:sz w:val="13"/>
                <w:szCs w:val="13"/>
                <w:color w:val="auto"/>
              </w:rPr>
            </w:pPr>
          </w:p>
        </w:tc>
        <w:tc>
          <w:tcPr>
            <w:tcW w:w="170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6" w:lineRule="exact"/>
        <w:rPr>
          <w:sz w:val="20"/>
          <w:szCs w:val="20"/>
          <w:color w:val="auto"/>
        </w:rPr>
      </w:pPr>
    </w:p>
    <w:p>
      <w:pPr>
        <w:ind w:left="208" w:right="60" w:hanging="208"/>
        <w:spacing w:after="0" w:line="279" w:lineRule="auto"/>
        <w:tabs>
          <w:tab w:leader="none" w:pos="188" w:val="left"/>
        </w:tabs>
        <w:numPr>
          <w:ilvl w:val="0"/>
          <w:numId w:val="23"/>
        </w:numPr>
        <w:rPr>
          <w:rFonts w:ascii="Arial" w:cs="Arial" w:eastAsia="Arial" w:hAnsi="Arial"/>
          <w:sz w:val="8"/>
          <w:szCs w:val="8"/>
          <w:color w:val="424242"/>
        </w:rPr>
      </w:pPr>
      <w:r>
        <w:rPr>
          <w:rFonts w:ascii="Arial" w:cs="Arial" w:eastAsia="Arial" w:hAnsi="Arial"/>
          <w:sz w:val="8"/>
          <w:szCs w:val="8"/>
          <w:color w:val="424242"/>
        </w:rPr>
        <w:t>Callable at principal amount only if CLNY common stock has traded at least 130% of the conversion price for 20 of 30 consecutive trading days: on or after July 21, 2023, for the 5.75% exchangeable senior notes; on or after January 22, 2019, for the 3.875% convertible senior notes; on or after April 22, 2020, for the 5.0% convertible senior notes; and on or after June 15, 2020, for the 5.375% exchangeable senior notes.</w:t>
      </w:r>
    </w:p>
    <w:p>
      <w:pPr>
        <w:spacing w:after="0" w:line="31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16</w:t>
            </w:r>
          </w:p>
        </w:tc>
      </w:tr>
    </w:tbl>
    <w:p>
      <w:pPr>
        <w:sectPr>
          <w:pgSz w:w="11900" w:h="16838" w:orient="portrait"/>
          <w:cols w:equalWidth="0" w:num="1">
            <w:col w:w="11308"/>
          </w:cols>
          <w:pgMar w:left="292" w:top="158" w:right="299" w:bottom="1440" w:gutter="0" w:footer="0" w:header="0"/>
        </w:sectPr>
      </w:pPr>
    </w:p>
    <w:bookmarkStart w:id="31" w:name="page32"/>
    <w:bookmarkEnd w:id="31"/>
    <w:p>
      <w:pPr>
        <w:ind w:left="8"/>
        <w:spacing w:after="0"/>
        <w:rPr>
          <w:sz w:val="20"/>
          <w:szCs w:val="20"/>
          <w:color w:val="auto"/>
        </w:rPr>
      </w:pPr>
      <w:r>
        <w:rPr>
          <w:rFonts w:ascii="Arial" w:cs="Arial" w:eastAsia="Arial" w:hAnsi="Arial"/>
          <w:sz w:val="29"/>
          <w:szCs w:val="29"/>
          <w:color w:val="auto"/>
        </w:rPr>
        <w:t>IIId. Capitalization - Debt Maturity and Amortization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2760" w:type="dxa"/>
            <w:vAlign w:val="bottom"/>
            <w:gridSpan w:val="2"/>
          </w:tcPr>
          <w:p>
            <w:pPr>
              <w:spacing w:after="0"/>
              <w:rPr>
                <w:sz w:val="20"/>
                <w:szCs w:val="20"/>
                <w:color w:val="auto"/>
              </w:rPr>
            </w:pPr>
            <w:r>
              <w:rPr>
                <w:rFonts w:ascii="Arial" w:cs="Arial" w:eastAsia="Arial" w:hAnsi="Arial"/>
                <w:sz w:val="11"/>
                <w:szCs w:val="11"/>
                <w:i w:val="1"/>
                <w:iCs w:val="1"/>
                <w:color w:val="auto"/>
              </w:rPr>
              <w:t>($ in thousands; as of March 31, 2021)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240"/>
              <w:spacing w:after="0"/>
              <w:rPr>
                <w:sz w:val="20"/>
                <w:szCs w:val="20"/>
                <w:color w:val="auto"/>
              </w:rPr>
            </w:pPr>
            <w:r>
              <w:rPr>
                <w:rFonts w:ascii="Arial" w:cs="Arial" w:eastAsia="Arial" w:hAnsi="Arial"/>
                <w:sz w:val="11"/>
                <w:szCs w:val="11"/>
                <w:b w:val="1"/>
                <w:bCs w:val="1"/>
                <w:color w:val="auto"/>
                <w:w w:val="99"/>
              </w:rPr>
              <w:t>Payments due by period</w:t>
            </w:r>
            <w:r>
              <w:rPr>
                <w:rFonts w:ascii="Arial" w:cs="Arial" w:eastAsia="Arial" w:hAnsi="Arial"/>
                <w:sz w:val="14"/>
                <w:szCs w:val="14"/>
                <w:b w:val="1"/>
                <w:bCs w:val="1"/>
                <w:color w:val="auto"/>
                <w:w w:val="99"/>
                <w:vertAlign w:val="superscript"/>
              </w:rPr>
              <w:t>(1)</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60" w:type="dxa"/>
            <w:vAlign w:val="bottom"/>
          </w:tcPr>
          <w:p>
            <w:pPr>
              <w:spacing w:after="0"/>
              <w:rPr>
                <w:sz w:val="20"/>
                <w:szCs w:val="20"/>
                <w:color w:val="auto"/>
              </w:rPr>
            </w:pPr>
            <w:r>
              <w:rPr>
                <w:rFonts w:ascii="Arial" w:cs="Arial" w:eastAsia="Arial" w:hAnsi="Arial"/>
                <w:sz w:val="12"/>
                <w:szCs w:val="12"/>
                <w:b w:val="1"/>
                <w:bCs w:val="1"/>
                <w:i w:val="1"/>
                <w:iCs w:val="1"/>
                <w:color w:val="003366"/>
              </w:rPr>
              <w:t>Consolidated debt</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0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1"/>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w w:val="99"/>
              </w:rPr>
              <w:t>2025 and after</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0"/>
        </w:trPr>
        <w:tc>
          <w:tcPr>
            <w:tcW w:w="2760" w:type="dxa"/>
            <w:vAlign w:val="bottom"/>
            <w:gridSpan w:val="2"/>
          </w:tcPr>
          <w:p>
            <w:pPr>
              <w:spacing w:after="0"/>
              <w:rPr>
                <w:sz w:val="20"/>
                <w:szCs w:val="20"/>
                <w:color w:val="auto"/>
              </w:rPr>
            </w:pPr>
            <w:r>
              <w:rPr>
                <w:rFonts w:ascii="Arial" w:cs="Arial" w:eastAsia="Arial" w:hAnsi="Arial"/>
                <w:sz w:val="12"/>
                <w:szCs w:val="12"/>
                <w:b w:val="1"/>
                <w:bCs w:val="1"/>
                <w:color w:val="auto"/>
              </w:rPr>
              <w:t>Investment-level debt:</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gridSpan w:val="2"/>
            <w:shd w:val="clear" w:color="auto" w:fill="DBDBDB"/>
          </w:tcPr>
          <w:p>
            <w:pPr>
              <w:ind w:left="220"/>
              <w:spacing w:after="0"/>
              <w:rPr>
                <w:sz w:val="20"/>
                <w:szCs w:val="20"/>
                <w:color w:val="auto"/>
              </w:rPr>
            </w:pPr>
            <w:r>
              <w:rPr>
                <w:rFonts w:ascii="Arial" w:cs="Arial" w:eastAsia="Arial" w:hAnsi="Arial"/>
                <w:sz w:val="12"/>
                <w:szCs w:val="12"/>
                <w:color w:val="auto"/>
              </w:rPr>
              <w:t>Digital Operating</w:t>
            </w:r>
          </w:p>
        </w:tc>
        <w:tc>
          <w:tcPr>
            <w:tcW w:w="16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4,723</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6,830</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258,143</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616,503</w:t>
            </w: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2,483,139</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3,369,338</w:t>
            </w:r>
          </w:p>
        </w:tc>
        <w:tc>
          <w:tcPr>
            <w:tcW w:w="0" w:type="dxa"/>
            <w:vAlign w:val="bottom"/>
          </w:tcPr>
          <w:p>
            <w:pPr>
              <w:spacing w:after="0"/>
              <w:rPr>
                <w:sz w:val="1"/>
                <w:szCs w:val="1"/>
                <w:color w:val="auto"/>
              </w:rPr>
            </w:pPr>
          </w:p>
        </w:tc>
      </w:tr>
      <w:tr>
        <w:trPr>
          <w:trHeight w:val="153"/>
        </w:trPr>
        <w:tc>
          <w:tcPr>
            <w:tcW w:w="2760" w:type="dxa"/>
            <w:vAlign w:val="bottom"/>
            <w:gridSpan w:val="2"/>
          </w:tcPr>
          <w:p>
            <w:pPr>
              <w:ind w:left="220"/>
              <w:spacing w:after="0"/>
              <w:rPr>
                <w:sz w:val="20"/>
                <w:szCs w:val="20"/>
                <w:color w:val="auto"/>
              </w:rPr>
            </w:pPr>
            <w:r>
              <w:rPr>
                <w:rFonts w:ascii="Arial" w:cs="Arial" w:eastAsia="Arial" w:hAnsi="Arial"/>
                <w:sz w:val="12"/>
                <w:szCs w:val="12"/>
                <w:color w:val="auto"/>
              </w:rPr>
              <w:t>Wellness Infrastructure</w:t>
            </w:r>
          </w:p>
        </w:tc>
        <w:tc>
          <w:tcPr>
            <w:tcW w:w="16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10,066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423,411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10,859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2,109,878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129,319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2,683,533</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DBDBDB"/>
          </w:tcPr>
          <w:p>
            <w:pPr>
              <w:ind w:left="220"/>
              <w:spacing w:after="0"/>
              <w:rPr>
                <w:sz w:val="20"/>
                <w:szCs w:val="20"/>
                <w:color w:val="auto"/>
              </w:rPr>
            </w:pPr>
            <w:r>
              <w:rPr>
                <w:rFonts w:ascii="Arial" w:cs="Arial" w:eastAsia="Arial" w:hAnsi="Arial"/>
                <w:sz w:val="12"/>
                <w:szCs w:val="12"/>
                <w:color w:val="auto"/>
              </w:rPr>
              <w:t>Other</w:t>
            </w:r>
          </w:p>
        </w:tc>
        <w:tc>
          <w:tcPr>
            <w:tcW w:w="160" w:type="dxa"/>
            <w:vAlign w:val="bottom"/>
            <w:shd w:val="clear" w:color="auto" w:fill="DBDBDB"/>
          </w:tcPr>
          <w:p>
            <w:pPr>
              <w:spacing w:after="0"/>
              <w:rPr>
                <w:sz w:val="14"/>
                <w:szCs w:val="14"/>
                <w:color w:val="auto"/>
              </w:rPr>
            </w:pPr>
          </w:p>
        </w:tc>
        <w:tc>
          <w:tcPr>
            <w:tcW w:w="5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21,316</w:t>
            </w: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155,317</w:t>
            </w: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0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4"/>
                <w:szCs w:val="14"/>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DBDBDB"/>
          </w:tcPr>
          <w:p>
            <w:pPr>
              <w:spacing w:after="0"/>
              <w:rPr>
                <w:sz w:val="14"/>
                <w:szCs w:val="14"/>
                <w:color w:val="auto"/>
              </w:rPr>
            </w:pPr>
          </w:p>
        </w:tc>
        <w:tc>
          <w:tcPr>
            <w:tcW w:w="7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176,633</w:t>
            </w:r>
          </w:p>
        </w:tc>
        <w:tc>
          <w:tcPr>
            <w:tcW w:w="0" w:type="dxa"/>
            <w:vAlign w:val="bottom"/>
          </w:tcPr>
          <w:p>
            <w:pPr>
              <w:spacing w:after="0"/>
              <w:rPr>
                <w:sz w:val="1"/>
                <w:szCs w:val="1"/>
                <w:color w:val="auto"/>
              </w:rPr>
            </w:pPr>
          </w:p>
        </w:tc>
      </w:tr>
      <w:tr>
        <w:trPr>
          <w:trHeight w:val="153"/>
        </w:trPr>
        <w:tc>
          <w:tcPr>
            <w:tcW w:w="2760" w:type="dxa"/>
            <w:vAlign w:val="bottom"/>
            <w:gridSpan w:val="2"/>
          </w:tcPr>
          <w:p>
            <w:pPr>
              <w:ind w:left="220"/>
              <w:spacing w:after="0" w:line="153" w:lineRule="exact"/>
              <w:rPr>
                <w:sz w:val="20"/>
                <w:szCs w:val="20"/>
                <w:color w:val="auto"/>
              </w:rPr>
            </w:pPr>
            <w:r>
              <w:rPr>
                <w:rFonts w:ascii="Arial" w:cs="Arial" w:eastAsia="Arial" w:hAnsi="Arial"/>
                <w:sz w:val="12"/>
                <w:szCs w:val="12"/>
                <w:color w:val="auto"/>
              </w:rPr>
              <w:t>5.375% Exchangeable senior notes</w:t>
            </w:r>
            <w:r>
              <w:rPr>
                <w:rFonts w:ascii="Arial" w:cs="Arial" w:eastAsia="Arial" w:hAnsi="Arial"/>
                <w:sz w:val="15"/>
                <w:szCs w:val="15"/>
                <w:color w:val="auto"/>
                <w:vertAlign w:val="superscript"/>
              </w:rPr>
              <w:t>(2)</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13,605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13,605</w:t>
            </w:r>
          </w:p>
        </w:tc>
        <w:tc>
          <w:tcPr>
            <w:tcW w:w="0" w:type="dxa"/>
            <w:vAlign w:val="bottom"/>
          </w:tcPr>
          <w:p>
            <w:pPr>
              <w:spacing w:after="0"/>
              <w:rPr>
                <w:sz w:val="1"/>
                <w:szCs w:val="1"/>
                <w:color w:val="auto"/>
              </w:rPr>
            </w:pPr>
          </w:p>
        </w:tc>
      </w:tr>
      <w:tr>
        <w:trPr>
          <w:trHeight w:val="153"/>
        </w:trPr>
        <w:tc>
          <w:tcPr>
            <w:tcW w:w="2760" w:type="dxa"/>
            <w:vAlign w:val="bottom"/>
            <w:gridSpan w:val="2"/>
            <w:shd w:val="clear" w:color="auto" w:fill="DBDBDB"/>
          </w:tcPr>
          <w:p>
            <w:pPr>
              <w:ind w:left="220"/>
              <w:spacing w:after="0" w:line="153" w:lineRule="exact"/>
              <w:rPr>
                <w:sz w:val="20"/>
                <w:szCs w:val="20"/>
                <w:color w:val="auto"/>
              </w:rPr>
            </w:pPr>
            <w:r>
              <w:rPr>
                <w:rFonts w:ascii="Arial" w:cs="Arial" w:eastAsia="Arial" w:hAnsi="Arial"/>
                <w:sz w:val="12"/>
                <w:szCs w:val="12"/>
                <w:color w:val="auto"/>
              </w:rPr>
              <w:t>TruPS</w:t>
            </w:r>
            <w:r>
              <w:rPr>
                <w:rFonts w:ascii="Arial" w:cs="Arial" w:eastAsia="Arial" w:hAnsi="Arial"/>
                <w:sz w:val="15"/>
                <w:szCs w:val="15"/>
                <w:color w:val="auto"/>
                <w:vertAlign w:val="superscript"/>
              </w:rPr>
              <w:t>(2)</w:t>
            </w:r>
          </w:p>
        </w:tc>
        <w:tc>
          <w:tcPr>
            <w:tcW w:w="160" w:type="dxa"/>
            <w:vAlign w:val="bottom"/>
            <w:shd w:val="clear" w:color="auto" w:fill="DBDBDB"/>
          </w:tcPr>
          <w:p>
            <w:pPr>
              <w:spacing w:after="0"/>
              <w:rPr>
                <w:sz w:val="13"/>
                <w:szCs w:val="13"/>
                <w:color w:val="auto"/>
              </w:rPr>
            </w:pPr>
          </w:p>
        </w:tc>
        <w:tc>
          <w:tcPr>
            <w:tcW w:w="6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DBDBDB"/>
          </w:tcPr>
          <w:p>
            <w:pPr>
              <w:spacing w:after="0"/>
              <w:rPr>
                <w:sz w:val="13"/>
                <w:szCs w:val="13"/>
                <w:color w:val="auto"/>
              </w:rPr>
            </w:pPr>
          </w:p>
        </w:tc>
        <w:tc>
          <w:tcPr>
            <w:tcW w:w="6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3"/>
                <w:szCs w:val="13"/>
                <w:color w:val="auto"/>
              </w:rPr>
            </w:pPr>
          </w:p>
        </w:tc>
        <w:tc>
          <w:tcPr>
            <w:tcW w:w="70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3"/>
                <w:szCs w:val="13"/>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3"/>
                <w:szCs w:val="13"/>
                <w:color w:val="auto"/>
              </w:rPr>
            </w:pPr>
          </w:p>
        </w:tc>
        <w:tc>
          <w:tcPr>
            <w:tcW w:w="8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280,117</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7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280,117</w:t>
            </w:r>
          </w:p>
        </w:tc>
        <w:tc>
          <w:tcPr>
            <w:tcW w:w="0" w:type="dxa"/>
            <w:vAlign w:val="bottom"/>
          </w:tcPr>
          <w:p>
            <w:pPr>
              <w:spacing w:after="0"/>
              <w:rPr>
                <w:sz w:val="1"/>
                <w:szCs w:val="1"/>
                <w:color w:val="auto"/>
              </w:rPr>
            </w:pPr>
          </w:p>
        </w:tc>
      </w:tr>
      <w:tr>
        <w:trPr>
          <w:trHeight w:val="180"/>
        </w:trPr>
        <w:tc>
          <w:tcPr>
            <w:tcW w:w="2760" w:type="dxa"/>
            <w:vAlign w:val="bottom"/>
            <w:gridSpan w:val="2"/>
          </w:tcPr>
          <w:p>
            <w:pPr>
              <w:spacing w:after="0"/>
              <w:rPr>
                <w:sz w:val="20"/>
                <w:szCs w:val="20"/>
                <w:color w:val="auto"/>
              </w:rPr>
            </w:pPr>
            <w:r>
              <w:rPr>
                <w:rFonts w:ascii="Arial" w:cs="Arial" w:eastAsia="Arial" w:hAnsi="Arial"/>
                <w:sz w:val="12"/>
                <w:szCs w:val="12"/>
                <w:b w:val="1"/>
                <w:bCs w:val="1"/>
                <w:color w:val="auto"/>
              </w:rPr>
              <w:t>Corporate debt: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760" w:type="dxa"/>
            <w:vAlign w:val="bottom"/>
            <w:gridSpan w:val="2"/>
            <w:shd w:val="clear" w:color="auto" w:fill="DBDBDB"/>
          </w:tcPr>
          <w:p>
            <w:pPr>
              <w:ind w:left="220"/>
              <w:spacing w:after="0"/>
              <w:rPr>
                <w:sz w:val="20"/>
                <w:szCs w:val="20"/>
                <w:color w:val="auto"/>
              </w:rPr>
            </w:pPr>
            <w:r>
              <w:rPr>
                <w:rFonts w:ascii="Arial" w:cs="Arial" w:eastAsia="Arial" w:hAnsi="Arial"/>
                <w:sz w:val="12"/>
                <w:szCs w:val="12"/>
                <w:color w:val="auto"/>
              </w:rPr>
              <w:t>$400 million revolving credit facility</w:t>
            </w:r>
          </w:p>
        </w:tc>
        <w:tc>
          <w:tcPr>
            <w:tcW w:w="160" w:type="dxa"/>
            <w:vAlign w:val="bottom"/>
            <w:shd w:val="clear" w:color="auto" w:fill="DBDBDB"/>
          </w:tcPr>
          <w:p>
            <w:pPr>
              <w:spacing w:after="0"/>
              <w:rPr>
                <w:sz w:val="13"/>
                <w:szCs w:val="13"/>
                <w:color w:val="auto"/>
              </w:rPr>
            </w:pPr>
          </w:p>
        </w:tc>
        <w:tc>
          <w:tcPr>
            <w:tcW w:w="6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DBDBDB"/>
          </w:tcPr>
          <w:p>
            <w:pPr>
              <w:spacing w:after="0"/>
              <w:rPr>
                <w:sz w:val="13"/>
                <w:szCs w:val="13"/>
                <w:color w:val="auto"/>
              </w:rPr>
            </w:pPr>
          </w:p>
        </w:tc>
        <w:tc>
          <w:tcPr>
            <w:tcW w:w="6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3"/>
                <w:szCs w:val="13"/>
                <w:color w:val="auto"/>
              </w:rPr>
            </w:pPr>
          </w:p>
        </w:tc>
        <w:tc>
          <w:tcPr>
            <w:tcW w:w="70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3"/>
                <w:szCs w:val="13"/>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3"/>
                <w:szCs w:val="13"/>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DBDBDB"/>
          </w:tcPr>
          <w:p>
            <w:pPr>
              <w:spacing w:after="0"/>
              <w:rPr>
                <w:sz w:val="13"/>
                <w:szCs w:val="13"/>
                <w:color w:val="auto"/>
              </w:rPr>
            </w:pPr>
          </w:p>
        </w:tc>
        <w:tc>
          <w:tcPr>
            <w:tcW w:w="7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760" w:type="dxa"/>
            <w:vAlign w:val="bottom"/>
            <w:gridSpan w:val="2"/>
          </w:tcPr>
          <w:p>
            <w:pPr>
              <w:ind w:left="220"/>
              <w:spacing w:after="0"/>
              <w:rPr>
                <w:sz w:val="20"/>
                <w:szCs w:val="20"/>
                <w:color w:val="auto"/>
              </w:rPr>
            </w:pPr>
            <w:r>
              <w:rPr>
                <w:rFonts w:ascii="Arial" w:cs="Arial" w:eastAsia="Arial" w:hAnsi="Arial"/>
                <w:sz w:val="12"/>
                <w:szCs w:val="12"/>
                <w:color w:val="auto"/>
              </w:rPr>
              <w:t>Convertible/exchangeable senior notes</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300,000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500,000</w:t>
            </w:r>
          </w:p>
        </w:tc>
        <w:tc>
          <w:tcPr>
            <w:tcW w:w="0" w:type="dxa"/>
            <w:vAlign w:val="bottom"/>
          </w:tcPr>
          <w:p>
            <w:pPr>
              <w:spacing w:after="0"/>
              <w:rPr>
                <w:sz w:val="1"/>
                <w:szCs w:val="1"/>
                <w:color w:val="auto"/>
              </w:rPr>
            </w:pPr>
          </w:p>
        </w:tc>
      </w:tr>
      <w:tr>
        <w:trPr>
          <w:trHeight w:val="162"/>
        </w:trPr>
        <w:tc>
          <w:tcPr>
            <w:tcW w:w="2760" w:type="dxa"/>
            <w:vAlign w:val="bottom"/>
            <w:tcBorders>
              <w:top w:val="single" w:sz="8" w:color="DBDBDB"/>
              <w:bottom w:val="single" w:sz="8" w:color="DBDBDB"/>
            </w:tcBorders>
            <w:gridSpan w:val="2"/>
            <w:shd w:val="clear" w:color="auto" w:fill="DBDBDB"/>
          </w:tcPr>
          <w:p>
            <w:pPr>
              <w:spacing w:after="0" w:line="142" w:lineRule="exact"/>
              <w:rPr>
                <w:sz w:val="20"/>
                <w:szCs w:val="20"/>
                <w:color w:val="auto"/>
              </w:rPr>
            </w:pPr>
            <w:r>
              <w:rPr>
                <w:rFonts w:ascii="Arial" w:cs="Arial" w:eastAsia="Arial" w:hAnsi="Arial"/>
                <w:sz w:val="12"/>
                <w:szCs w:val="12"/>
                <w:b w:val="1"/>
                <w:bCs w:val="1"/>
                <w:color w:val="auto"/>
              </w:rPr>
              <w:t>Total consolidated debt</w:t>
            </w:r>
            <w:r>
              <w:rPr>
                <w:rFonts w:ascii="Arial" w:cs="Arial" w:eastAsia="Arial" w:hAnsi="Arial"/>
                <w:sz w:val="15"/>
                <w:szCs w:val="15"/>
                <w:b w:val="1"/>
                <w:bCs w:val="1"/>
                <w:color w:val="auto"/>
                <w:vertAlign w:val="superscript"/>
              </w:rPr>
              <w:t>(3)</w:t>
            </w:r>
          </w:p>
        </w:tc>
        <w:tc>
          <w:tcPr>
            <w:tcW w:w="160" w:type="dxa"/>
            <w:vAlign w:val="bottom"/>
            <w:tcBorders>
              <w:top w:val="single" w:sz="8" w:color="auto"/>
              <w:bottom w:val="single" w:sz="8" w:color="auto"/>
            </w:tcBorders>
            <w:shd w:val="clear" w:color="auto" w:fill="DBDBDB"/>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58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36,105</w:t>
            </w:r>
          </w:p>
        </w:tc>
        <w:tc>
          <w:tcPr>
            <w:tcW w:w="100" w:type="dxa"/>
            <w:vAlign w:val="bottom"/>
            <w:tcBorders>
              <w:top w:val="single" w:sz="8" w:color="DBDBDB"/>
              <w:bottom w:val="single" w:sz="8" w:color="DBDBDB"/>
            </w:tcBorders>
            <w:shd w:val="clear" w:color="auto" w:fill="DBDBDB"/>
          </w:tcPr>
          <w:p>
            <w:pPr>
              <w:spacing w:after="0"/>
              <w:rPr>
                <w:sz w:val="14"/>
                <w:szCs w:val="14"/>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w w:val="89"/>
              </w:rPr>
              <w:t>$</w:t>
            </w:r>
          </w:p>
        </w:tc>
        <w:tc>
          <w:tcPr>
            <w:tcW w:w="58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585,558</w:t>
            </w:r>
          </w:p>
        </w:tc>
        <w:tc>
          <w:tcPr>
            <w:tcW w:w="100" w:type="dxa"/>
            <w:vAlign w:val="bottom"/>
            <w:tcBorders>
              <w:top w:val="single" w:sz="8" w:color="DBDBDB"/>
              <w:bottom w:val="single" w:sz="8" w:color="DBDBDB"/>
            </w:tcBorders>
            <w:shd w:val="clear" w:color="auto" w:fill="DBDBDB"/>
          </w:tcPr>
          <w:p>
            <w:pPr>
              <w:spacing w:after="0"/>
              <w:rPr>
                <w:sz w:val="14"/>
                <w:szCs w:val="14"/>
                <w:color w:val="auto"/>
              </w:rPr>
            </w:pPr>
          </w:p>
        </w:tc>
        <w:tc>
          <w:tcPr>
            <w:tcW w:w="160" w:type="dxa"/>
            <w:vAlign w:val="bottom"/>
            <w:tcBorders>
              <w:top w:val="single" w:sz="8" w:color="auto"/>
              <w:bottom w:val="single" w:sz="8" w:color="auto"/>
            </w:tcBorders>
            <w:shd w:val="clear" w:color="auto" w:fill="DBDBDB"/>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469,002</w:t>
            </w:r>
          </w:p>
        </w:tc>
        <w:tc>
          <w:tcPr>
            <w:tcW w:w="100" w:type="dxa"/>
            <w:vAlign w:val="bottom"/>
            <w:tcBorders>
              <w:top w:val="single" w:sz="8" w:color="DBDBDB"/>
              <w:bottom w:val="single" w:sz="8" w:color="DBDBDB"/>
            </w:tcBorders>
            <w:shd w:val="clear" w:color="auto" w:fill="DBDBDB"/>
          </w:tcPr>
          <w:p>
            <w:pPr>
              <w:spacing w:after="0"/>
              <w:rPr>
                <w:sz w:val="14"/>
                <w:szCs w:val="14"/>
                <w:color w:val="auto"/>
              </w:rPr>
            </w:pPr>
          </w:p>
        </w:tc>
        <w:tc>
          <w:tcPr>
            <w:tcW w:w="160" w:type="dxa"/>
            <w:vAlign w:val="bottom"/>
            <w:tcBorders>
              <w:top w:val="single" w:sz="8" w:color="auto"/>
              <w:bottom w:val="single" w:sz="8" w:color="auto"/>
            </w:tcBorders>
            <w:shd w:val="clear" w:color="auto" w:fill="DBDBDB"/>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2,726,381</w:t>
            </w:r>
          </w:p>
        </w:tc>
        <w:tc>
          <w:tcPr>
            <w:tcW w:w="100" w:type="dxa"/>
            <w:vAlign w:val="bottom"/>
            <w:tcBorders>
              <w:top w:val="single" w:sz="8" w:color="DBDBDB"/>
              <w:bottom w:val="single" w:sz="8" w:color="DBDBDB"/>
            </w:tcBorders>
            <w:shd w:val="clear" w:color="auto" w:fill="DBDBDB"/>
          </w:tcPr>
          <w:p>
            <w:pPr>
              <w:spacing w:after="0"/>
              <w:rPr>
                <w:sz w:val="14"/>
                <w:szCs w:val="14"/>
                <w:color w:val="auto"/>
              </w:rPr>
            </w:pPr>
          </w:p>
        </w:tc>
        <w:tc>
          <w:tcPr>
            <w:tcW w:w="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3,206,180</w:t>
            </w:r>
          </w:p>
        </w:tc>
        <w:tc>
          <w:tcPr>
            <w:tcW w:w="100" w:type="dxa"/>
            <w:vAlign w:val="bottom"/>
            <w:tcBorders>
              <w:top w:val="single" w:sz="8" w:color="DBDBDB"/>
              <w:bottom w:val="single" w:sz="8" w:color="DBDBDB"/>
            </w:tcBorders>
            <w:shd w:val="clear" w:color="auto" w:fill="DBDBDB"/>
          </w:tcPr>
          <w:p>
            <w:pPr>
              <w:spacing w:after="0"/>
              <w:rPr>
                <w:sz w:val="14"/>
                <w:szCs w:val="14"/>
                <w:color w:val="auto"/>
              </w:rPr>
            </w:pPr>
          </w:p>
        </w:tc>
        <w:tc>
          <w:tcPr>
            <w:tcW w:w="220" w:type="dxa"/>
            <w:vAlign w:val="bottom"/>
            <w:tcBorders>
              <w:top w:val="single" w:sz="8" w:color="auto"/>
              <w:bottom w:val="single" w:sz="8" w:color="auto"/>
            </w:tcBorders>
            <w:shd w:val="clear" w:color="auto" w:fill="DBDBDB"/>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7,023,226</w:t>
            </w:r>
          </w:p>
        </w:tc>
        <w:tc>
          <w:tcPr>
            <w:tcW w:w="0" w:type="dxa"/>
            <w:vAlign w:val="bottom"/>
          </w:tcPr>
          <w:p>
            <w:pPr>
              <w:spacing w:after="0"/>
              <w:rPr>
                <w:sz w:val="1"/>
                <w:szCs w:val="1"/>
                <w:color w:val="auto"/>
              </w:rPr>
            </w:pPr>
          </w:p>
        </w:tc>
      </w:tr>
      <w:tr>
        <w:trPr>
          <w:trHeight w:val="158"/>
        </w:trPr>
        <w:tc>
          <w:tcPr>
            <w:tcW w:w="2660" w:type="dxa"/>
            <w:vAlign w:val="bottom"/>
            <w:vMerge w:val="restart"/>
          </w:tcPr>
          <w:p>
            <w:pPr>
              <w:spacing w:after="0"/>
              <w:rPr>
                <w:sz w:val="20"/>
                <w:szCs w:val="20"/>
                <w:color w:val="auto"/>
              </w:rPr>
            </w:pPr>
            <w:r>
              <w:rPr>
                <w:rFonts w:ascii="Arial" w:cs="Arial" w:eastAsia="Arial" w:hAnsi="Arial"/>
                <w:sz w:val="12"/>
                <w:szCs w:val="12"/>
                <w:b w:val="1"/>
                <w:bCs w:val="1"/>
                <w:i w:val="1"/>
                <w:iCs w:val="1"/>
                <w:color w:val="003366"/>
              </w:rPr>
              <w:t>Pro rata debt</w:t>
            </w:r>
          </w:p>
        </w:tc>
        <w:tc>
          <w:tcPr>
            <w:tcW w:w="100" w:type="dxa"/>
            <w:vAlign w:val="bottom"/>
            <w:vMerge w:val="restart"/>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0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1"/>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w w:val="99"/>
              </w:rPr>
              <w:t>2025 and after</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0"/>
        </w:trPr>
        <w:tc>
          <w:tcPr>
            <w:tcW w:w="2760" w:type="dxa"/>
            <w:vAlign w:val="bottom"/>
            <w:gridSpan w:val="2"/>
          </w:tcPr>
          <w:p>
            <w:pPr>
              <w:spacing w:after="0"/>
              <w:rPr>
                <w:sz w:val="20"/>
                <w:szCs w:val="20"/>
                <w:color w:val="auto"/>
              </w:rPr>
            </w:pPr>
            <w:r>
              <w:rPr>
                <w:rFonts w:ascii="Arial" w:cs="Arial" w:eastAsia="Arial" w:hAnsi="Arial"/>
                <w:sz w:val="12"/>
                <w:szCs w:val="12"/>
                <w:b w:val="1"/>
                <w:bCs w:val="1"/>
                <w:color w:val="auto"/>
              </w:rPr>
              <w:t>Investment-level debt:</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gridSpan w:val="2"/>
            <w:shd w:val="clear" w:color="auto" w:fill="DBDBDB"/>
          </w:tcPr>
          <w:p>
            <w:pPr>
              <w:ind w:left="220"/>
              <w:spacing w:after="0"/>
              <w:rPr>
                <w:sz w:val="20"/>
                <w:szCs w:val="20"/>
                <w:color w:val="auto"/>
              </w:rPr>
            </w:pPr>
            <w:r>
              <w:rPr>
                <w:rFonts w:ascii="Arial" w:cs="Arial" w:eastAsia="Arial" w:hAnsi="Arial"/>
                <w:sz w:val="12"/>
                <w:szCs w:val="12"/>
                <w:color w:val="auto"/>
              </w:rPr>
              <w:t>Digital Operating</w:t>
            </w:r>
          </w:p>
        </w:tc>
        <w:tc>
          <w:tcPr>
            <w:tcW w:w="16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624</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938</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36,534</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82,027</w:t>
            </w: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407,397</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527,520</w:t>
            </w:r>
          </w:p>
        </w:tc>
        <w:tc>
          <w:tcPr>
            <w:tcW w:w="0" w:type="dxa"/>
            <w:vAlign w:val="bottom"/>
          </w:tcPr>
          <w:p>
            <w:pPr>
              <w:spacing w:after="0"/>
              <w:rPr>
                <w:sz w:val="1"/>
                <w:szCs w:val="1"/>
                <w:color w:val="auto"/>
              </w:rPr>
            </w:pPr>
          </w:p>
        </w:tc>
      </w:tr>
      <w:tr>
        <w:trPr>
          <w:trHeight w:val="153"/>
        </w:trPr>
        <w:tc>
          <w:tcPr>
            <w:tcW w:w="2760" w:type="dxa"/>
            <w:vAlign w:val="bottom"/>
            <w:gridSpan w:val="2"/>
          </w:tcPr>
          <w:p>
            <w:pPr>
              <w:ind w:left="220"/>
              <w:spacing w:after="0"/>
              <w:rPr>
                <w:sz w:val="20"/>
                <w:szCs w:val="20"/>
                <w:color w:val="auto"/>
              </w:rPr>
            </w:pPr>
            <w:r>
              <w:rPr>
                <w:rFonts w:ascii="Arial" w:cs="Arial" w:eastAsia="Arial" w:hAnsi="Arial"/>
                <w:sz w:val="12"/>
                <w:szCs w:val="12"/>
                <w:color w:val="auto"/>
              </w:rPr>
              <w:t>Wellness Infrastructure</w:t>
            </w:r>
          </w:p>
        </w:tc>
        <w:tc>
          <w:tcPr>
            <w:tcW w:w="16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7,045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309,000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7,614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1,471,996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99,090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1,894,745</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DBDBDB"/>
          </w:tcPr>
          <w:p>
            <w:pPr>
              <w:ind w:left="220"/>
              <w:spacing w:after="0"/>
              <w:rPr>
                <w:sz w:val="20"/>
                <w:szCs w:val="20"/>
                <w:color w:val="auto"/>
              </w:rPr>
            </w:pPr>
            <w:r>
              <w:rPr>
                <w:rFonts w:ascii="Arial" w:cs="Arial" w:eastAsia="Arial" w:hAnsi="Arial"/>
                <w:sz w:val="12"/>
                <w:szCs w:val="12"/>
                <w:color w:val="auto"/>
              </w:rPr>
              <w:t>Other</w:t>
            </w:r>
          </w:p>
        </w:tc>
        <w:tc>
          <w:tcPr>
            <w:tcW w:w="160" w:type="dxa"/>
            <w:vAlign w:val="bottom"/>
            <w:shd w:val="clear" w:color="auto" w:fill="DBDBDB"/>
          </w:tcPr>
          <w:p>
            <w:pPr>
              <w:spacing w:after="0"/>
              <w:rPr>
                <w:sz w:val="14"/>
                <w:szCs w:val="14"/>
                <w:color w:val="auto"/>
              </w:rPr>
            </w:pPr>
          </w:p>
        </w:tc>
        <w:tc>
          <w:tcPr>
            <w:tcW w:w="5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21,316</w:t>
            </w: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155,317</w:t>
            </w: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0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4"/>
                <w:szCs w:val="14"/>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DBDBDB"/>
          </w:tcPr>
          <w:p>
            <w:pPr>
              <w:spacing w:after="0"/>
              <w:rPr>
                <w:sz w:val="14"/>
                <w:szCs w:val="14"/>
                <w:color w:val="auto"/>
              </w:rPr>
            </w:pPr>
          </w:p>
        </w:tc>
        <w:tc>
          <w:tcPr>
            <w:tcW w:w="7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176,633</w:t>
            </w:r>
          </w:p>
        </w:tc>
        <w:tc>
          <w:tcPr>
            <w:tcW w:w="0" w:type="dxa"/>
            <w:vAlign w:val="bottom"/>
          </w:tcPr>
          <w:p>
            <w:pPr>
              <w:spacing w:after="0"/>
              <w:rPr>
                <w:sz w:val="1"/>
                <w:szCs w:val="1"/>
                <w:color w:val="auto"/>
              </w:rPr>
            </w:pPr>
          </w:p>
        </w:tc>
      </w:tr>
      <w:tr>
        <w:trPr>
          <w:trHeight w:val="153"/>
        </w:trPr>
        <w:tc>
          <w:tcPr>
            <w:tcW w:w="2760" w:type="dxa"/>
            <w:vAlign w:val="bottom"/>
            <w:gridSpan w:val="2"/>
          </w:tcPr>
          <w:p>
            <w:pPr>
              <w:ind w:left="220"/>
              <w:spacing w:after="0" w:line="153" w:lineRule="exact"/>
              <w:rPr>
                <w:sz w:val="20"/>
                <w:szCs w:val="20"/>
                <w:color w:val="auto"/>
              </w:rPr>
            </w:pPr>
            <w:r>
              <w:rPr>
                <w:rFonts w:ascii="Arial" w:cs="Arial" w:eastAsia="Arial" w:hAnsi="Arial"/>
                <w:sz w:val="12"/>
                <w:szCs w:val="12"/>
                <w:color w:val="auto"/>
              </w:rPr>
              <w:t>5.375% Exchangeable senior notes</w:t>
            </w:r>
            <w:r>
              <w:rPr>
                <w:rFonts w:ascii="Arial" w:cs="Arial" w:eastAsia="Arial" w:hAnsi="Arial"/>
                <w:sz w:val="15"/>
                <w:szCs w:val="15"/>
                <w:color w:val="auto"/>
                <w:vertAlign w:val="superscript"/>
              </w:rPr>
              <w:t>(2)</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13,605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13,605</w:t>
            </w:r>
          </w:p>
        </w:tc>
        <w:tc>
          <w:tcPr>
            <w:tcW w:w="0" w:type="dxa"/>
            <w:vAlign w:val="bottom"/>
          </w:tcPr>
          <w:p>
            <w:pPr>
              <w:spacing w:after="0"/>
              <w:rPr>
                <w:sz w:val="1"/>
                <w:szCs w:val="1"/>
                <w:color w:val="auto"/>
              </w:rPr>
            </w:pPr>
          </w:p>
        </w:tc>
      </w:tr>
      <w:tr>
        <w:trPr>
          <w:trHeight w:val="153"/>
        </w:trPr>
        <w:tc>
          <w:tcPr>
            <w:tcW w:w="2760" w:type="dxa"/>
            <w:vAlign w:val="bottom"/>
            <w:gridSpan w:val="2"/>
            <w:shd w:val="clear" w:color="auto" w:fill="DBDBDB"/>
          </w:tcPr>
          <w:p>
            <w:pPr>
              <w:ind w:left="220"/>
              <w:spacing w:after="0" w:line="153" w:lineRule="exact"/>
              <w:rPr>
                <w:sz w:val="20"/>
                <w:szCs w:val="20"/>
                <w:color w:val="auto"/>
              </w:rPr>
            </w:pPr>
            <w:r>
              <w:rPr>
                <w:rFonts w:ascii="Arial" w:cs="Arial" w:eastAsia="Arial" w:hAnsi="Arial"/>
                <w:sz w:val="12"/>
                <w:szCs w:val="12"/>
                <w:color w:val="auto"/>
              </w:rPr>
              <w:t>TruPS</w:t>
            </w:r>
            <w:r>
              <w:rPr>
                <w:rFonts w:ascii="Arial" w:cs="Arial" w:eastAsia="Arial" w:hAnsi="Arial"/>
                <w:sz w:val="15"/>
                <w:szCs w:val="15"/>
                <w:color w:val="auto"/>
                <w:vertAlign w:val="superscript"/>
              </w:rPr>
              <w:t>(2)</w:t>
            </w:r>
          </w:p>
        </w:tc>
        <w:tc>
          <w:tcPr>
            <w:tcW w:w="160" w:type="dxa"/>
            <w:vAlign w:val="bottom"/>
            <w:shd w:val="clear" w:color="auto" w:fill="DBDBDB"/>
          </w:tcPr>
          <w:p>
            <w:pPr>
              <w:spacing w:after="0"/>
              <w:rPr>
                <w:sz w:val="13"/>
                <w:szCs w:val="13"/>
                <w:color w:val="auto"/>
              </w:rPr>
            </w:pPr>
          </w:p>
        </w:tc>
        <w:tc>
          <w:tcPr>
            <w:tcW w:w="6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DBDBDB"/>
          </w:tcPr>
          <w:p>
            <w:pPr>
              <w:spacing w:after="0"/>
              <w:rPr>
                <w:sz w:val="13"/>
                <w:szCs w:val="13"/>
                <w:color w:val="auto"/>
              </w:rPr>
            </w:pPr>
          </w:p>
        </w:tc>
        <w:tc>
          <w:tcPr>
            <w:tcW w:w="6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3"/>
                <w:szCs w:val="13"/>
                <w:color w:val="auto"/>
              </w:rPr>
            </w:pPr>
          </w:p>
        </w:tc>
        <w:tc>
          <w:tcPr>
            <w:tcW w:w="70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3"/>
                <w:szCs w:val="13"/>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3"/>
                <w:szCs w:val="13"/>
                <w:color w:val="auto"/>
              </w:rPr>
            </w:pPr>
          </w:p>
        </w:tc>
        <w:tc>
          <w:tcPr>
            <w:tcW w:w="8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280,117</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7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280,117</w:t>
            </w:r>
          </w:p>
        </w:tc>
        <w:tc>
          <w:tcPr>
            <w:tcW w:w="0" w:type="dxa"/>
            <w:vAlign w:val="bottom"/>
          </w:tcPr>
          <w:p>
            <w:pPr>
              <w:spacing w:after="0"/>
              <w:rPr>
                <w:sz w:val="1"/>
                <w:szCs w:val="1"/>
                <w:color w:val="auto"/>
              </w:rPr>
            </w:pPr>
          </w:p>
        </w:tc>
      </w:tr>
      <w:tr>
        <w:trPr>
          <w:trHeight w:val="180"/>
        </w:trPr>
        <w:tc>
          <w:tcPr>
            <w:tcW w:w="2760" w:type="dxa"/>
            <w:vAlign w:val="bottom"/>
            <w:gridSpan w:val="2"/>
          </w:tcPr>
          <w:p>
            <w:pPr>
              <w:spacing w:after="0"/>
              <w:rPr>
                <w:sz w:val="20"/>
                <w:szCs w:val="20"/>
                <w:color w:val="auto"/>
              </w:rPr>
            </w:pPr>
            <w:r>
              <w:rPr>
                <w:rFonts w:ascii="Arial" w:cs="Arial" w:eastAsia="Arial" w:hAnsi="Arial"/>
                <w:sz w:val="12"/>
                <w:szCs w:val="12"/>
                <w:b w:val="1"/>
                <w:bCs w:val="1"/>
                <w:color w:val="auto"/>
              </w:rPr>
              <w:t>Corporate debt: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760" w:type="dxa"/>
            <w:vAlign w:val="bottom"/>
            <w:gridSpan w:val="2"/>
            <w:shd w:val="clear" w:color="auto" w:fill="DBDBDB"/>
          </w:tcPr>
          <w:p>
            <w:pPr>
              <w:ind w:left="220"/>
              <w:spacing w:after="0"/>
              <w:rPr>
                <w:sz w:val="20"/>
                <w:szCs w:val="20"/>
                <w:color w:val="auto"/>
              </w:rPr>
            </w:pPr>
            <w:r>
              <w:rPr>
                <w:rFonts w:ascii="Arial" w:cs="Arial" w:eastAsia="Arial" w:hAnsi="Arial"/>
                <w:sz w:val="12"/>
                <w:szCs w:val="12"/>
                <w:color w:val="auto"/>
              </w:rPr>
              <w:t>$400 million revolving credit facility</w:t>
            </w:r>
          </w:p>
        </w:tc>
        <w:tc>
          <w:tcPr>
            <w:tcW w:w="160" w:type="dxa"/>
            <w:vAlign w:val="bottom"/>
            <w:shd w:val="clear" w:color="auto" w:fill="DBDBDB"/>
          </w:tcPr>
          <w:p>
            <w:pPr>
              <w:spacing w:after="0"/>
              <w:rPr>
                <w:sz w:val="13"/>
                <w:szCs w:val="13"/>
                <w:color w:val="auto"/>
              </w:rPr>
            </w:pPr>
          </w:p>
        </w:tc>
        <w:tc>
          <w:tcPr>
            <w:tcW w:w="6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DBDBDB"/>
          </w:tcPr>
          <w:p>
            <w:pPr>
              <w:spacing w:after="0"/>
              <w:rPr>
                <w:sz w:val="13"/>
                <w:szCs w:val="13"/>
                <w:color w:val="auto"/>
              </w:rPr>
            </w:pPr>
          </w:p>
        </w:tc>
        <w:tc>
          <w:tcPr>
            <w:tcW w:w="6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3"/>
                <w:szCs w:val="13"/>
                <w:color w:val="auto"/>
              </w:rPr>
            </w:pPr>
          </w:p>
        </w:tc>
        <w:tc>
          <w:tcPr>
            <w:tcW w:w="70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3"/>
                <w:szCs w:val="13"/>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3"/>
                <w:szCs w:val="13"/>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DBDBDB"/>
          </w:tcPr>
          <w:p>
            <w:pPr>
              <w:spacing w:after="0"/>
              <w:rPr>
                <w:sz w:val="13"/>
                <w:szCs w:val="13"/>
                <w:color w:val="auto"/>
              </w:rPr>
            </w:pPr>
          </w:p>
        </w:tc>
        <w:tc>
          <w:tcPr>
            <w:tcW w:w="7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760" w:type="dxa"/>
            <w:vAlign w:val="bottom"/>
            <w:gridSpan w:val="2"/>
          </w:tcPr>
          <w:p>
            <w:pPr>
              <w:ind w:left="220"/>
              <w:spacing w:after="0"/>
              <w:rPr>
                <w:sz w:val="20"/>
                <w:szCs w:val="20"/>
                <w:color w:val="auto"/>
              </w:rPr>
            </w:pPr>
            <w:r>
              <w:rPr>
                <w:rFonts w:ascii="Arial" w:cs="Arial" w:eastAsia="Arial" w:hAnsi="Arial"/>
                <w:sz w:val="12"/>
                <w:szCs w:val="12"/>
                <w:color w:val="auto"/>
              </w:rPr>
              <w:t>Convertible/exchangeable senior notes</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300,000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500,000</w:t>
            </w:r>
          </w:p>
        </w:tc>
        <w:tc>
          <w:tcPr>
            <w:tcW w:w="0" w:type="dxa"/>
            <w:vAlign w:val="bottom"/>
          </w:tcPr>
          <w:p>
            <w:pPr>
              <w:spacing w:after="0"/>
              <w:rPr>
                <w:sz w:val="1"/>
                <w:szCs w:val="1"/>
                <w:color w:val="auto"/>
              </w:rPr>
            </w:pPr>
          </w:p>
        </w:tc>
      </w:tr>
      <w:tr>
        <w:trPr>
          <w:trHeight w:val="158"/>
        </w:trPr>
        <w:tc>
          <w:tcPr>
            <w:tcW w:w="2760" w:type="dxa"/>
            <w:vAlign w:val="bottom"/>
            <w:tcBorders>
              <w:top w:val="single" w:sz="8" w:color="DBDBDB"/>
              <w:bottom w:val="single" w:sz="8" w:color="DBDBDB"/>
            </w:tcBorders>
            <w:gridSpan w:val="2"/>
            <w:shd w:val="clear" w:color="auto" w:fill="DBDBDB"/>
          </w:tcPr>
          <w:p>
            <w:pPr>
              <w:spacing w:after="0" w:line="142" w:lineRule="exact"/>
              <w:rPr>
                <w:sz w:val="20"/>
                <w:szCs w:val="20"/>
                <w:color w:val="auto"/>
              </w:rPr>
            </w:pPr>
            <w:r>
              <w:rPr>
                <w:rFonts w:ascii="Arial" w:cs="Arial" w:eastAsia="Arial" w:hAnsi="Arial"/>
                <w:sz w:val="12"/>
                <w:szCs w:val="12"/>
                <w:b w:val="1"/>
                <w:bCs w:val="1"/>
                <w:color w:val="auto"/>
              </w:rPr>
              <w:t>Total pro rata debt</w:t>
            </w:r>
            <w:r>
              <w:rPr>
                <w:rFonts w:ascii="Arial" w:cs="Arial" w:eastAsia="Arial" w:hAnsi="Arial"/>
                <w:sz w:val="15"/>
                <w:szCs w:val="15"/>
                <w:b w:val="1"/>
                <w:bCs w:val="1"/>
                <w:color w:val="auto"/>
                <w:vertAlign w:val="superscript"/>
              </w:rPr>
              <w:t>(3)</w:t>
            </w:r>
          </w:p>
        </w:tc>
        <w:tc>
          <w:tcPr>
            <w:tcW w:w="160" w:type="dxa"/>
            <w:vAlign w:val="bottom"/>
            <w:tcBorders>
              <w:top w:val="single" w:sz="8" w:color="auto"/>
              <w:bottom w:val="single" w:sz="8" w:color="auto"/>
            </w:tcBorders>
            <w:shd w:val="clear" w:color="auto" w:fill="DBDBDB"/>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58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28,985</w:t>
            </w: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w w:val="89"/>
              </w:rPr>
              <w:t>$</w:t>
            </w:r>
          </w:p>
        </w:tc>
        <w:tc>
          <w:tcPr>
            <w:tcW w:w="58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465,255</w:t>
            </w: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160" w:type="dxa"/>
            <w:vAlign w:val="bottom"/>
            <w:tcBorders>
              <w:top w:val="single" w:sz="8" w:color="auto"/>
              <w:bottom w:val="single" w:sz="8" w:color="auto"/>
            </w:tcBorders>
            <w:shd w:val="clear" w:color="auto" w:fill="DBDBDB"/>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244,148</w:t>
            </w: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160" w:type="dxa"/>
            <w:vAlign w:val="bottom"/>
            <w:tcBorders>
              <w:top w:val="single" w:sz="8" w:color="auto"/>
              <w:bottom w:val="single" w:sz="8" w:color="auto"/>
            </w:tcBorders>
            <w:shd w:val="clear" w:color="auto" w:fill="DBDBDB"/>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1,554,023</w:t>
            </w: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1,100,209</w:t>
            </w: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220" w:type="dxa"/>
            <w:vAlign w:val="bottom"/>
            <w:tcBorders>
              <w:top w:val="single" w:sz="8" w:color="auto"/>
              <w:bottom w:val="single" w:sz="8" w:color="auto"/>
            </w:tcBorders>
            <w:shd w:val="clear" w:color="auto" w:fill="DBDBDB"/>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3,392,620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7" w:lineRule="exact"/>
        <w:rPr>
          <w:sz w:val="20"/>
          <w:szCs w:val="20"/>
          <w:color w:val="auto"/>
        </w:rPr>
      </w:pPr>
    </w:p>
    <w:p>
      <w:pPr>
        <w:ind w:left="188" w:hanging="188"/>
        <w:spacing w:after="0"/>
        <w:tabs>
          <w:tab w:leader="none" w:pos="188" w:val="left"/>
        </w:tabs>
        <w:numPr>
          <w:ilvl w:val="0"/>
          <w:numId w:val="24"/>
        </w:numPr>
        <w:rPr>
          <w:rFonts w:ascii="Arial" w:cs="Arial" w:eastAsia="Arial" w:hAnsi="Arial"/>
          <w:sz w:val="8"/>
          <w:szCs w:val="8"/>
          <w:color w:val="424242"/>
        </w:rPr>
      </w:pPr>
      <w:r>
        <w:rPr>
          <w:rFonts w:ascii="Arial" w:cs="Arial" w:eastAsia="Arial" w:hAnsi="Arial"/>
          <w:sz w:val="8"/>
          <w:szCs w:val="8"/>
          <w:color w:val="424242"/>
        </w:rPr>
        <w:t>Weighted Average Years Remaining to Maturity is based on initial maturity dates or extended maturity dates if the criteria to extend have been met as of May 3, 2021, the latest practicable date that the information was available, and the extension option is at the Company’s discretion.</w:t>
      </w:r>
    </w:p>
    <w:p>
      <w:pPr>
        <w:spacing w:after="0" w:line="7" w:lineRule="exact"/>
        <w:rPr>
          <w:rFonts w:ascii="Arial" w:cs="Arial" w:eastAsia="Arial" w:hAnsi="Arial"/>
          <w:sz w:val="8"/>
          <w:szCs w:val="8"/>
          <w:color w:val="424242"/>
        </w:rPr>
      </w:pPr>
    </w:p>
    <w:p>
      <w:pPr>
        <w:ind w:left="188" w:hanging="188"/>
        <w:spacing w:after="0" w:line="234" w:lineRule="auto"/>
        <w:tabs>
          <w:tab w:leader="none" w:pos="188" w:val="left"/>
        </w:tabs>
        <w:numPr>
          <w:ilvl w:val="0"/>
          <w:numId w:val="24"/>
        </w:numPr>
        <w:rPr>
          <w:rFonts w:ascii="Arial" w:cs="Arial" w:eastAsia="Arial" w:hAnsi="Arial"/>
          <w:sz w:val="8"/>
          <w:szCs w:val="8"/>
          <w:color w:val="424242"/>
        </w:rPr>
      </w:pPr>
      <w:r>
        <w:rPr>
          <w:rFonts w:ascii="Arial" w:cs="Arial" w:eastAsia="Arial" w:hAnsi="Arial"/>
          <w:sz w:val="8"/>
          <w:szCs w:val="8"/>
          <w:color w:val="424242"/>
        </w:rPr>
        <w:t>These obligations were issued by NRF Holdco, which holds the Wellness Infrastructure portfolio as its primary asset and acts as guarantor. The Company is neither an obligor nor guarantor on the TruPS and 5.375% exchangeable notes.</w:t>
      </w:r>
    </w:p>
    <w:p>
      <w:pPr>
        <w:ind w:left="208" w:right="80" w:hanging="208"/>
        <w:spacing w:after="0" w:line="236" w:lineRule="auto"/>
        <w:tabs>
          <w:tab w:leader="none" w:pos="188" w:val="left"/>
        </w:tabs>
        <w:numPr>
          <w:ilvl w:val="0"/>
          <w:numId w:val="24"/>
        </w:numPr>
        <w:rPr>
          <w:rFonts w:ascii="Arial" w:cs="Arial" w:eastAsia="Arial" w:hAnsi="Arial"/>
          <w:sz w:val="8"/>
          <w:szCs w:val="8"/>
          <w:color w:val="424242"/>
        </w:rPr>
      </w:pPr>
      <w:r>
        <w:rPr>
          <w:rFonts w:ascii="Arial" w:cs="Arial" w:eastAsia="Arial" w:hAnsi="Arial"/>
          <w:sz w:val="8"/>
          <w:szCs w:val="8"/>
          <w:color w:val="424242"/>
        </w:rPr>
        <w:t>Excluded from above presentation is debt of assets which are presented under discontinued operations for the first quarter 2021, including, one hospitality portfolio under receivership, with related $780 million consolidated, or $702 million CLNY OP share, of debt, and substantially all of Other OED assets with related $884 million consolidated, or $331 million CLNY OP share, of debt.</w:t>
      </w:r>
    </w:p>
    <w:p>
      <w:pPr>
        <w:spacing w:after="0" w:line="31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17</w:t>
            </w:r>
          </w:p>
        </w:tc>
      </w:tr>
    </w:tbl>
    <w:p>
      <w:pPr>
        <w:sectPr>
          <w:pgSz w:w="11900" w:h="16838" w:orient="portrait"/>
          <w:cols w:equalWidth="0" w:num="1">
            <w:col w:w="11308"/>
          </w:cols>
          <w:pgMar w:left="292" w:top="158" w:right="299" w:bottom="1440" w:gutter="0" w:footer="0" w:header="0"/>
        </w:sectPr>
      </w:pPr>
    </w:p>
    <w:bookmarkStart w:id="32" w:name="page33"/>
    <w:bookmarkEnd w:id="32"/>
    <w:p>
      <w:pPr>
        <w:spacing w:after="0"/>
        <w:rPr>
          <w:sz w:val="20"/>
          <w:szCs w:val="20"/>
          <w:color w:val="auto"/>
        </w:rPr>
      </w:pPr>
      <w:r>
        <w:rPr>
          <w:rFonts w:ascii="Arial" w:cs="Arial" w:eastAsia="Arial" w:hAnsi="Arial"/>
          <w:sz w:val="29"/>
          <w:szCs w:val="29"/>
          <w:color w:val="auto"/>
        </w:rPr>
        <w:t>IIIe. Capitalization -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78040"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976630</wp:posOffset>
            </wp:positionV>
            <wp:extent cx="5280660" cy="3068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8066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18</w:t>
            </w:r>
          </w:p>
        </w:tc>
      </w:tr>
    </w:tbl>
    <w:p>
      <w:pPr>
        <w:sectPr>
          <w:pgSz w:w="11900" w:h="16838" w:orient="portrait"/>
          <w:cols w:equalWidth="0" w:num="1">
            <w:col w:w="11300"/>
          </w:cols>
          <w:pgMar w:left="300" w:top="158" w:right="299" w:bottom="1440" w:gutter="0" w:footer="0" w:header="0"/>
        </w:sectPr>
      </w:pPr>
    </w:p>
    <w:bookmarkStart w:id="33" w:name="page34"/>
    <w:bookmarkEnd w:id="33"/>
    <w:p>
      <w:pPr>
        <w:ind w:left="8"/>
        <w:spacing w:after="0"/>
        <w:rPr>
          <w:sz w:val="20"/>
          <w:szCs w:val="20"/>
          <w:color w:val="auto"/>
        </w:rPr>
      </w:pPr>
      <w:r>
        <w:rPr>
          <w:rFonts w:ascii="Arial" w:cs="Arial" w:eastAsia="Arial" w:hAnsi="Arial"/>
          <w:sz w:val="29"/>
          <w:szCs w:val="29"/>
          <w:color w:val="auto"/>
        </w:rPr>
        <w:t>IV. Digital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508"/>
        <w:spacing w:after="0"/>
        <w:rPr>
          <w:sz w:val="20"/>
          <w:szCs w:val="20"/>
          <w:color w:val="auto"/>
        </w:rPr>
      </w:pPr>
      <w:r>
        <w:rPr>
          <w:rFonts w:ascii="Arial" w:cs="Arial" w:eastAsia="Arial" w:hAnsi="Arial"/>
          <w:sz w:val="12"/>
          <w:szCs w:val="12"/>
          <w:b w:val="1"/>
          <w:bCs w:val="1"/>
          <w:color w:val="003366"/>
        </w:rPr>
        <w:t>Digital Third-party AUM &amp; FEEUM</w:t>
      </w:r>
    </w:p>
    <w:p>
      <w:pPr>
        <w:spacing w:after="0" w:line="21" w:lineRule="exact"/>
        <w:rPr>
          <w:sz w:val="20"/>
          <w:szCs w:val="20"/>
          <w:color w:val="auto"/>
        </w:rPr>
      </w:pPr>
    </w:p>
    <w:tbl>
      <w:tblPr>
        <w:tblLayout w:type="fixed"/>
        <w:tblInd w:w="1488" w:type="dxa"/>
        <w:tblCellMar>
          <w:top w:w="0" w:type="dxa"/>
          <w:left w:w="0" w:type="dxa"/>
          <w:bottom w:w="0" w:type="dxa"/>
          <w:right w:w="0" w:type="dxa"/>
        </w:tblCellMar>
      </w:tblPr>
      <w:tr>
        <w:trPr>
          <w:trHeight w:val="143"/>
        </w:trPr>
        <w:tc>
          <w:tcPr>
            <w:tcW w:w="4280" w:type="dxa"/>
            <w:vAlign w:val="bottom"/>
          </w:tcPr>
          <w:p>
            <w:pPr>
              <w:ind w:left="20"/>
              <w:spacing w:after="0"/>
              <w:rPr>
                <w:sz w:val="20"/>
                <w:szCs w:val="20"/>
                <w:color w:val="auto"/>
              </w:rPr>
            </w:pPr>
            <w:r>
              <w:rPr>
                <w:rFonts w:ascii="Arial" w:cs="Arial" w:eastAsia="Arial" w:hAnsi="Arial"/>
                <w:sz w:val="11"/>
                <w:szCs w:val="11"/>
                <w:i w:val="1"/>
                <w:iCs w:val="1"/>
                <w:color w:val="auto"/>
              </w:rPr>
              <w:t>($ in millions, as of March 31, 2021, unless otherwise noted)</w:t>
            </w:r>
          </w:p>
        </w:tc>
        <w:tc>
          <w:tcPr>
            <w:tcW w:w="1380" w:type="dxa"/>
            <w:vAlign w:val="bottom"/>
            <w:gridSpan w:val="3"/>
          </w:tcPr>
          <w:p>
            <w:pPr>
              <w:ind w:left="60"/>
              <w:spacing w:after="0"/>
              <w:rPr>
                <w:sz w:val="20"/>
                <w:szCs w:val="20"/>
                <w:color w:val="auto"/>
              </w:rPr>
            </w:pPr>
            <w:r>
              <w:rPr>
                <w:rFonts w:ascii="Arial" w:cs="Arial" w:eastAsia="Arial" w:hAnsi="Arial"/>
                <w:sz w:val="11"/>
                <w:szCs w:val="11"/>
                <w:b w:val="1"/>
                <w:bCs w:val="1"/>
                <w:color w:val="auto"/>
              </w:rPr>
              <w:t>AUM CLNY OP Share</w:t>
            </w:r>
          </w:p>
        </w:tc>
        <w:tc>
          <w:tcPr>
            <w:tcW w:w="1340" w:type="dxa"/>
            <w:vAlign w:val="bottom"/>
            <w:gridSpan w:val="2"/>
          </w:tcPr>
          <w:p>
            <w:pPr>
              <w:jc w:val="right"/>
              <w:spacing w:after="0"/>
              <w:rPr>
                <w:sz w:val="20"/>
                <w:szCs w:val="20"/>
                <w:color w:val="auto"/>
              </w:rPr>
            </w:pPr>
            <w:r>
              <w:rPr>
                <w:rFonts w:ascii="Arial" w:cs="Arial" w:eastAsia="Arial" w:hAnsi="Arial"/>
                <w:sz w:val="11"/>
                <w:szCs w:val="11"/>
                <w:b w:val="1"/>
                <w:bCs w:val="1"/>
                <w:color w:val="auto"/>
              </w:rPr>
              <w:t>FEEUM CLNY OP Share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261"/>
              <w:spacing w:after="0"/>
              <w:rPr>
                <w:sz w:val="20"/>
                <w:szCs w:val="20"/>
                <w:color w:val="auto"/>
              </w:rPr>
            </w:pPr>
            <w:r>
              <w:rPr>
                <w:rFonts w:ascii="Arial" w:cs="Arial" w:eastAsia="Arial" w:hAnsi="Arial"/>
                <w:sz w:val="11"/>
                <w:szCs w:val="11"/>
                <w:b w:val="1"/>
                <w:bCs w:val="1"/>
                <w:color w:val="auto"/>
              </w:rPr>
              <w:t>Fee Rate</w:t>
            </w:r>
          </w:p>
        </w:tc>
        <w:tc>
          <w:tcPr>
            <w:tcW w:w="0" w:type="dxa"/>
            <w:vAlign w:val="bottom"/>
          </w:tcPr>
          <w:p>
            <w:pPr>
              <w:spacing w:after="0"/>
              <w:rPr>
                <w:sz w:val="1"/>
                <w:szCs w:val="1"/>
                <w:color w:val="auto"/>
              </w:rPr>
            </w:pPr>
          </w:p>
        </w:tc>
      </w:tr>
      <w:tr>
        <w:trPr>
          <w:trHeight w:val="152"/>
        </w:trPr>
        <w:tc>
          <w:tcPr>
            <w:tcW w:w="4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Digital Colony Partners I</w:t>
            </w:r>
          </w:p>
        </w:tc>
        <w:tc>
          <w:tcPr>
            <w:tcW w:w="420" w:type="dxa"/>
            <w:vAlign w:val="bottom"/>
            <w:tcBorders>
              <w:top w:val="single" w:sz="8" w:color="auto"/>
            </w:tcBorders>
            <w:shd w:val="clear" w:color="auto" w:fill="DBDBDB"/>
          </w:tcPr>
          <w:p>
            <w:pPr>
              <w:jc w:val="right"/>
              <w:ind w:right="281"/>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5,931</w:t>
            </w:r>
          </w:p>
        </w:tc>
        <w:tc>
          <w:tcPr>
            <w:tcW w:w="160" w:type="dxa"/>
            <w:vAlign w:val="bottom"/>
            <w:tcBorders>
              <w:top w:val="single" w:sz="8" w:color="DBDBDB"/>
            </w:tcBorders>
            <w:shd w:val="clear" w:color="auto" w:fill="DBDBDB"/>
          </w:tcPr>
          <w:p>
            <w:pPr>
              <w:spacing w:after="0"/>
              <w:rPr>
                <w:sz w:val="13"/>
                <w:szCs w:val="13"/>
                <w:color w:val="auto"/>
              </w:rPr>
            </w:pPr>
          </w:p>
        </w:tc>
        <w:tc>
          <w:tcPr>
            <w:tcW w:w="500" w:type="dxa"/>
            <w:vAlign w:val="bottom"/>
            <w:tcBorders>
              <w:top w:val="single" w:sz="8" w:color="auto"/>
            </w:tcBorders>
            <w:shd w:val="clear" w:color="auto" w:fill="DBDBDB"/>
          </w:tcPr>
          <w:p>
            <w:pPr>
              <w:jc w:val="right"/>
              <w:ind w:right="361"/>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3,179</w:t>
            </w:r>
          </w:p>
        </w:tc>
        <w:tc>
          <w:tcPr>
            <w:tcW w:w="220" w:type="dxa"/>
            <w:vAlign w:val="bottom"/>
            <w:tcBorders>
              <w:top w:val="single" w:sz="8" w:color="DBDBDB"/>
            </w:tcBorders>
            <w:shd w:val="clear" w:color="auto" w:fill="DBDBDB"/>
          </w:tcPr>
          <w:p>
            <w:pPr>
              <w:jc w:val="right"/>
              <w:ind w:right="47"/>
              <w:spacing w:after="0"/>
              <w:rPr>
                <w:sz w:val="20"/>
                <w:szCs w:val="20"/>
                <w:color w:val="auto"/>
              </w:rPr>
            </w:pPr>
            <w:r>
              <w:rPr>
                <w:rFonts w:ascii="Arial" w:cs="Arial" w:eastAsia="Arial" w:hAnsi="Arial"/>
                <w:sz w:val="8"/>
                <w:szCs w:val="8"/>
                <w:color w:val="auto"/>
              </w:rPr>
              <w:t>(1)</w:t>
            </w:r>
          </w:p>
        </w:tc>
        <w:tc>
          <w:tcPr>
            <w:tcW w:w="200" w:type="dxa"/>
            <w:vAlign w:val="bottom"/>
            <w:tcBorders>
              <w:top w:val="single" w:sz="8" w:color="auto"/>
            </w:tcBorders>
            <w:shd w:val="clear" w:color="auto" w:fill="DBDBDB"/>
          </w:tcPr>
          <w:p>
            <w:pPr>
              <w:spacing w:after="0"/>
              <w:rPr>
                <w:sz w:val="13"/>
                <w:szCs w:val="13"/>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1.2 %</w:t>
            </w:r>
          </w:p>
        </w:tc>
        <w:tc>
          <w:tcPr>
            <w:tcW w:w="0" w:type="dxa"/>
            <w:vAlign w:val="bottom"/>
          </w:tcPr>
          <w:p>
            <w:pPr>
              <w:spacing w:after="0"/>
              <w:rPr>
                <w:sz w:val="1"/>
                <w:szCs w:val="1"/>
                <w:color w:val="auto"/>
              </w:rPr>
            </w:pPr>
          </w:p>
        </w:tc>
      </w:tr>
      <w:tr>
        <w:trPr>
          <w:trHeight w:val="171"/>
        </w:trPr>
        <w:tc>
          <w:tcPr>
            <w:tcW w:w="4280" w:type="dxa"/>
            <w:vAlign w:val="bottom"/>
          </w:tcPr>
          <w:p>
            <w:pPr>
              <w:ind w:left="20"/>
              <w:spacing w:after="0"/>
              <w:rPr>
                <w:sz w:val="20"/>
                <w:szCs w:val="20"/>
                <w:color w:val="auto"/>
              </w:rPr>
            </w:pPr>
            <w:r>
              <w:rPr>
                <w:rFonts w:ascii="Arial" w:cs="Arial" w:eastAsia="Arial" w:hAnsi="Arial"/>
                <w:sz w:val="12"/>
                <w:szCs w:val="12"/>
                <w:color w:val="auto"/>
              </w:rPr>
              <w:t>Digital Colony Partners II</w:t>
            </w:r>
          </w:p>
        </w:tc>
        <w:tc>
          <w:tcPr>
            <w:tcW w:w="420" w:type="dxa"/>
            <w:vAlign w:val="bottom"/>
          </w:tcPr>
          <w:p>
            <w:pPr>
              <w:jc w:val="right"/>
              <w:ind w:right="281"/>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4,775</w:t>
            </w:r>
          </w:p>
        </w:tc>
        <w:tc>
          <w:tcPr>
            <w:tcW w:w="160" w:type="dxa"/>
            <w:vAlign w:val="bottom"/>
          </w:tcPr>
          <w:p>
            <w:pPr>
              <w:spacing w:after="0"/>
              <w:rPr>
                <w:sz w:val="14"/>
                <w:szCs w:val="14"/>
                <w:color w:val="auto"/>
              </w:rPr>
            </w:pPr>
          </w:p>
        </w:tc>
        <w:tc>
          <w:tcPr>
            <w:tcW w:w="500" w:type="dxa"/>
            <w:vAlign w:val="bottom"/>
          </w:tcPr>
          <w:p>
            <w:pPr>
              <w:jc w:val="right"/>
              <w:ind w:right="361"/>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3,964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1.2 %</w:t>
            </w:r>
          </w:p>
        </w:tc>
        <w:tc>
          <w:tcPr>
            <w:tcW w:w="0" w:type="dxa"/>
            <w:vAlign w:val="bottom"/>
          </w:tcPr>
          <w:p>
            <w:pPr>
              <w:spacing w:after="0"/>
              <w:rPr>
                <w:sz w:val="1"/>
                <w:szCs w:val="1"/>
                <w:color w:val="auto"/>
              </w:rPr>
            </w:pPr>
          </w:p>
        </w:tc>
      </w:tr>
      <w:tr>
        <w:trPr>
          <w:trHeight w:val="171"/>
        </w:trPr>
        <w:tc>
          <w:tcPr>
            <w:tcW w:w="4280" w:type="dxa"/>
            <w:vAlign w:val="bottom"/>
            <w:shd w:val="clear" w:color="auto" w:fill="DBDBDB"/>
          </w:tcPr>
          <w:p>
            <w:pPr>
              <w:ind w:left="20"/>
              <w:spacing w:after="0"/>
              <w:rPr>
                <w:sz w:val="20"/>
                <w:szCs w:val="20"/>
                <w:color w:val="auto"/>
              </w:rPr>
            </w:pPr>
            <w:r>
              <w:rPr>
                <w:rFonts w:ascii="Arial" w:cs="Arial" w:eastAsia="Arial" w:hAnsi="Arial"/>
                <w:sz w:val="12"/>
                <w:szCs w:val="12"/>
                <w:color w:val="auto"/>
              </w:rPr>
              <w:t>Separately Capitalized Portfolio Companies</w:t>
            </w:r>
          </w:p>
        </w:tc>
        <w:tc>
          <w:tcPr>
            <w:tcW w:w="420" w:type="dxa"/>
            <w:vAlign w:val="bottom"/>
            <w:shd w:val="clear" w:color="auto" w:fill="DBDBDB"/>
          </w:tcPr>
          <w:p>
            <w:pPr>
              <w:jc w:val="right"/>
              <w:ind w:right="281"/>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9,619</w:t>
            </w:r>
          </w:p>
        </w:tc>
        <w:tc>
          <w:tcPr>
            <w:tcW w:w="160" w:type="dxa"/>
            <w:vAlign w:val="bottom"/>
            <w:shd w:val="clear" w:color="auto" w:fill="DBDBDB"/>
          </w:tcPr>
          <w:p>
            <w:pPr>
              <w:spacing w:after="0"/>
              <w:rPr>
                <w:sz w:val="14"/>
                <w:szCs w:val="14"/>
                <w:color w:val="auto"/>
              </w:rPr>
            </w:pPr>
          </w:p>
        </w:tc>
        <w:tc>
          <w:tcPr>
            <w:tcW w:w="500" w:type="dxa"/>
            <w:vAlign w:val="bottom"/>
            <w:shd w:val="clear" w:color="auto" w:fill="DBDBDB"/>
          </w:tcPr>
          <w:p>
            <w:pPr>
              <w:jc w:val="right"/>
              <w:ind w:right="361"/>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2,476</w:t>
            </w:r>
          </w:p>
        </w:tc>
        <w:tc>
          <w:tcPr>
            <w:tcW w:w="22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0.9 %</w:t>
            </w:r>
          </w:p>
        </w:tc>
        <w:tc>
          <w:tcPr>
            <w:tcW w:w="0" w:type="dxa"/>
            <w:vAlign w:val="bottom"/>
          </w:tcPr>
          <w:p>
            <w:pPr>
              <w:spacing w:after="0"/>
              <w:rPr>
                <w:sz w:val="1"/>
                <w:szCs w:val="1"/>
                <w:color w:val="auto"/>
              </w:rPr>
            </w:pPr>
          </w:p>
        </w:tc>
      </w:tr>
      <w:tr>
        <w:trPr>
          <w:trHeight w:val="171"/>
        </w:trPr>
        <w:tc>
          <w:tcPr>
            <w:tcW w:w="4280" w:type="dxa"/>
            <w:vAlign w:val="bottom"/>
          </w:tcPr>
          <w:p>
            <w:pPr>
              <w:ind w:left="20"/>
              <w:spacing w:after="0"/>
              <w:rPr>
                <w:sz w:val="20"/>
                <w:szCs w:val="20"/>
                <w:color w:val="auto"/>
              </w:rPr>
            </w:pPr>
            <w:r>
              <w:rPr>
                <w:rFonts w:ascii="Arial" w:cs="Arial" w:eastAsia="Arial" w:hAnsi="Arial"/>
                <w:sz w:val="12"/>
                <w:szCs w:val="12"/>
                <w:color w:val="auto"/>
              </w:rPr>
              <w:t>Co-Investment (Sidecar) Capital</w:t>
            </w:r>
          </w:p>
        </w:tc>
        <w:tc>
          <w:tcPr>
            <w:tcW w:w="420" w:type="dxa"/>
            <w:vAlign w:val="bottom"/>
          </w:tcPr>
          <w:p>
            <w:pPr>
              <w:jc w:val="right"/>
              <w:ind w:right="281"/>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9,865</w:t>
            </w:r>
          </w:p>
        </w:tc>
        <w:tc>
          <w:tcPr>
            <w:tcW w:w="160" w:type="dxa"/>
            <w:vAlign w:val="bottom"/>
          </w:tcPr>
          <w:p>
            <w:pPr>
              <w:spacing w:after="0"/>
              <w:rPr>
                <w:sz w:val="14"/>
                <w:szCs w:val="14"/>
                <w:color w:val="auto"/>
              </w:rPr>
            </w:pPr>
          </w:p>
        </w:tc>
        <w:tc>
          <w:tcPr>
            <w:tcW w:w="500" w:type="dxa"/>
            <w:vAlign w:val="bottom"/>
          </w:tcPr>
          <w:p>
            <w:pPr>
              <w:jc w:val="right"/>
              <w:ind w:right="361"/>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2,802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0.5 %</w:t>
            </w:r>
          </w:p>
        </w:tc>
        <w:tc>
          <w:tcPr>
            <w:tcW w:w="0" w:type="dxa"/>
            <w:vAlign w:val="bottom"/>
          </w:tcPr>
          <w:p>
            <w:pPr>
              <w:spacing w:after="0"/>
              <w:rPr>
                <w:sz w:val="1"/>
                <w:szCs w:val="1"/>
                <w:color w:val="auto"/>
              </w:rPr>
            </w:pPr>
          </w:p>
        </w:tc>
      </w:tr>
      <w:tr>
        <w:trPr>
          <w:trHeight w:val="171"/>
        </w:trPr>
        <w:tc>
          <w:tcPr>
            <w:tcW w:w="4280" w:type="dxa"/>
            <w:vAlign w:val="bottom"/>
            <w:shd w:val="clear" w:color="auto" w:fill="DBDBDB"/>
          </w:tcPr>
          <w:p>
            <w:pPr>
              <w:ind w:left="20"/>
              <w:spacing w:after="0"/>
              <w:rPr>
                <w:sz w:val="20"/>
                <w:szCs w:val="20"/>
                <w:color w:val="auto"/>
              </w:rPr>
            </w:pPr>
            <w:r>
              <w:rPr>
                <w:rFonts w:ascii="Arial" w:cs="Arial" w:eastAsia="Arial" w:hAnsi="Arial"/>
                <w:sz w:val="12"/>
                <w:szCs w:val="12"/>
                <w:color w:val="auto"/>
              </w:rPr>
              <w:t>Liquid Strategies</w:t>
            </w:r>
          </w:p>
        </w:tc>
        <w:tc>
          <w:tcPr>
            <w:tcW w:w="420" w:type="dxa"/>
            <w:vAlign w:val="bottom"/>
            <w:tcBorders>
              <w:bottom w:val="single" w:sz="8" w:color="auto"/>
            </w:tcBorders>
            <w:shd w:val="clear" w:color="auto" w:fill="DBDBDB"/>
          </w:tcPr>
          <w:p>
            <w:pPr>
              <w:jc w:val="right"/>
              <w:ind w:right="28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521</w:t>
            </w:r>
          </w:p>
        </w:tc>
        <w:tc>
          <w:tcPr>
            <w:tcW w:w="160" w:type="dxa"/>
            <w:vAlign w:val="bottom"/>
            <w:shd w:val="clear" w:color="auto" w:fill="DBDBDB"/>
          </w:tcPr>
          <w:p>
            <w:pPr>
              <w:spacing w:after="0"/>
              <w:rPr>
                <w:sz w:val="14"/>
                <w:szCs w:val="14"/>
                <w:color w:val="auto"/>
              </w:rPr>
            </w:pPr>
          </w:p>
        </w:tc>
        <w:tc>
          <w:tcPr>
            <w:tcW w:w="500" w:type="dxa"/>
            <w:vAlign w:val="bottom"/>
            <w:tcBorders>
              <w:bottom w:val="single" w:sz="8" w:color="auto"/>
            </w:tcBorders>
            <w:shd w:val="clear" w:color="auto" w:fill="DBDBDB"/>
          </w:tcPr>
          <w:p>
            <w:pPr>
              <w:jc w:val="right"/>
              <w:ind w:right="361"/>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432</w:t>
            </w:r>
          </w:p>
        </w:tc>
        <w:tc>
          <w:tcPr>
            <w:tcW w:w="220" w:type="dxa"/>
            <w:vAlign w:val="bottom"/>
            <w:shd w:val="clear" w:color="auto" w:fill="DBDBDB"/>
          </w:tcPr>
          <w:p>
            <w:pPr>
              <w:spacing w:after="0"/>
              <w:rPr>
                <w:sz w:val="14"/>
                <w:szCs w:val="14"/>
                <w:color w:val="auto"/>
              </w:rPr>
            </w:pPr>
          </w:p>
        </w:tc>
        <w:tc>
          <w:tcPr>
            <w:tcW w:w="200" w:type="dxa"/>
            <w:vAlign w:val="bottom"/>
            <w:tcBorders>
              <w:bottom w:val="single" w:sz="8" w:color="auto"/>
            </w:tcBorders>
            <w:shd w:val="clear" w:color="auto" w:fill="DBDBDB"/>
          </w:tcPr>
          <w:p>
            <w:pPr>
              <w:spacing w:after="0"/>
              <w:rPr>
                <w:sz w:val="14"/>
                <w:szCs w:val="14"/>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0.5 %</w:t>
            </w:r>
          </w:p>
        </w:tc>
        <w:tc>
          <w:tcPr>
            <w:tcW w:w="0" w:type="dxa"/>
            <w:vAlign w:val="bottom"/>
          </w:tcPr>
          <w:p>
            <w:pPr>
              <w:spacing w:after="0"/>
              <w:rPr>
                <w:sz w:val="1"/>
                <w:szCs w:val="1"/>
                <w:color w:val="auto"/>
              </w:rPr>
            </w:pPr>
          </w:p>
        </w:tc>
      </w:tr>
      <w:tr>
        <w:trPr>
          <w:trHeight w:val="151"/>
        </w:trPr>
        <w:tc>
          <w:tcPr>
            <w:tcW w:w="4280" w:type="dxa"/>
            <w:vAlign w:val="bottom"/>
          </w:tcPr>
          <w:p>
            <w:pPr>
              <w:ind w:left="20"/>
              <w:spacing w:after="0"/>
              <w:rPr>
                <w:sz w:val="20"/>
                <w:szCs w:val="20"/>
                <w:color w:val="auto"/>
              </w:rPr>
            </w:pPr>
            <w:r>
              <w:rPr>
                <w:rFonts w:ascii="Arial" w:cs="Arial" w:eastAsia="Arial" w:hAnsi="Arial"/>
                <w:sz w:val="12"/>
                <w:szCs w:val="12"/>
                <w:b w:val="1"/>
                <w:bCs w:val="1"/>
                <w:color w:val="auto"/>
              </w:rPr>
              <w:t>Digital Investment Management Total</w:t>
            </w:r>
          </w:p>
        </w:tc>
        <w:tc>
          <w:tcPr>
            <w:tcW w:w="420" w:type="dxa"/>
            <w:vAlign w:val="bottom"/>
          </w:tcPr>
          <w:p>
            <w:pPr>
              <w:jc w:val="right"/>
              <w:ind w:right="281"/>
              <w:spacing w:after="0"/>
              <w:rPr>
                <w:sz w:val="20"/>
                <w:szCs w:val="20"/>
                <w:color w:val="auto"/>
              </w:rPr>
            </w:pPr>
            <w:r>
              <w:rPr>
                <w:rFonts w:ascii="Arial" w:cs="Arial" w:eastAsia="Arial" w:hAnsi="Arial"/>
                <w:sz w:val="12"/>
                <w:szCs w:val="12"/>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30,711</w:t>
            </w:r>
          </w:p>
        </w:tc>
        <w:tc>
          <w:tcPr>
            <w:tcW w:w="160" w:type="dxa"/>
            <w:vAlign w:val="bottom"/>
          </w:tcPr>
          <w:p>
            <w:pPr>
              <w:spacing w:after="0"/>
              <w:rPr>
                <w:sz w:val="13"/>
                <w:szCs w:val="13"/>
                <w:color w:val="auto"/>
              </w:rPr>
            </w:pPr>
          </w:p>
        </w:tc>
        <w:tc>
          <w:tcPr>
            <w:tcW w:w="500" w:type="dxa"/>
            <w:vAlign w:val="bottom"/>
          </w:tcPr>
          <w:p>
            <w:pPr>
              <w:jc w:val="right"/>
              <w:ind w:right="361"/>
              <w:spacing w:after="0"/>
              <w:rPr>
                <w:sz w:val="20"/>
                <w:szCs w:val="20"/>
                <w:color w:val="auto"/>
              </w:rPr>
            </w:pPr>
            <w:r>
              <w:rPr>
                <w:rFonts w:ascii="Arial" w:cs="Arial" w:eastAsia="Arial" w:hAnsi="Arial"/>
                <w:sz w:val="12"/>
                <w:szCs w:val="12"/>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12,853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0.9 %</w:t>
            </w:r>
          </w:p>
        </w:tc>
        <w:tc>
          <w:tcPr>
            <w:tcW w:w="0" w:type="dxa"/>
            <w:vAlign w:val="bottom"/>
          </w:tcPr>
          <w:p>
            <w:pPr>
              <w:spacing w:after="0"/>
              <w:rPr>
                <w:sz w:val="1"/>
                <w:szCs w:val="1"/>
                <w:color w:val="auto"/>
              </w:rPr>
            </w:pPr>
          </w:p>
        </w:tc>
      </w:tr>
      <w:tr>
        <w:trPr>
          <w:trHeight w:val="387"/>
        </w:trPr>
        <w:tc>
          <w:tcPr>
            <w:tcW w:w="4280" w:type="dxa"/>
            <w:vAlign w:val="bottom"/>
          </w:tcPr>
          <w:p>
            <w:pPr>
              <w:ind w:left="20"/>
              <w:spacing w:after="0"/>
              <w:rPr>
                <w:sz w:val="20"/>
                <w:szCs w:val="20"/>
                <w:color w:val="auto"/>
              </w:rPr>
            </w:pPr>
            <w:r>
              <w:rPr>
                <w:rFonts w:ascii="Arial" w:cs="Arial" w:eastAsia="Arial" w:hAnsi="Arial"/>
                <w:sz w:val="12"/>
                <w:szCs w:val="12"/>
                <w:b w:val="1"/>
                <w:bCs w:val="1"/>
                <w:color w:val="003366"/>
              </w:rPr>
              <w:t>FRE</w:t>
            </w:r>
            <w:r>
              <w:rPr>
                <w:rFonts w:ascii="Arial" w:cs="Arial" w:eastAsia="Arial" w:hAnsi="Arial"/>
                <w:sz w:val="15"/>
                <w:szCs w:val="15"/>
                <w:b w:val="1"/>
                <w:bCs w:val="1"/>
                <w:color w:val="003366"/>
                <w:vertAlign w:val="superscript"/>
              </w:rPr>
              <w:t>(2)</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vMerge w:val="restart"/>
          </w:tcPr>
          <w:p>
            <w:pPr>
              <w:jc w:val="right"/>
              <w:ind w:right="281"/>
              <w:spacing w:after="0"/>
              <w:rPr>
                <w:sz w:val="20"/>
                <w:szCs w:val="20"/>
                <w:color w:val="auto"/>
              </w:rPr>
            </w:pPr>
            <w:r>
              <w:rPr>
                <w:rFonts w:ascii="Arial" w:cs="Arial" w:eastAsia="Arial" w:hAnsi="Arial"/>
                <w:sz w:val="11"/>
                <w:szCs w:val="11"/>
                <w:b w:val="1"/>
                <w:bCs w:val="1"/>
                <w:color w:val="auto"/>
              </w:rPr>
              <w:t>Q1 2021</w:t>
            </w:r>
          </w:p>
        </w:tc>
        <w:tc>
          <w:tcPr>
            <w:tcW w:w="0" w:type="dxa"/>
            <w:vAlign w:val="bottom"/>
          </w:tcPr>
          <w:p>
            <w:pPr>
              <w:spacing w:after="0"/>
              <w:rPr>
                <w:sz w:val="1"/>
                <w:szCs w:val="1"/>
                <w:color w:val="auto"/>
              </w:rPr>
            </w:pPr>
          </w:p>
        </w:tc>
      </w:tr>
      <w:tr>
        <w:trPr>
          <w:trHeight w:val="142"/>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1"/>
                <w:szCs w:val="11"/>
                <w:i w:val="1"/>
                <w:iCs w:val="1"/>
                <w:color w:val="auto"/>
              </w:rPr>
              <w:t>($ in thousands, unless otherwise noted)</w:t>
            </w:r>
          </w:p>
        </w:tc>
        <w:tc>
          <w:tcPr>
            <w:tcW w:w="420" w:type="dxa"/>
            <w:vAlign w:val="bottom"/>
            <w:tcBorders>
              <w:bottom w:val="single" w:sz="8" w:color="DBDBDB"/>
            </w:tcBorders>
          </w:tcPr>
          <w:p>
            <w:pPr>
              <w:spacing w:after="0"/>
              <w:rPr>
                <w:sz w:val="12"/>
                <w:szCs w:val="12"/>
                <w:color w:val="auto"/>
              </w:rPr>
            </w:pPr>
          </w:p>
        </w:tc>
        <w:tc>
          <w:tcPr>
            <w:tcW w:w="800" w:type="dxa"/>
            <w:vAlign w:val="bottom"/>
            <w:tcBorders>
              <w:bottom w:val="single" w:sz="8" w:color="DBDBDB"/>
            </w:tcBorders>
          </w:tcPr>
          <w:p>
            <w:pPr>
              <w:spacing w:after="0"/>
              <w:rPr>
                <w:sz w:val="12"/>
                <w:szCs w:val="12"/>
                <w:color w:val="auto"/>
              </w:rPr>
            </w:pPr>
          </w:p>
        </w:tc>
        <w:tc>
          <w:tcPr>
            <w:tcW w:w="160" w:type="dxa"/>
            <w:vAlign w:val="bottom"/>
            <w:tcBorders>
              <w:bottom w:val="single" w:sz="8" w:color="DBDBDB"/>
            </w:tcBorders>
          </w:tcPr>
          <w:p>
            <w:pPr>
              <w:spacing w:after="0"/>
              <w:rPr>
                <w:sz w:val="12"/>
                <w:szCs w:val="12"/>
                <w:color w:val="auto"/>
              </w:rPr>
            </w:pPr>
          </w:p>
        </w:tc>
        <w:tc>
          <w:tcPr>
            <w:tcW w:w="500" w:type="dxa"/>
            <w:vAlign w:val="bottom"/>
            <w:tcBorders>
              <w:bottom w:val="single" w:sz="8" w:color="DBDBDB"/>
            </w:tcBorders>
          </w:tcPr>
          <w:p>
            <w:pPr>
              <w:spacing w:after="0"/>
              <w:rPr>
                <w:sz w:val="12"/>
                <w:szCs w:val="12"/>
                <w:color w:val="auto"/>
              </w:rPr>
            </w:pPr>
          </w:p>
        </w:tc>
        <w:tc>
          <w:tcPr>
            <w:tcW w:w="840" w:type="dxa"/>
            <w:vAlign w:val="bottom"/>
            <w:tcBorders>
              <w:bottom w:val="single" w:sz="8" w:color="DBDBDB"/>
            </w:tcBorders>
          </w:tcPr>
          <w:p>
            <w:pPr>
              <w:spacing w:after="0"/>
              <w:rPr>
                <w:sz w:val="12"/>
                <w:szCs w:val="12"/>
                <w:color w:val="auto"/>
              </w:rPr>
            </w:pPr>
          </w:p>
        </w:tc>
        <w:tc>
          <w:tcPr>
            <w:tcW w:w="220" w:type="dxa"/>
            <w:vAlign w:val="bottom"/>
            <w:tcBorders>
              <w:bottom w:val="single" w:sz="8" w:color="DBDBDB"/>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80" w:type="dxa"/>
            <w:vAlign w:val="bottom"/>
            <w:shd w:val="clear" w:color="auto" w:fill="DBDBDB"/>
          </w:tcPr>
          <w:p>
            <w:pPr>
              <w:ind w:left="240"/>
              <w:spacing w:after="0" w:line="153" w:lineRule="exact"/>
              <w:rPr>
                <w:sz w:val="20"/>
                <w:szCs w:val="20"/>
                <w:color w:val="auto"/>
              </w:rPr>
            </w:pPr>
            <w:r>
              <w:rPr>
                <w:rFonts w:ascii="Arial" w:cs="Arial" w:eastAsia="Arial" w:hAnsi="Arial"/>
                <w:sz w:val="12"/>
                <w:szCs w:val="12"/>
                <w:color w:val="auto"/>
              </w:rPr>
              <w:t>Fee income</w:t>
            </w:r>
            <w:r>
              <w:rPr>
                <w:rFonts w:ascii="Arial" w:cs="Arial" w:eastAsia="Arial" w:hAnsi="Arial"/>
                <w:sz w:val="15"/>
                <w:szCs w:val="15"/>
                <w:color w:val="auto"/>
                <w:vertAlign w:val="superscript"/>
              </w:rPr>
              <w:t>(3)</w:t>
            </w:r>
          </w:p>
        </w:tc>
        <w:tc>
          <w:tcPr>
            <w:tcW w:w="42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42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DBDBDB"/>
          </w:tcPr>
          <w:p>
            <w:pPr>
              <w:jc w:val="right"/>
              <w:ind w:right="101"/>
              <w:spacing w:after="0"/>
              <w:rPr>
                <w:sz w:val="20"/>
                <w:szCs w:val="20"/>
                <w:color w:val="auto"/>
              </w:rPr>
            </w:pPr>
            <w:r>
              <w:rPr>
                <w:rFonts w:ascii="Arial" w:cs="Arial" w:eastAsia="Arial" w:hAnsi="Arial"/>
                <w:sz w:val="12"/>
                <w:szCs w:val="12"/>
                <w:color w:val="auto"/>
              </w:rPr>
              <w:t>31,065</w:t>
            </w:r>
          </w:p>
        </w:tc>
        <w:tc>
          <w:tcPr>
            <w:tcW w:w="0" w:type="dxa"/>
            <w:vAlign w:val="bottom"/>
          </w:tcPr>
          <w:p>
            <w:pPr>
              <w:spacing w:after="0"/>
              <w:rPr>
                <w:sz w:val="1"/>
                <w:szCs w:val="1"/>
                <w:color w:val="auto"/>
              </w:rPr>
            </w:pPr>
          </w:p>
        </w:tc>
      </w:tr>
      <w:tr>
        <w:trPr>
          <w:trHeight w:val="171"/>
        </w:trPr>
        <w:tc>
          <w:tcPr>
            <w:tcW w:w="4280" w:type="dxa"/>
            <w:vAlign w:val="bottom"/>
          </w:tcPr>
          <w:p>
            <w:pPr>
              <w:ind w:left="240"/>
              <w:spacing w:after="0"/>
              <w:rPr>
                <w:sz w:val="20"/>
                <w:szCs w:val="20"/>
                <w:color w:val="auto"/>
              </w:rPr>
            </w:pPr>
            <w:r>
              <w:rPr>
                <w:rFonts w:ascii="Arial" w:cs="Arial" w:eastAsia="Arial" w:hAnsi="Arial"/>
                <w:sz w:val="12"/>
                <w:szCs w:val="12"/>
                <w:color w:val="auto"/>
              </w:rPr>
              <w:t>Other income</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01"/>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71"/>
        </w:trPr>
        <w:tc>
          <w:tcPr>
            <w:tcW w:w="4280" w:type="dxa"/>
            <w:vAlign w:val="bottom"/>
            <w:shd w:val="clear" w:color="auto" w:fill="DBDBDB"/>
          </w:tcPr>
          <w:p>
            <w:pPr>
              <w:ind w:left="240"/>
              <w:spacing w:after="0" w:line="171" w:lineRule="exact"/>
              <w:rPr>
                <w:sz w:val="20"/>
                <w:szCs w:val="20"/>
                <w:color w:val="auto"/>
              </w:rPr>
            </w:pPr>
            <w:r>
              <w:rPr>
                <w:rFonts w:ascii="Arial" w:cs="Arial" w:eastAsia="Arial" w:hAnsi="Arial"/>
                <w:sz w:val="12"/>
                <w:szCs w:val="12"/>
                <w:color w:val="auto"/>
              </w:rPr>
              <w:t>Compensation expense—cash</w:t>
            </w:r>
            <w:r>
              <w:rPr>
                <w:rFonts w:ascii="Arial" w:cs="Arial" w:eastAsia="Arial" w:hAnsi="Arial"/>
                <w:sz w:val="15"/>
                <w:szCs w:val="15"/>
                <w:color w:val="auto"/>
                <w:vertAlign w:val="superscript"/>
              </w:rPr>
              <w:t>(4)</w:t>
            </w:r>
          </w:p>
        </w:tc>
        <w:tc>
          <w:tcPr>
            <w:tcW w:w="42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61"/>
              <w:spacing w:after="0"/>
              <w:rPr>
                <w:sz w:val="20"/>
                <w:szCs w:val="20"/>
                <w:color w:val="auto"/>
              </w:rPr>
            </w:pPr>
            <w:r>
              <w:rPr>
                <w:rFonts w:ascii="Arial" w:cs="Arial" w:eastAsia="Arial" w:hAnsi="Arial"/>
                <w:sz w:val="12"/>
                <w:szCs w:val="12"/>
                <w:color w:val="auto"/>
              </w:rPr>
              <w:t>(10,852)</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DBDBDB"/>
            </w:tcBorders>
          </w:tcPr>
          <w:p>
            <w:pPr>
              <w:ind w:left="240"/>
              <w:spacing w:after="0"/>
              <w:rPr>
                <w:sz w:val="20"/>
                <w:szCs w:val="20"/>
                <w:color w:val="auto"/>
              </w:rPr>
            </w:pPr>
            <w:r>
              <w:rPr>
                <w:rFonts w:ascii="Arial" w:cs="Arial" w:eastAsia="Arial" w:hAnsi="Arial"/>
                <w:sz w:val="12"/>
                <w:szCs w:val="12"/>
                <w:color w:val="auto"/>
              </w:rPr>
              <w:t>Administrative expenses</w:t>
            </w:r>
          </w:p>
        </w:tc>
        <w:tc>
          <w:tcPr>
            <w:tcW w:w="420" w:type="dxa"/>
            <w:vAlign w:val="bottom"/>
            <w:tcBorders>
              <w:bottom w:val="single" w:sz="8" w:color="DBDBDB"/>
            </w:tcBorders>
          </w:tcPr>
          <w:p>
            <w:pPr>
              <w:spacing w:after="0"/>
              <w:rPr>
                <w:sz w:val="14"/>
                <w:szCs w:val="14"/>
                <w:color w:val="auto"/>
              </w:rPr>
            </w:pPr>
          </w:p>
        </w:tc>
        <w:tc>
          <w:tcPr>
            <w:tcW w:w="800" w:type="dxa"/>
            <w:vAlign w:val="bottom"/>
            <w:tcBorders>
              <w:bottom w:val="single" w:sz="8" w:color="DBDBDB"/>
            </w:tcBorders>
          </w:tcPr>
          <w:p>
            <w:pPr>
              <w:spacing w:after="0"/>
              <w:rPr>
                <w:sz w:val="14"/>
                <w:szCs w:val="14"/>
                <w:color w:val="auto"/>
              </w:rPr>
            </w:pPr>
          </w:p>
        </w:tc>
        <w:tc>
          <w:tcPr>
            <w:tcW w:w="160" w:type="dxa"/>
            <w:vAlign w:val="bottom"/>
            <w:tcBorders>
              <w:bottom w:val="single" w:sz="8" w:color="DBDBDB"/>
            </w:tcBorders>
          </w:tcPr>
          <w:p>
            <w:pPr>
              <w:spacing w:after="0"/>
              <w:rPr>
                <w:sz w:val="14"/>
                <w:szCs w:val="14"/>
                <w:color w:val="auto"/>
              </w:rPr>
            </w:pPr>
          </w:p>
        </w:tc>
        <w:tc>
          <w:tcPr>
            <w:tcW w:w="500" w:type="dxa"/>
            <w:vAlign w:val="bottom"/>
            <w:tcBorders>
              <w:bottom w:val="single" w:sz="8" w:color="DBDBDB"/>
            </w:tcBorders>
          </w:tcPr>
          <w:p>
            <w:pPr>
              <w:spacing w:after="0"/>
              <w:rPr>
                <w:sz w:val="14"/>
                <w:szCs w:val="14"/>
                <w:color w:val="auto"/>
              </w:rPr>
            </w:pPr>
          </w:p>
        </w:tc>
        <w:tc>
          <w:tcPr>
            <w:tcW w:w="840" w:type="dxa"/>
            <w:vAlign w:val="bottom"/>
            <w:tcBorders>
              <w:bottom w:val="single" w:sz="8" w:color="DBDBDB"/>
            </w:tcBorders>
          </w:tcPr>
          <w:p>
            <w:pPr>
              <w:spacing w:after="0"/>
              <w:rPr>
                <w:sz w:val="14"/>
                <w:szCs w:val="14"/>
                <w:color w:val="auto"/>
              </w:rPr>
            </w:pPr>
          </w:p>
        </w:tc>
        <w:tc>
          <w:tcPr>
            <w:tcW w:w="220" w:type="dxa"/>
            <w:vAlign w:val="bottom"/>
            <w:tcBorders>
              <w:bottom w:val="single" w:sz="8" w:color="DBDBDB"/>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(2,067)</w:t>
            </w:r>
          </w:p>
        </w:tc>
        <w:tc>
          <w:tcPr>
            <w:tcW w:w="0" w:type="dxa"/>
            <w:vAlign w:val="bottom"/>
          </w:tcPr>
          <w:p>
            <w:pPr>
              <w:spacing w:after="0"/>
              <w:rPr>
                <w:sz w:val="1"/>
                <w:szCs w:val="1"/>
                <w:color w:val="auto"/>
              </w:rPr>
            </w:pPr>
          </w:p>
        </w:tc>
      </w:tr>
      <w:tr>
        <w:trPr>
          <w:trHeight w:val="151"/>
        </w:trPr>
        <w:tc>
          <w:tcPr>
            <w:tcW w:w="428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FRE Total</w:t>
            </w:r>
          </w:p>
        </w:tc>
        <w:tc>
          <w:tcPr>
            <w:tcW w:w="42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42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DBDBDB"/>
          </w:tcPr>
          <w:p>
            <w:pPr>
              <w:jc w:val="right"/>
              <w:ind w:right="101"/>
              <w:spacing w:after="0"/>
              <w:rPr>
                <w:sz w:val="20"/>
                <w:szCs w:val="20"/>
                <w:color w:val="auto"/>
              </w:rPr>
            </w:pPr>
            <w:r>
              <w:rPr>
                <w:rFonts w:ascii="Arial" w:cs="Arial" w:eastAsia="Arial" w:hAnsi="Arial"/>
                <w:sz w:val="12"/>
                <w:szCs w:val="12"/>
                <w:b w:val="1"/>
                <w:bCs w:val="1"/>
                <w:color w:val="auto"/>
              </w:rPr>
              <w:t>18,200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6" w:lineRule="exact"/>
        <w:rPr>
          <w:sz w:val="20"/>
          <w:szCs w:val="20"/>
          <w:color w:val="auto"/>
        </w:rPr>
      </w:pPr>
    </w:p>
    <w:p>
      <w:pPr>
        <w:ind w:left="188" w:hanging="188"/>
        <w:spacing w:after="0"/>
        <w:tabs>
          <w:tab w:leader="none" w:pos="188" w:val="left"/>
        </w:tabs>
        <w:numPr>
          <w:ilvl w:val="0"/>
          <w:numId w:val="25"/>
        </w:numPr>
        <w:rPr>
          <w:rFonts w:ascii="Arial" w:cs="Arial" w:eastAsia="Arial" w:hAnsi="Arial"/>
          <w:sz w:val="8"/>
          <w:szCs w:val="8"/>
          <w:color w:val="424242"/>
        </w:rPr>
      </w:pPr>
      <w:r>
        <w:rPr>
          <w:rFonts w:ascii="Arial" w:cs="Arial" w:eastAsia="Arial" w:hAnsi="Arial"/>
          <w:sz w:val="8"/>
          <w:szCs w:val="8"/>
          <w:color w:val="424242"/>
        </w:rPr>
        <w:t>Due to the first closing of Digital Colony Partners II, Digital Colony Partners I FEEUM changed from committed capital to invested equity. Committed capital which has not been invested will generate fees once this capital is invested.</w:t>
      </w:r>
    </w:p>
    <w:p>
      <w:pPr>
        <w:spacing w:after="0" w:line="7" w:lineRule="exact"/>
        <w:rPr>
          <w:rFonts w:ascii="Arial" w:cs="Arial" w:eastAsia="Arial" w:hAnsi="Arial"/>
          <w:sz w:val="8"/>
          <w:szCs w:val="8"/>
          <w:color w:val="424242"/>
        </w:rPr>
      </w:pPr>
    </w:p>
    <w:p>
      <w:pPr>
        <w:ind w:left="188" w:hanging="188"/>
        <w:spacing w:after="0"/>
        <w:tabs>
          <w:tab w:leader="none" w:pos="188" w:val="left"/>
        </w:tabs>
        <w:numPr>
          <w:ilvl w:val="0"/>
          <w:numId w:val="25"/>
        </w:numPr>
        <w:rPr>
          <w:rFonts w:ascii="Arial" w:cs="Arial" w:eastAsia="Arial" w:hAnsi="Arial"/>
          <w:sz w:val="8"/>
          <w:szCs w:val="8"/>
          <w:color w:val="424242"/>
        </w:rPr>
      </w:pPr>
      <w:r>
        <w:rPr>
          <w:rFonts w:ascii="Arial" w:cs="Arial" w:eastAsia="Arial" w:hAnsi="Arial"/>
          <w:sz w:val="8"/>
          <w:szCs w:val="8"/>
          <w:color w:val="424242"/>
        </w:rPr>
        <w:t>For a reconciliation of net income/(loss) to FRE, please refer to the appendix to this presentation.</w:t>
      </w:r>
    </w:p>
    <w:p>
      <w:pPr>
        <w:spacing w:after="0" w:line="7" w:lineRule="exact"/>
        <w:rPr>
          <w:rFonts w:ascii="Arial" w:cs="Arial" w:eastAsia="Arial" w:hAnsi="Arial"/>
          <w:sz w:val="8"/>
          <w:szCs w:val="8"/>
          <w:color w:val="424242"/>
        </w:rPr>
      </w:pPr>
    </w:p>
    <w:p>
      <w:pPr>
        <w:ind w:left="188" w:hanging="188"/>
        <w:spacing w:after="0"/>
        <w:tabs>
          <w:tab w:leader="none" w:pos="188" w:val="left"/>
        </w:tabs>
        <w:numPr>
          <w:ilvl w:val="0"/>
          <w:numId w:val="25"/>
        </w:numPr>
        <w:rPr>
          <w:rFonts w:ascii="Arial" w:cs="Arial" w:eastAsia="Arial" w:hAnsi="Arial"/>
          <w:sz w:val="8"/>
          <w:szCs w:val="8"/>
          <w:color w:val="424242"/>
        </w:rPr>
      </w:pPr>
      <w:r>
        <w:rPr>
          <w:rFonts w:ascii="Arial" w:cs="Arial" w:eastAsia="Arial" w:hAnsi="Arial"/>
          <w:sz w:val="8"/>
          <w:szCs w:val="8"/>
          <w:color w:val="424242"/>
        </w:rPr>
        <w:t>Includes $1.6 million of fee income, which is eliminated because the Company consolidates certain limited partner interest in its Statement of Operations.</w:t>
      </w:r>
    </w:p>
    <w:p>
      <w:pPr>
        <w:spacing w:after="0" w:line="7" w:lineRule="exact"/>
        <w:rPr>
          <w:rFonts w:ascii="Arial" w:cs="Arial" w:eastAsia="Arial" w:hAnsi="Arial"/>
          <w:sz w:val="8"/>
          <w:szCs w:val="8"/>
          <w:color w:val="424242"/>
        </w:rPr>
      </w:pPr>
    </w:p>
    <w:p>
      <w:pPr>
        <w:ind w:left="188" w:hanging="188"/>
        <w:spacing w:after="0"/>
        <w:tabs>
          <w:tab w:leader="none" w:pos="188" w:val="left"/>
        </w:tabs>
        <w:numPr>
          <w:ilvl w:val="0"/>
          <w:numId w:val="25"/>
        </w:numPr>
        <w:rPr>
          <w:rFonts w:ascii="Arial" w:cs="Arial" w:eastAsia="Arial" w:hAnsi="Arial"/>
          <w:sz w:val="8"/>
          <w:szCs w:val="8"/>
          <w:color w:val="424242"/>
        </w:rPr>
      </w:pPr>
      <w:r>
        <w:rPr>
          <w:rFonts w:ascii="Arial" w:cs="Arial" w:eastAsia="Arial" w:hAnsi="Arial"/>
          <w:sz w:val="8"/>
          <w:szCs w:val="8"/>
          <w:color w:val="424242"/>
        </w:rPr>
        <w:t>Includes a $2.7 million benefit from the unused portion of a one-time fourth quarter 2020 outperformance incentive expense.</w:t>
      </w:r>
    </w:p>
    <w:p>
      <w:pPr>
        <w:spacing w:after="0" w:line="27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19</w:t>
            </w:r>
          </w:p>
        </w:tc>
      </w:tr>
    </w:tbl>
    <w:p>
      <w:pPr>
        <w:sectPr>
          <w:pgSz w:w="11900" w:h="16838" w:orient="portrait"/>
          <w:cols w:equalWidth="0" w:num="1">
            <w:col w:w="11308"/>
          </w:cols>
          <w:pgMar w:left="292" w:top="158" w:right="299" w:bottom="1440" w:gutter="0" w:footer="0" w:header="0"/>
        </w:sectPr>
      </w:pPr>
    </w:p>
    <w:bookmarkStart w:id="34" w:name="page35"/>
    <w:bookmarkEnd w:id="34"/>
    <w:p>
      <w:pPr>
        <w:ind w:left="8"/>
        <w:spacing w:after="0"/>
        <w:rPr>
          <w:sz w:val="20"/>
          <w:szCs w:val="20"/>
          <w:color w:val="auto"/>
        </w:rPr>
      </w:pPr>
      <w:r>
        <w:rPr>
          <w:rFonts w:ascii="Arial" w:cs="Arial" w:eastAsia="Arial" w:hAnsi="Arial"/>
          <w:sz w:val="29"/>
          <w:szCs w:val="29"/>
          <w:color w:val="auto"/>
        </w:rPr>
        <w:t>V. Digital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1488" w:type="dxa"/>
        <w:tblCellMar>
          <w:top w:w="0" w:type="dxa"/>
          <w:left w:w="0" w:type="dxa"/>
          <w:bottom w:w="0" w:type="dxa"/>
          <w:right w:w="0" w:type="dxa"/>
        </w:tblCellMar>
      </w:tblPr>
      <w:tr>
        <w:trPr>
          <w:trHeight w:val="159"/>
        </w:trPr>
        <w:tc>
          <w:tcPr>
            <w:tcW w:w="5560" w:type="dxa"/>
            <w:vAlign w:val="bottom"/>
          </w:tcPr>
          <w:p>
            <w:pPr>
              <w:ind w:left="20"/>
              <w:spacing w:after="0"/>
              <w:rPr>
                <w:sz w:val="20"/>
                <w:szCs w:val="20"/>
                <w:color w:val="auto"/>
              </w:rPr>
            </w:pPr>
            <w:r>
              <w:rPr>
                <w:rFonts w:ascii="Arial" w:cs="Arial" w:eastAsia="Arial" w:hAnsi="Arial"/>
                <w:sz w:val="12"/>
                <w:szCs w:val="12"/>
                <w:b w:val="1"/>
                <w:bCs w:val="1"/>
                <w:i w:val="1"/>
                <w:iCs w:val="1"/>
                <w:color w:val="003C71"/>
              </w:rPr>
              <w:t>Portfolio Overview</w:t>
            </w:r>
          </w:p>
        </w:tc>
        <w:tc>
          <w:tcPr>
            <w:tcW w:w="140" w:type="dxa"/>
            <w:vAlign w:val="bottom"/>
          </w:tcPr>
          <w:p>
            <w:pPr>
              <w:spacing w:after="0"/>
              <w:rPr>
                <w:sz w:val="13"/>
                <w:szCs w:val="13"/>
                <w:color w:val="auto"/>
              </w:rPr>
            </w:pPr>
          </w:p>
        </w:tc>
        <w:tc>
          <w:tcPr>
            <w:tcW w:w="920" w:type="dxa"/>
            <w:vAlign w:val="bottom"/>
          </w:tcPr>
          <w:p>
            <w:pPr>
              <w:jc w:val="center"/>
              <w:ind w:right="61"/>
              <w:spacing w:after="0"/>
              <w:rPr>
                <w:sz w:val="20"/>
                <w:szCs w:val="20"/>
                <w:color w:val="auto"/>
              </w:rPr>
            </w:pPr>
            <w:r>
              <w:rPr>
                <w:rFonts w:ascii="Arial" w:cs="Arial" w:eastAsia="Arial" w:hAnsi="Arial"/>
                <w:sz w:val="11"/>
                <w:szCs w:val="11"/>
                <w:b w:val="1"/>
                <w:bCs w:val="1"/>
                <w:color w:val="auto"/>
                <w:w w:val="97"/>
              </w:rPr>
              <w:t>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CLNY OP share of</w:t>
            </w:r>
          </w:p>
        </w:tc>
        <w:tc>
          <w:tcPr>
            <w:tcW w:w="0" w:type="dxa"/>
            <w:vAlign w:val="bottom"/>
          </w:tcPr>
          <w:p>
            <w:pPr>
              <w:spacing w:after="0"/>
              <w:rPr>
                <w:sz w:val="1"/>
                <w:szCs w:val="1"/>
                <w:color w:val="auto"/>
              </w:rPr>
            </w:pPr>
          </w:p>
        </w:tc>
      </w:tr>
      <w:tr>
        <w:trPr>
          <w:trHeight w:val="143"/>
        </w:trPr>
        <w:tc>
          <w:tcPr>
            <w:tcW w:w="5560" w:type="dxa"/>
            <w:vAlign w:val="bottom"/>
            <w:tcBorders>
              <w:bottom w:val="single" w:sz="8" w:color="DBDBDB"/>
            </w:tcBorders>
          </w:tcPr>
          <w:p>
            <w:pPr>
              <w:ind w:left="20"/>
              <w:spacing w:after="0"/>
              <w:rPr>
                <w:sz w:val="20"/>
                <w:szCs w:val="20"/>
                <w:color w:val="auto"/>
              </w:rPr>
            </w:pPr>
            <w:r>
              <w:rPr>
                <w:rFonts w:ascii="Arial" w:cs="Arial" w:eastAsia="Arial" w:hAnsi="Arial"/>
                <w:sz w:val="11"/>
                <w:szCs w:val="11"/>
                <w:i w:val="1"/>
                <w:iCs w:val="1"/>
                <w:color w:val="auto"/>
              </w:rPr>
              <w:t>($ in thousand, as of March 31, 2021, unless otherwise noted)</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w w:val="95"/>
              </w:rPr>
              <w:t>amount</w:t>
            </w:r>
          </w:p>
        </w:tc>
        <w:tc>
          <w:tcPr>
            <w:tcW w:w="10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w w:val="97"/>
              </w:rPr>
              <w:t>consolidated amount</w:t>
            </w:r>
          </w:p>
        </w:tc>
        <w:tc>
          <w:tcPr>
            <w:tcW w:w="18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560" w:type="dxa"/>
            <w:vAlign w:val="bottom"/>
            <w:shd w:val="clear" w:color="auto" w:fill="DBDBDB"/>
          </w:tcPr>
          <w:p>
            <w:pPr>
              <w:ind w:left="160"/>
              <w:spacing w:after="0" w:line="152" w:lineRule="exact"/>
              <w:rPr>
                <w:sz w:val="20"/>
                <w:szCs w:val="20"/>
                <w:color w:val="auto"/>
              </w:rPr>
            </w:pPr>
            <w:r>
              <w:rPr>
                <w:rFonts w:ascii="Arial" w:cs="Arial" w:eastAsia="Arial" w:hAnsi="Arial"/>
                <w:sz w:val="12"/>
                <w:szCs w:val="12"/>
                <w:color w:val="auto"/>
              </w:rPr>
              <w:t>Asset</w:t>
            </w:r>
            <w:r>
              <w:rPr>
                <w:rFonts w:ascii="Arial" w:cs="Arial" w:eastAsia="Arial" w:hAnsi="Arial"/>
                <w:sz w:val="15"/>
                <w:szCs w:val="15"/>
                <w:color w:val="auto"/>
                <w:vertAlign w:val="superscript"/>
              </w:rPr>
              <w:t>(1)</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6,633,245</w:t>
            </w:r>
          </w:p>
        </w:tc>
        <w:tc>
          <w:tcPr>
            <w:tcW w:w="220" w:type="dxa"/>
            <w:vAlign w:val="bottom"/>
            <w:gridSpan w:val="2"/>
            <w:shd w:val="clear" w:color="auto" w:fill="DBDBDB"/>
          </w:tcPr>
          <w:p>
            <w:pPr>
              <w:jc w:val="right"/>
              <w:ind w:right="12"/>
              <w:spacing w:after="0"/>
              <w:rPr>
                <w:sz w:val="20"/>
                <w:szCs w:val="20"/>
                <w:color w:val="auto"/>
              </w:rPr>
            </w:pPr>
            <w:r>
              <w:rPr>
                <w:rFonts w:ascii="Arial" w:cs="Arial" w:eastAsia="Arial" w:hAnsi="Arial"/>
                <w:sz w:val="12"/>
                <w:szCs w:val="12"/>
                <w:color w:val="auto"/>
              </w:rPr>
              <w:t>$</w:t>
            </w:r>
          </w:p>
        </w:tc>
        <w:tc>
          <w:tcPr>
            <w:tcW w:w="1300" w:type="dxa"/>
            <w:vAlign w:val="bottom"/>
            <w:shd w:val="clear" w:color="auto" w:fill="DBDBDB"/>
          </w:tcPr>
          <w:p>
            <w:pPr>
              <w:jc w:val="right"/>
              <w:ind w:right="101"/>
              <w:spacing w:after="0"/>
              <w:rPr>
                <w:sz w:val="20"/>
                <w:szCs w:val="20"/>
                <w:color w:val="auto"/>
              </w:rPr>
            </w:pPr>
            <w:r>
              <w:rPr>
                <w:rFonts w:ascii="Arial" w:cs="Arial" w:eastAsia="Arial" w:hAnsi="Arial"/>
                <w:sz w:val="12"/>
                <w:szCs w:val="12"/>
                <w:color w:val="auto"/>
              </w:rPr>
              <w:t>1,073,366</w:t>
            </w:r>
          </w:p>
        </w:tc>
        <w:tc>
          <w:tcPr>
            <w:tcW w:w="1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560" w:type="dxa"/>
            <w:vAlign w:val="bottom"/>
            <w:tcBorders>
              <w:bottom w:val="single" w:sz="8" w:color="DBDBDB"/>
            </w:tcBorders>
          </w:tcPr>
          <w:p>
            <w:pPr>
              <w:ind w:left="160"/>
              <w:spacing w:after="0" w:line="171" w:lineRule="exact"/>
              <w:rPr>
                <w:sz w:val="20"/>
                <w:szCs w:val="20"/>
                <w:color w:val="auto"/>
              </w:rPr>
            </w:pPr>
            <w:r>
              <w:rPr>
                <w:rFonts w:ascii="Arial" w:cs="Arial" w:eastAsia="Arial" w:hAnsi="Arial"/>
                <w:sz w:val="19"/>
                <w:szCs w:val="19"/>
                <w:color w:val="auto"/>
                <w:vertAlign w:val="subscript"/>
              </w:rPr>
              <w:t>Debt</w:t>
            </w:r>
            <w:r>
              <w:rPr>
                <w:rFonts w:ascii="Arial" w:cs="Arial" w:eastAsia="Arial" w:hAnsi="Arial"/>
                <w:sz w:val="7"/>
                <w:szCs w:val="7"/>
                <w:color w:val="auto"/>
              </w:rPr>
              <w:t>(2)(3)</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3,369,338</w:t>
            </w:r>
          </w:p>
        </w:tc>
        <w:tc>
          <w:tcPr>
            <w:tcW w:w="100" w:type="dxa"/>
            <w:vAlign w:val="bottom"/>
            <w:tcBorders>
              <w:bottom w:val="single" w:sz="8" w:color="DBDBDB"/>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527,520</w:t>
            </w:r>
          </w:p>
        </w:tc>
        <w:tc>
          <w:tcPr>
            <w:tcW w:w="18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60" w:type="dxa"/>
            <w:vAlign w:val="bottom"/>
            <w:tcBorders>
              <w:bottom w:val="single" w:sz="8" w:color="DBDBDB"/>
            </w:tcBorders>
            <w:shd w:val="clear" w:color="auto" w:fill="DBDBDB"/>
          </w:tcPr>
          <w:p>
            <w:pPr>
              <w:ind w:left="20"/>
              <w:spacing w:after="0" w:line="142" w:lineRule="exact"/>
              <w:rPr>
                <w:sz w:val="20"/>
                <w:szCs w:val="20"/>
                <w:color w:val="auto"/>
              </w:rPr>
            </w:pPr>
            <w:r>
              <w:rPr>
                <w:rFonts w:ascii="Arial" w:cs="Arial" w:eastAsia="Arial" w:hAnsi="Arial"/>
                <w:sz w:val="12"/>
                <w:szCs w:val="12"/>
                <w:b w:val="1"/>
                <w:bCs w:val="1"/>
                <w:color w:val="auto"/>
              </w:rPr>
              <w:t>Net Carrying Value</w:t>
            </w:r>
            <w:r>
              <w:rPr>
                <w:rFonts w:ascii="Arial" w:cs="Arial" w:eastAsia="Arial" w:hAnsi="Arial"/>
                <w:sz w:val="15"/>
                <w:szCs w:val="15"/>
                <w:b w:val="1"/>
                <w:bCs w:val="1"/>
                <w:color w:val="auto"/>
                <w:vertAlign w:val="superscript"/>
              </w:rPr>
              <w:t>(4)</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3,263,907</w:t>
            </w:r>
          </w:p>
        </w:tc>
        <w:tc>
          <w:tcPr>
            <w:tcW w:w="10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300" w:type="dxa"/>
            <w:vAlign w:val="bottom"/>
            <w:tcBorders>
              <w:bottom w:val="single" w:sz="8" w:color="auto"/>
            </w:tcBorders>
            <w:shd w:val="clear" w:color="auto" w:fill="DBDBDB"/>
          </w:tcPr>
          <w:p>
            <w:pPr>
              <w:jc w:val="right"/>
              <w:ind w:right="101"/>
              <w:spacing w:after="0"/>
              <w:rPr>
                <w:sz w:val="20"/>
                <w:szCs w:val="20"/>
                <w:color w:val="auto"/>
              </w:rPr>
            </w:pPr>
            <w:r>
              <w:rPr>
                <w:rFonts w:ascii="Arial" w:cs="Arial" w:eastAsia="Arial" w:hAnsi="Arial"/>
                <w:sz w:val="12"/>
                <w:szCs w:val="12"/>
                <w:b w:val="1"/>
                <w:bCs w:val="1"/>
                <w:color w:val="auto"/>
              </w:rPr>
              <w:t>545,846</w:t>
            </w:r>
          </w:p>
        </w:tc>
        <w:tc>
          <w:tcPr>
            <w:tcW w:w="18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5560" w:type="dxa"/>
            <w:vAlign w:val="bottom"/>
          </w:tcPr>
          <w:p>
            <w:pPr>
              <w:ind w:left="20"/>
              <w:spacing w:after="0"/>
              <w:rPr>
                <w:sz w:val="20"/>
                <w:szCs w:val="20"/>
                <w:color w:val="auto"/>
              </w:rPr>
            </w:pPr>
            <w:r>
              <w:rPr>
                <w:rFonts w:ascii="Arial" w:cs="Arial" w:eastAsia="Arial" w:hAnsi="Arial"/>
                <w:sz w:val="12"/>
                <w:szCs w:val="12"/>
                <w:b w:val="1"/>
                <w:bCs w:val="1"/>
                <w:i w:val="1"/>
                <w:iCs w:val="1"/>
                <w:color w:val="003C71"/>
              </w:rPr>
              <w:t>Adjusted EBITDA</w:t>
            </w:r>
            <w:r>
              <w:rPr>
                <w:rFonts w:ascii="Arial" w:cs="Arial" w:eastAsia="Arial" w:hAnsi="Arial"/>
                <w:sz w:val="15"/>
                <w:szCs w:val="15"/>
                <w:b w:val="1"/>
                <w:bCs w:val="1"/>
                <w:i w:val="1"/>
                <w:iCs w:val="1"/>
                <w:color w:val="003C71"/>
                <w:vertAlign w:val="superscript"/>
              </w:rPr>
              <w:t>(4)</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21"/>
              <w:spacing w:after="0"/>
              <w:rPr>
                <w:sz w:val="20"/>
                <w:szCs w:val="20"/>
                <w:color w:val="auto"/>
              </w:rPr>
            </w:pPr>
            <w:r>
              <w:rPr>
                <w:rFonts w:ascii="Arial" w:cs="Arial" w:eastAsia="Arial" w:hAnsi="Arial"/>
                <w:sz w:val="11"/>
                <w:szCs w:val="11"/>
                <w:b w:val="1"/>
                <w:bCs w:val="1"/>
                <w:color w:val="auto"/>
                <w:w w:val="99"/>
              </w:rPr>
              <w:t>Q1 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560" w:type="dxa"/>
            <w:vAlign w:val="bottom"/>
          </w:tcPr>
          <w:p>
            <w:pPr>
              <w:ind w:left="20"/>
              <w:spacing w:after="0" w:line="120" w:lineRule="exact"/>
              <w:rPr>
                <w:sz w:val="20"/>
                <w:szCs w:val="20"/>
                <w:color w:val="auto"/>
              </w:rPr>
            </w:pPr>
            <w:r>
              <w:rPr>
                <w:rFonts w:ascii="Arial" w:cs="Arial" w:eastAsia="Arial" w:hAnsi="Arial"/>
                <w:sz w:val="11"/>
                <w:szCs w:val="11"/>
                <w:i w:val="1"/>
                <w:iCs w:val="1"/>
                <w:color w:val="auto"/>
              </w:rPr>
              <w:t>($ in thousands, unless otherwise noted)</w:t>
            </w:r>
          </w:p>
        </w:tc>
        <w:tc>
          <w:tcPr>
            <w:tcW w:w="140" w:type="dxa"/>
            <w:vAlign w:val="bottom"/>
          </w:tcPr>
          <w:p>
            <w:pPr>
              <w:spacing w:after="0"/>
              <w:rPr>
                <w:sz w:val="10"/>
                <w:szCs w:val="10"/>
                <w:color w:val="auto"/>
              </w:rPr>
            </w:pPr>
          </w:p>
        </w:tc>
        <w:tc>
          <w:tcPr>
            <w:tcW w:w="920" w:type="dxa"/>
            <w:vAlign w:val="bottom"/>
          </w:tcPr>
          <w:p>
            <w:pPr>
              <w:jc w:val="center"/>
              <w:ind w:right="61"/>
              <w:spacing w:after="0" w:line="124" w:lineRule="exact"/>
              <w:rPr>
                <w:sz w:val="20"/>
                <w:szCs w:val="20"/>
                <w:color w:val="auto"/>
              </w:rPr>
            </w:pPr>
            <w:r>
              <w:rPr>
                <w:rFonts w:ascii="Arial" w:cs="Arial" w:eastAsia="Arial" w:hAnsi="Arial"/>
                <w:sz w:val="11"/>
                <w:szCs w:val="11"/>
                <w:b w:val="1"/>
                <w:bCs w:val="1"/>
                <w:color w:val="auto"/>
                <w:w w:val="97"/>
              </w:rPr>
              <w:t>Consolidated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300"/>
              <w:spacing w:after="0" w:line="124" w:lineRule="exact"/>
              <w:rPr>
                <w:sz w:val="20"/>
                <w:szCs w:val="20"/>
                <w:color w:val="auto"/>
              </w:rPr>
            </w:pPr>
            <w:r>
              <w:rPr>
                <w:rFonts w:ascii="Arial" w:cs="Arial" w:eastAsia="Arial" w:hAnsi="Arial"/>
                <w:sz w:val="11"/>
                <w:szCs w:val="11"/>
                <w:b w:val="1"/>
                <w:bCs w:val="1"/>
                <w:color w:val="auto"/>
                <w:w w:val="99"/>
              </w:rPr>
              <w:t>CLNY OP share of</w:t>
            </w:r>
          </w:p>
        </w:tc>
        <w:tc>
          <w:tcPr>
            <w:tcW w:w="0" w:type="dxa"/>
            <w:vAlign w:val="bottom"/>
          </w:tcPr>
          <w:p>
            <w:pPr>
              <w:spacing w:after="0"/>
              <w:rPr>
                <w:sz w:val="1"/>
                <w:szCs w:val="1"/>
                <w:color w:val="auto"/>
              </w:rPr>
            </w:pPr>
          </w:p>
        </w:tc>
      </w:tr>
      <w:tr>
        <w:trPr>
          <w:trHeight w:val="143"/>
        </w:trPr>
        <w:tc>
          <w:tcPr>
            <w:tcW w:w="556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w w:val="95"/>
              </w:rPr>
              <w:t>amount</w:t>
            </w:r>
          </w:p>
        </w:tc>
        <w:tc>
          <w:tcPr>
            <w:tcW w:w="10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w w:val="97"/>
              </w:rPr>
              <w:t>consolidated amount</w:t>
            </w:r>
          </w:p>
        </w:tc>
        <w:tc>
          <w:tcPr>
            <w:tcW w:w="18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Total revenues</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189,202</w:t>
            </w:r>
          </w:p>
        </w:tc>
        <w:tc>
          <w:tcPr>
            <w:tcW w:w="220" w:type="dxa"/>
            <w:vAlign w:val="bottom"/>
            <w:gridSpan w:val="2"/>
            <w:shd w:val="clear" w:color="auto" w:fill="DBDBDB"/>
          </w:tcPr>
          <w:p>
            <w:pPr>
              <w:jc w:val="right"/>
              <w:ind w:right="12"/>
              <w:spacing w:after="0"/>
              <w:rPr>
                <w:sz w:val="20"/>
                <w:szCs w:val="20"/>
                <w:color w:val="auto"/>
              </w:rPr>
            </w:pPr>
            <w:r>
              <w:rPr>
                <w:rFonts w:ascii="Arial" w:cs="Arial" w:eastAsia="Arial" w:hAnsi="Arial"/>
                <w:sz w:val="12"/>
                <w:szCs w:val="12"/>
                <w:color w:val="auto"/>
              </w:rPr>
              <w:t>$</w:t>
            </w:r>
          </w:p>
        </w:tc>
        <w:tc>
          <w:tcPr>
            <w:tcW w:w="1300" w:type="dxa"/>
            <w:vAlign w:val="bottom"/>
            <w:shd w:val="clear" w:color="auto" w:fill="DBDBDB"/>
          </w:tcPr>
          <w:p>
            <w:pPr>
              <w:jc w:val="right"/>
              <w:ind w:right="101"/>
              <w:spacing w:after="0"/>
              <w:rPr>
                <w:sz w:val="20"/>
                <w:szCs w:val="20"/>
                <w:color w:val="auto"/>
              </w:rPr>
            </w:pPr>
            <w:r>
              <w:rPr>
                <w:rFonts w:ascii="Arial" w:cs="Arial" w:eastAsia="Arial" w:hAnsi="Arial"/>
                <w:sz w:val="12"/>
                <w:szCs w:val="12"/>
                <w:color w:val="auto"/>
              </w:rPr>
              <w:t>32,744</w:t>
            </w:r>
          </w:p>
        </w:tc>
        <w:tc>
          <w:tcPr>
            <w:tcW w:w="1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560" w:type="dxa"/>
            <w:vAlign w:val="bottom"/>
          </w:tcPr>
          <w:p>
            <w:pPr>
              <w:ind w:left="20"/>
              <w:spacing w:after="0"/>
              <w:rPr>
                <w:sz w:val="20"/>
                <w:szCs w:val="20"/>
                <w:color w:val="auto"/>
              </w:rPr>
            </w:pPr>
            <w:r>
              <w:rPr>
                <w:rFonts w:ascii="Arial" w:cs="Arial" w:eastAsia="Arial" w:hAnsi="Arial"/>
                <w:sz w:val="12"/>
                <w:szCs w:val="12"/>
                <w:color w:val="auto"/>
              </w:rPr>
              <w:t>Property operating expenses</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(79,862)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61"/>
              <w:spacing w:after="0"/>
              <w:rPr>
                <w:sz w:val="20"/>
                <w:szCs w:val="20"/>
                <w:color w:val="auto"/>
              </w:rPr>
            </w:pPr>
            <w:r>
              <w:rPr>
                <w:rFonts w:ascii="Arial" w:cs="Arial" w:eastAsia="Arial" w:hAnsi="Arial"/>
                <w:sz w:val="12"/>
                <w:szCs w:val="12"/>
                <w:color w:val="auto"/>
              </w:rPr>
              <w:t>(14,175)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Compensation and administrative expenses</w:t>
            </w:r>
          </w:p>
        </w:tc>
        <w:tc>
          <w:tcPr>
            <w:tcW w:w="140" w:type="dxa"/>
            <w:vAlign w:val="bottom"/>
            <w:shd w:val="clear" w:color="auto" w:fill="DBDBDB"/>
          </w:tcPr>
          <w:p>
            <w:pPr>
              <w:spacing w:after="0"/>
              <w:rPr>
                <w:sz w:val="13"/>
                <w:szCs w:val="13"/>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(24,651)</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300" w:type="dxa"/>
            <w:vAlign w:val="bottom"/>
            <w:shd w:val="clear" w:color="auto" w:fill="DBDBDB"/>
          </w:tcPr>
          <w:p>
            <w:pPr>
              <w:jc w:val="right"/>
              <w:ind w:right="61"/>
              <w:spacing w:after="0"/>
              <w:rPr>
                <w:sz w:val="20"/>
                <w:szCs w:val="20"/>
                <w:color w:val="auto"/>
              </w:rPr>
            </w:pPr>
            <w:r>
              <w:rPr>
                <w:rFonts w:ascii="Arial" w:cs="Arial" w:eastAsia="Arial" w:hAnsi="Arial"/>
                <w:sz w:val="12"/>
                <w:szCs w:val="12"/>
                <w:color w:val="auto"/>
              </w:rPr>
              <w:t>(3,927)</w:t>
            </w:r>
          </w:p>
        </w:tc>
        <w:tc>
          <w:tcPr>
            <w:tcW w:w="1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6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Investment, servicing and commission expenses</w:t>
            </w: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(6,445)</w:t>
            </w:r>
          </w:p>
        </w:tc>
        <w:tc>
          <w:tcPr>
            <w:tcW w:w="100" w:type="dxa"/>
            <w:vAlign w:val="bottom"/>
            <w:tcBorders>
              <w:bottom w:val="single" w:sz="8" w:color="DBDBDB"/>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(971)</w:t>
            </w:r>
          </w:p>
        </w:tc>
        <w:tc>
          <w:tcPr>
            <w:tcW w:w="180" w:type="dxa"/>
            <w:vAlign w:val="bottom"/>
            <w:tcBorders>
              <w:bottom w:val="single" w:sz="8" w:color="DBDBDB"/>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DBDBDB"/>
          </w:tcPr>
          <w:p>
            <w:pPr>
              <w:ind w:left="160"/>
              <w:spacing w:after="0"/>
              <w:rPr>
                <w:sz w:val="20"/>
                <w:szCs w:val="20"/>
                <w:color w:val="auto"/>
              </w:rPr>
            </w:pPr>
            <w:r>
              <w:rPr>
                <w:rFonts w:ascii="Arial" w:cs="Arial" w:eastAsia="Arial" w:hAnsi="Arial"/>
                <w:sz w:val="12"/>
                <w:szCs w:val="12"/>
                <w:b w:val="1"/>
                <w:bCs w:val="1"/>
                <w:color w:val="auto"/>
              </w:rPr>
              <w:t>EBITDAre:</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78,244</w:t>
            </w: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300" w:type="dxa"/>
            <w:vAlign w:val="bottom"/>
            <w:shd w:val="clear" w:color="auto" w:fill="DBDBDB"/>
          </w:tcPr>
          <w:p>
            <w:pPr>
              <w:jc w:val="right"/>
              <w:ind w:right="101"/>
              <w:spacing w:after="0"/>
              <w:rPr>
                <w:sz w:val="20"/>
                <w:szCs w:val="20"/>
                <w:color w:val="auto"/>
              </w:rPr>
            </w:pPr>
            <w:r>
              <w:rPr>
                <w:rFonts w:ascii="Arial" w:cs="Arial" w:eastAsia="Arial" w:hAnsi="Arial"/>
                <w:sz w:val="12"/>
                <w:szCs w:val="12"/>
                <w:b w:val="1"/>
                <w:bCs w:val="1"/>
                <w:color w:val="auto"/>
              </w:rPr>
              <w:t>13,671</w:t>
            </w:r>
          </w:p>
        </w:tc>
        <w:tc>
          <w:tcPr>
            <w:tcW w:w="1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Arial" w:cs="Arial" w:eastAsia="Arial" w:hAnsi="Arial"/>
                <w:sz w:val="12"/>
                <w:szCs w:val="12"/>
                <w:color w:val="auto"/>
              </w:rPr>
              <w:t>Straight-line rent expenses and amortization of above- and below-market lease intangibles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01"/>
              <w:spacing w:after="0"/>
              <w:rPr>
                <w:sz w:val="20"/>
                <w:szCs w:val="20"/>
                <w:color w:val="auto"/>
              </w:rPr>
            </w:pPr>
            <w:r>
              <w:rPr>
                <w:rFonts w:ascii="Arial" w:cs="Arial" w:eastAsia="Arial" w:hAnsi="Arial"/>
                <w:sz w:val="12"/>
                <w:szCs w:val="12"/>
                <w:color w:val="auto"/>
              </w:rPr>
              <w:t>192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Compensation expense—equity-based</w:t>
            </w:r>
          </w:p>
        </w:tc>
        <w:tc>
          <w:tcPr>
            <w:tcW w:w="140" w:type="dxa"/>
            <w:vAlign w:val="bottom"/>
            <w:shd w:val="clear" w:color="auto" w:fill="DBDBDB"/>
          </w:tcPr>
          <w:p>
            <w:pPr>
              <w:spacing w:after="0"/>
              <w:rPr>
                <w:sz w:val="13"/>
                <w:szCs w:val="13"/>
                <w:color w:val="auto"/>
              </w:rPr>
            </w:pPr>
          </w:p>
        </w:tc>
        <w:tc>
          <w:tcPr>
            <w:tcW w:w="9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308</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300" w:type="dxa"/>
            <w:vAlign w:val="bottom"/>
            <w:shd w:val="clear" w:color="auto" w:fill="DBDBDB"/>
          </w:tcPr>
          <w:p>
            <w:pPr>
              <w:jc w:val="right"/>
              <w:ind w:right="101"/>
              <w:spacing w:after="0"/>
              <w:rPr>
                <w:sz w:val="20"/>
                <w:szCs w:val="20"/>
                <w:color w:val="auto"/>
              </w:rPr>
            </w:pPr>
            <w:r>
              <w:rPr>
                <w:rFonts w:ascii="Arial" w:cs="Arial" w:eastAsia="Arial" w:hAnsi="Arial"/>
                <w:sz w:val="12"/>
                <w:szCs w:val="12"/>
                <w:color w:val="auto"/>
              </w:rPr>
              <w:t>62</w:t>
            </w:r>
          </w:p>
        </w:tc>
        <w:tc>
          <w:tcPr>
            <w:tcW w:w="1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60" w:type="dxa"/>
            <w:vAlign w:val="bottom"/>
          </w:tcPr>
          <w:p>
            <w:pPr>
              <w:ind w:left="20"/>
              <w:spacing w:after="0"/>
              <w:rPr>
                <w:sz w:val="20"/>
                <w:szCs w:val="20"/>
                <w:color w:val="auto"/>
              </w:rPr>
            </w:pPr>
            <w:r>
              <w:rPr>
                <w:rFonts w:ascii="Arial" w:cs="Arial" w:eastAsia="Arial" w:hAnsi="Arial"/>
                <w:sz w:val="12"/>
                <w:szCs w:val="12"/>
                <w:color w:val="auto"/>
              </w:rPr>
              <w:t>Installation services</w:t>
            </w:r>
          </w:p>
        </w:tc>
        <w:tc>
          <w:tcPr>
            <w:tcW w:w="14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880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101"/>
              <w:spacing w:after="0"/>
              <w:rPr>
                <w:sz w:val="20"/>
                <w:szCs w:val="20"/>
                <w:color w:val="auto"/>
              </w:rPr>
            </w:pPr>
            <w:r>
              <w:rPr>
                <w:rFonts w:ascii="Arial" w:cs="Arial" w:eastAsia="Arial" w:hAnsi="Arial"/>
                <w:sz w:val="12"/>
                <w:szCs w:val="12"/>
                <w:color w:val="auto"/>
              </w:rPr>
              <w:t>176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Transaction, restructuring &amp; integration costs</w:t>
            </w:r>
          </w:p>
        </w:tc>
        <w:tc>
          <w:tcPr>
            <w:tcW w:w="140" w:type="dxa"/>
            <w:vAlign w:val="bottom"/>
            <w:tcBorders>
              <w:bottom w:val="single" w:sz="8" w:color="auto"/>
            </w:tcBorders>
            <w:shd w:val="clear" w:color="auto" w:fill="DBDBDB"/>
          </w:tcPr>
          <w:p>
            <w:pPr>
              <w:spacing w:after="0"/>
              <w:rPr>
                <w:sz w:val="13"/>
                <w:szCs w:val="13"/>
                <w:color w:val="auto"/>
              </w:rPr>
            </w:pPr>
          </w:p>
        </w:tc>
        <w:tc>
          <w:tcPr>
            <w:tcW w:w="9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1,767</w:t>
            </w:r>
          </w:p>
        </w:tc>
        <w:tc>
          <w:tcPr>
            <w:tcW w:w="100" w:type="dxa"/>
            <w:vAlign w:val="bottom"/>
            <w:shd w:val="clear" w:color="auto" w:fill="DBDBDB"/>
          </w:tcPr>
          <w:p>
            <w:pPr>
              <w:spacing w:after="0"/>
              <w:rPr>
                <w:sz w:val="13"/>
                <w:szCs w:val="13"/>
                <w:color w:val="auto"/>
              </w:rPr>
            </w:pPr>
          </w:p>
        </w:tc>
        <w:tc>
          <w:tcPr>
            <w:tcW w:w="120" w:type="dxa"/>
            <w:vAlign w:val="bottom"/>
            <w:tcBorders>
              <w:bottom w:val="single" w:sz="8" w:color="auto"/>
            </w:tcBorders>
            <w:shd w:val="clear" w:color="auto" w:fill="DBDBDB"/>
          </w:tcPr>
          <w:p>
            <w:pPr>
              <w:spacing w:after="0"/>
              <w:rPr>
                <w:sz w:val="13"/>
                <w:szCs w:val="13"/>
                <w:color w:val="auto"/>
              </w:rPr>
            </w:pPr>
          </w:p>
        </w:tc>
        <w:tc>
          <w:tcPr>
            <w:tcW w:w="1300" w:type="dxa"/>
            <w:vAlign w:val="bottom"/>
            <w:tcBorders>
              <w:bottom w:val="single" w:sz="8" w:color="auto"/>
            </w:tcBorders>
            <w:shd w:val="clear" w:color="auto" w:fill="DBDBDB"/>
          </w:tcPr>
          <w:p>
            <w:pPr>
              <w:jc w:val="right"/>
              <w:ind w:right="101"/>
              <w:spacing w:after="0"/>
              <w:rPr>
                <w:sz w:val="20"/>
                <w:szCs w:val="20"/>
                <w:color w:val="auto"/>
              </w:rPr>
            </w:pPr>
            <w:r>
              <w:rPr>
                <w:rFonts w:ascii="Arial" w:cs="Arial" w:eastAsia="Arial" w:hAnsi="Arial"/>
                <w:sz w:val="12"/>
                <w:szCs w:val="12"/>
                <w:color w:val="auto"/>
              </w:rPr>
              <w:t>339</w:t>
            </w:r>
          </w:p>
        </w:tc>
        <w:tc>
          <w:tcPr>
            <w:tcW w:w="1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60" w:type="dxa"/>
            <w:vAlign w:val="bottom"/>
          </w:tcPr>
          <w:p>
            <w:pPr>
              <w:ind w:left="160"/>
              <w:spacing w:after="0"/>
              <w:rPr>
                <w:sz w:val="20"/>
                <w:szCs w:val="20"/>
                <w:color w:val="auto"/>
              </w:rPr>
            </w:pPr>
            <w:r>
              <w:rPr>
                <w:rFonts w:ascii="Arial" w:cs="Arial" w:eastAsia="Arial" w:hAnsi="Arial"/>
                <w:sz w:val="12"/>
                <w:szCs w:val="12"/>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80,800</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14,440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ind w:left="20"/>
              <w:spacing w:after="0"/>
              <w:rPr>
                <w:sz w:val="20"/>
                <w:szCs w:val="20"/>
                <w:color w:val="auto"/>
              </w:rPr>
            </w:pPr>
            <w:r>
              <w:rPr>
                <w:rFonts w:ascii="Arial" w:cs="Arial" w:eastAsia="Arial" w:hAnsi="Arial"/>
                <w:sz w:val="12"/>
                <w:szCs w:val="12"/>
                <w:b w:val="1"/>
                <w:bCs w:val="1"/>
                <w:i w:val="1"/>
                <w:iCs w:val="1"/>
                <w:color w:val="003C71"/>
              </w:rPr>
              <w:t>Operating Metrics</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5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vMerge w:val="restart"/>
          </w:tcPr>
          <w:p>
            <w:pPr>
              <w:jc w:val="center"/>
              <w:ind w:right="61"/>
              <w:spacing w:after="0"/>
              <w:rPr>
                <w:sz w:val="20"/>
                <w:szCs w:val="20"/>
                <w:color w:val="auto"/>
              </w:rPr>
            </w:pPr>
            <w:r>
              <w:rPr>
                <w:rFonts w:ascii="Arial" w:cs="Arial" w:eastAsia="Arial" w:hAnsi="Arial"/>
                <w:sz w:val="11"/>
                <w:szCs w:val="11"/>
                <w:b w:val="1"/>
                <w:bCs w:val="1"/>
                <w:color w:val="auto"/>
                <w:w w:val="97"/>
              </w:rPr>
              <w:t>3/31/21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vMerge w:val="restart"/>
          </w:tcPr>
          <w:p>
            <w:pPr>
              <w:jc w:val="center"/>
              <w:ind w:right="61"/>
              <w:spacing w:after="0"/>
              <w:rPr>
                <w:sz w:val="20"/>
                <w:szCs w:val="20"/>
                <w:color w:val="auto"/>
              </w:rPr>
            </w:pPr>
            <w:r>
              <w:rPr>
                <w:rFonts w:ascii="Arial" w:cs="Arial" w:eastAsia="Arial" w:hAnsi="Arial"/>
                <w:sz w:val="11"/>
                <w:szCs w:val="11"/>
                <w:b w:val="1"/>
                <w:bCs w:val="1"/>
                <w:color w:val="auto"/>
                <w:w w:val="95"/>
              </w:rPr>
              <w:t>3/31/20</w:t>
            </w:r>
            <w:r>
              <w:rPr>
                <w:rFonts w:ascii="Arial" w:cs="Arial" w:eastAsia="Arial" w:hAnsi="Arial"/>
                <w:sz w:val="14"/>
                <w:szCs w:val="14"/>
                <w:b w:val="1"/>
                <w:bCs w:val="1"/>
                <w:color w:val="auto"/>
                <w:w w:val="95"/>
                <w:vertAlign w:val="superscript"/>
              </w:rPr>
              <w:t>(5)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5560" w:type="dxa"/>
            <w:vAlign w:val="bottom"/>
            <w:tcBorders>
              <w:bottom w:val="single" w:sz="8" w:color="DBDBDB"/>
            </w:tcBorders>
          </w:tcPr>
          <w:p>
            <w:pPr>
              <w:ind w:left="20"/>
              <w:spacing w:after="0"/>
              <w:rPr>
                <w:sz w:val="20"/>
                <w:szCs w:val="20"/>
                <w:color w:val="auto"/>
              </w:rPr>
            </w:pPr>
            <w:r>
              <w:rPr>
                <w:rFonts w:ascii="Arial" w:cs="Arial" w:eastAsia="Arial" w:hAnsi="Arial"/>
                <w:sz w:val="11"/>
                <w:szCs w:val="11"/>
                <w:i w:val="1"/>
                <w:iCs w:val="1"/>
                <w:color w:val="auto"/>
              </w:rPr>
              <w:t>($ in millions, unless otherwise noted)</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Number of Data Centers</w:t>
            </w:r>
          </w:p>
        </w:tc>
        <w:tc>
          <w:tcPr>
            <w:tcW w:w="140" w:type="dxa"/>
            <w:vAlign w:val="bottom"/>
            <w:shd w:val="clear" w:color="auto" w:fill="DBDBDB"/>
          </w:tcPr>
          <w:p>
            <w:pPr>
              <w:spacing w:after="0"/>
              <w:rPr>
                <w:sz w:val="12"/>
                <w:szCs w:val="12"/>
                <w:color w:val="auto"/>
              </w:rPr>
            </w:pPr>
          </w:p>
        </w:tc>
        <w:tc>
          <w:tcPr>
            <w:tcW w:w="920" w:type="dxa"/>
            <w:vAlign w:val="bottom"/>
            <w:shd w:val="clear" w:color="auto" w:fill="DBDBDB"/>
          </w:tcPr>
          <w:p>
            <w:pPr>
              <w:jc w:val="right"/>
              <w:ind w:right="21"/>
              <w:spacing w:after="0"/>
              <w:rPr>
                <w:sz w:val="20"/>
                <w:szCs w:val="20"/>
                <w:color w:val="auto"/>
              </w:rPr>
            </w:pPr>
            <w:r>
              <w:rPr>
                <w:rFonts w:ascii="Arial" w:cs="Arial" w:eastAsia="Arial" w:hAnsi="Arial"/>
                <w:sz w:val="12"/>
                <w:szCs w:val="12"/>
                <w:color w:val="auto"/>
              </w:rPr>
              <w:t>76</w:t>
            </w: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300" w:type="dxa"/>
            <w:vAlign w:val="bottom"/>
            <w:shd w:val="clear" w:color="auto" w:fill="DBDBDB"/>
          </w:tcPr>
          <w:p>
            <w:pPr>
              <w:jc w:val="right"/>
              <w:ind w:right="21"/>
              <w:spacing w:after="0"/>
              <w:rPr>
                <w:sz w:val="20"/>
                <w:szCs w:val="20"/>
                <w:color w:val="auto"/>
              </w:rPr>
            </w:pPr>
            <w:r>
              <w:rPr>
                <w:rFonts w:ascii="Arial" w:cs="Arial" w:eastAsia="Arial" w:hAnsi="Arial"/>
                <w:sz w:val="12"/>
                <w:szCs w:val="12"/>
                <w:color w:val="auto"/>
              </w:rPr>
              <w:t>76</w:t>
            </w:r>
          </w:p>
        </w:tc>
        <w:tc>
          <w:tcPr>
            <w:tcW w:w="1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560" w:type="dxa"/>
            <w:vAlign w:val="bottom"/>
          </w:tcPr>
          <w:p>
            <w:pPr>
              <w:ind w:left="20"/>
              <w:spacing w:after="0"/>
              <w:rPr>
                <w:sz w:val="20"/>
                <w:szCs w:val="20"/>
                <w:color w:val="auto"/>
              </w:rPr>
            </w:pPr>
            <w:r>
              <w:rPr>
                <w:rFonts w:ascii="Arial" w:cs="Arial" w:eastAsia="Arial" w:hAnsi="Arial"/>
                <w:sz w:val="12"/>
                <w:szCs w:val="12"/>
                <w:color w:val="auto"/>
              </w:rPr>
              <w:t>Max Critical I.T. Square Feet</w:t>
            </w:r>
          </w:p>
        </w:tc>
        <w:tc>
          <w:tcPr>
            <w:tcW w:w="140" w:type="dxa"/>
            <w:vAlign w:val="bottom"/>
          </w:tcPr>
          <w:p>
            <w:pPr>
              <w:spacing w:after="0"/>
              <w:rPr>
                <w:sz w:val="13"/>
                <w:szCs w:val="13"/>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1,791,781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101"/>
              <w:spacing w:after="0"/>
              <w:rPr>
                <w:sz w:val="20"/>
                <w:szCs w:val="20"/>
                <w:color w:val="auto"/>
              </w:rPr>
            </w:pPr>
            <w:r>
              <w:rPr>
                <w:rFonts w:ascii="Arial" w:cs="Arial" w:eastAsia="Arial" w:hAnsi="Arial"/>
                <w:sz w:val="12"/>
                <w:szCs w:val="12"/>
                <w:color w:val="auto"/>
              </w:rPr>
              <w:t>1,738,686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Leased Square Feet</w:t>
            </w:r>
          </w:p>
        </w:tc>
        <w:tc>
          <w:tcPr>
            <w:tcW w:w="140" w:type="dxa"/>
            <w:vAlign w:val="bottom"/>
            <w:shd w:val="clear" w:color="auto" w:fill="DBDBDB"/>
          </w:tcPr>
          <w:p>
            <w:pPr>
              <w:spacing w:after="0"/>
              <w:rPr>
                <w:sz w:val="13"/>
                <w:szCs w:val="13"/>
                <w:color w:val="auto"/>
              </w:rPr>
            </w:pPr>
          </w:p>
        </w:tc>
        <w:tc>
          <w:tcPr>
            <w:tcW w:w="920" w:type="dxa"/>
            <w:vAlign w:val="bottom"/>
            <w:shd w:val="clear" w:color="auto" w:fill="DBDBDB"/>
          </w:tcPr>
          <w:p>
            <w:pPr>
              <w:jc w:val="right"/>
              <w:ind w:right="21"/>
              <w:spacing w:after="0"/>
              <w:rPr>
                <w:sz w:val="20"/>
                <w:szCs w:val="20"/>
                <w:color w:val="auto"/>
              </w:rPr>
            </w:pPr>
            <w:r>
              <w:rPr>
                <w:rFonts w:ascii="Arial" w:cs="Arial" w:eastAsia="Arial" w:hAnsi="Arial"/>
                <w:sz w:val="12"/>
                <w:szCs w:val="12"/>
                <w:color w:val="auto"/>
              </w:rPr>
              <w:t>1,423,322</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300" w:type="dxa"/>
            <w:vAlign w:val="bottom"/>
            <w:shd w:val="clear" w:color="auto" w:fill="DBDBDB"/>
          </w:tcPr>
          <w:p>
            <w:pPr>
              <w:jc w:val="right"/>
              <w:ind w:right="101"/>
              <w:spacing w:after="0"/>
              <w:rPr>
                <w:sz w:val="20"/>
                <w:szCs w:val="20"/>
                <w:color w:val="auto"/>
              </w:rPr>
            </w:pPr>
            <w:r>
              <w:rPr>
                <w:rFonts w:ascii="Arial" w:cs="Arial" w:eastAsia="Arial" w:hAnsi="Arial"/>
                <w:sz w:val="12"/>
                <w:szCs w:val="12"/>
                <w:color w:val="auto"/>
              </w:rPr>
              <w:t>1,393,008</w:t>
            </w:r>
          </w:p>
        </w:tc>
        <w:tc>
          <w:tcPr>
            <w:tcW w:w="1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60" w:type="dxa"/>
            <w:vAlign w:val="bottom"/>
          </w:tcPr>
          <w:p>
            <w:pPr>
              <w:ind w:left="20"/>
              <w:spacing w:after="0"/>
              <w:rPr>
                <w:sz w:val="20"/>
                <w:szCs w:val="20"/>
                <w:color w:val="auto"/>
              </w:rPr>
            </w:pPr>
            <w:r>
              <w:rPr>
                <w:rFonts w:ascii="Arial" w:cs="Arial" w:eastAsia="Arial" w:hAnsi="Arial"/>
                <w:sz w:val="12"/>
                <w:szCs w:val="12"/>
                <w:color w:val="auto"/>
              </w:rPr>
              <w:t>% Utilization Rate</w:t>
            </w:r>
          </w:p>
        </w:tc>
        <w:tc>
          <w:tcPr>
            <w:tcW w:w="140" w:type="dxa"/>
            <w:vAlign w:val="bottom"/>
          </w:tcPr>
          <w:p>
            <w:pPr>
              <w:spacing w:after="0"/>
              <w:rPr>
                <w:sz w:val="13"/>
                <w:szCs w:val="13"/>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79.4%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80.1 %</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MRR (Annualized)</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DBDBDB"/>
          </w:tcPr>
          <w:p>
            <w:pPr>
              <w:jc w:val="right"/>
              <w:ind w:right="21"/>
              <w:spacing w:after="0"/>
              <w:rPr>
                <w:sz w:val="20"/>
                <w:szCs w:val="20"/>
                <w:color w:val="auto"/>
              </w:rPr>
            </w:pPr>
            <w:r>
              <w:rPr>
                <w:rFonts w:ascii="Arial" w:cs="Arial" w:eastAsia="Arial" w:hAnsi="Arial"/>
                <w:sz w:val="12"/>
                <w:szCs w:val="12"/>
                <w:color w:val="auto"/>
              </w:rPr>
              <w:t>743.0</w:t>
            </w:r>
          </w:p>
        </w:tc>
        <w:tc>
          <w:tcPr>
            <w:tcW w:w="220" w:type="dxa"/>
            <w:vAlign w:val="bottom"/>
            <w:gridSpan w:val="2"/>
            <w:shd w:val="clear" w:color="auto" w:fill="DBDBDB"/>
          </w:tcPr>
          <w:p>
            <w:pPr>
              <w:jc w:val="right"/>
              <w:ind w:right="12"/>
              <w:spacing w:after="0"/>
              <w:rPr>
                <w:sz w:val="20"/>
                <w:szCs w:val="20"/>
                <w:color w:val="auto"/>
              </w:rPr>
            </w:pPr>
            <w:r>
              <w:rPr>
                <w:rFonts w:ascii="Arial" w:cs="Arial" w:eastAsia="Arial" w:hAnsi="Arial"/>
                <w:sz w:val="12"/>
                <w:szCs w:val="12"/>
                <w:color w:val="auto"/>
              </w:rPr>
              <w:t>$</w:t>
            </w:r>
          </w:p>
        </w:tc>
        <w:tc>
          <w:tcPr>
            <w:tcW w:w="1300" w:type="dxa"/>
            <w:vAlign w:val="bottom"/>
            <w:shd w:val="clear" w:color="auto" w:fill="DBDBDB"/>
          </w:tcPr>
          <w:p>
            <w:pPr>
              <w:jc w:val="right"/>
              <w:ind w:right="101"/>
              <w:spacing w:after="0"/>
              <w:rPr>
                <w:sz w:val="20"/>
                <w:szCs w:val="20"/>
                <w:color w:val="auto"/>
              </w:rPr>
            </w:pPr>
            <w:r>
              <w:rPr>
                <w:rFonts w:ascii="Arial" w:cs="Arial" w:eastAsia="Arial" w:hAnsi="Arial"/>
                <w:sz w:val="12"/>
                <w:szCs w:val="12"/>
                <w:color w:val="auto"/>
              </w:rPr>
              <w:t>720.0</w:t>
            </w:r>
          </w:p>
        </w:tc>
        <w:tc>
          <w:tcPr>
            <w:tcW w:w="1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60" w:type="dxa"/>
            <w:vAlign w:val="bottom"/>
          </w:tcPr>
          <w:p>
            <w:pPr>
              <w:ind w:left="20"/>
              <w:spacing w:after="0"/>
              <w:rPr>
                <w:sz w:val="20"/>
                <w:szCs w:val="20"/>
                <w:color w:val="auto"/>
              </w:rPr>
            </w:pPr>
            <w:r>
              <w:rPr>
                <w:rFonts w:ascii="Arial" w:cs="Arial" w:eastAsia="Arial" w:hAnsi="Arial"/>
                <w:sz w:val="12"/>
                <w:szCs w:val="12"/>
                <w:color w:val="auto"/>
              </w:rPr>
              <w:t>Bookings (Annualized)</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23.0</w:t>
            </w:r>
          </w:p>
        </w:tc>
        <w:tc>
          <w:tcPr>
            <w:tcW w:w="22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101"/>
              <w:spacing w:after="0"/>
              <w:rPr>
                <w:sz w:val="20"/>
                <w:szCs w:val="20"/>
                <w:color w:val="auto"/>
              </w:rPr>
            </w:pPr>
            <w:r>
              <w:rPr>
                <w:rFonts w:ascii="Arial" w:cs="Arial" w:eastAsia="Arial" w:hAnsi="Arial"/>
                <w:sz w:val="12"/>
                <w:szCs w:val="12"/>
                <w:color w:val="auto"/>
              </w:rPr>
              <w:t>26.0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Quarterly Churn (% of Prior Quarter MRR)</w:t>
            </w:r>
          </w:p>
        </w:tc>
        <w:tc>
          <w:tcPr>
            <w:tcW w:w="140" w:type="dxa"/>
            <w:vAlign w:val="bottom"/>
            <w:shd w:val="clear" w:color="auto" w:fill="DBDBDB"/>
          </w:tcPr>
          <w:p>
            <w:pPr>
              <w:spacing w:after="0"/>
              <w:rPr>
                <w:sz w:val="14"/>
                <w:szCs w:val="14"/>
                <w:color w:val="auto"/>
              </w:rPr>
            </w:pPr>
          </w:p>
        </w:tc>
        <w:tc>
          <w:tcPr>
            <w:tcW w:w="920" w:type="dxa"/>
            <w:vAlign w:val="bottom"/>
            <w:shd w:val="clear" w:color="auto" w:fill="DBDBDB"/>
          </w:tcPr>
          <w:p>
            <w:pPr>
              <w:jc w:val="right"/>
              <w:ind w:right="21"/>
              <w:spacing w:after="0"/>
              <w:rPr>
                <w:sz w:val="20"/>
                <w:szCs w:val="20"/>
                <w:color w:val="auto"/>
              </w:rPr>
            </w:pPr>
            <w:r>
              <w:rPr>
                <w:rFonts w:ascii="Arial" w:cs="Arial" w:eastAsia="Arial" w:hAnsi="Arial"/>
                <w:sz w:val="12"/>
                <w:szCs w:val="12"/>
                <w:color w:val="auto"/>
              </w:rPr>
              <w:t>1.3%</w:t>
            </w: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2.0 %</w:t>
            </w:r>
          </w:p>
        </w:tc>
        <w:tc>
          <w:tcPr>
            <w:tcW w:w="1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6" w:lineRule="exact"/>
        <w:rPr>
          <w:sz w:val="20"/>
          <w:szCs w:val="20"/>
          <w:color w:val="auto"/>
        </w:rPr>
      </w:pPr>
    </w:p>
    <w:p>
      <w:pPr>
        <w:ind w:left="188" w:hanging="188"/>
        <w:spacing w:after="0"/>
        <w:tabs>
          <w:tab w:leader="none" w:pos="188" w:val="left"/>
        </w:tabs>
        <w:numPr>
          <w:ilvl w:val="0"/>
          <w:numId w:val="26"/>
        </w:numPr>
        <w:rPr>
          <w:rFonts w:ascii="Arial" w:cs="Arial" w:eastAsia="Arial" w:hAnsi="Arial"/>
          <w:sz w:val="8"/>
          <w:szCs w:val="8"/>
          <w:color w:val="424242"/>
        </w:rPr>
      </w:pPr>
      <w:r>
        <w:rPr>
          <w:rFonts w:ascii="Arial" w:cs="Arial" w:eastAsia="Arial" w:hAnsi="Arial"/>
          <w:sz w:val="8"/>
          <w:szCs w:val="8"/>
          <w:color w:val="424242"/>
        </w:rPr>
        <w:t>Includes all components related to real estate assets, including tangible real estate and lease-related intangibles.</w:t>
      </w:r>
    </w:p>
    <w:p>
      <w:pPr>
        <w:spacing w:after="0" w:line="16" w:lineRule="exact"/>
        <w:rPr>
          <w:rFonts w:ascii="Arial" w:cs="Arial" w:eastAsia="Arial" w:hAnsi="Arial"/>
          <w:sz w:val="8"/>
          <w:szCs w:val="8"/>
          <w:color w:val="424242"/>
        </w:rPr>
      </w:pPr>
    </w:p>
    <w:p>
      <w:pPr>
        <w:ind w:left="188" w:hanging="188"/>
        <w:spacing w:after="0"/>
        <w:tabs>
          <w:tab w:leader="none" w:pos="188" w:val="left"/>
        </w:tabs>
        <w:numPr>
          <w:ilvl w:val="0"/>
          <w:numId w:val="26"/>
        </w:numPr>
        <w:rPr>
          <w:rFonts w:ascii="Arial" w:cs="Arial" w:eastAsia="Arial" w:hAnsi="Arial"/>
          <w:sz w:val="8"/>
          <w:szCs w:val="8"/>
          <w:color w:val="424242"/>
        </w:rPr>
      </w:pPr>
      <w:r>
        <w:rPr>
          <w:rFonts w:ascii="Arial" w:cs="Arial" w:eastAsia="Arial" w:hAnsi="Arial"/>
          <w:sz w:val="8"/>
          <w:szCs w:val="8"/>
          <w:color w:val="424242"/>
        </w:rPr>
        <w:t>Represents unpaid principal balance.</w:t>
      </w:r>
    </w:p>
    <w:p>
      <w:pPr>
        <w:spacing w:after="0" w:line="25" w:lineRule="exact"/>
        <w:rPr>
          <w:rFonts w:ascii="Arial" w:cs="Arial" w:eastAsia="Arial" w:hAnsi="Arial"/>
          <w:sz w:val="8"/>
          <w:szCs w:val="8"/>
          <w:color w:val="424242"/>
        </w:rPr>
      </w:pPr>
    </w:p>
    <w:p>
      <w:pPr>
        <w:ind w:left="208" w:right="80" w:hanging="208"/>
        <w:spacing w:after="0" w:line="259" w:lineRule="auto"/>
        <w:tabs>
          <w:tab w:leader="none" w:pos="188" w:val="left"/>
        </w:tabs>
        <w:numPr>
          <w:ilvl w:val="0"/>
          <w:numId w:val="26"/>
        </w:numPr>
        <w:rPr>
          <w:rFonts w:ascii="Arial" w:cs="Arial" w:eastAsia="Arial" w:hAnsi="Arial"/>
          <w:sz w:val="8"/>
          <w:szCs w:val="8"/>
          <w:color w:val="424242"/>
        </w:rPr>
      </w:pPr>
      <w:r>
        <w:rPr>
          <w:rFonts w:ascii="Arial" w:cs="Arial" w:eastAsia="Arial" w:hAnsi="Arial"/>
          <w:sz w:val="8"/>
          <w:szCs w:val="8"/>
          <w:color w:val="424242"/>
        </w:rPr>
        <w:t>In addition to debt presented, the Digital operating segment has $149 million consolidated, or $30 million CLNY OP share, of finance lease obligations, which represents the present value of payments on leases classified as finance leases, in the Other Liabilities line item on the Company’s Balance Sheet.</w:t>
      </w:r>
    </w:p>
    <w:p>
      <w:pPr>
        <w:spacing w:after="0" w:line="107" w:lineRule="exact"/>
        <w:rPr>
          <w:rFonts w:ascii="Arial" w:cs="Arial" w:eastAsia="Arial" w:hAnsi="Arial"/>
          <w:sz w:val="8"/>
          <w:szCs w:val="8"/>
          <w:color w:val="424242"/>
        </w:rPr>
      </w:pPr>
    </w:p>
    <w:p>
      <w:pPr>
        <w:ind w:left="188" w:hanging="188"/>
        <w:spacing w:after="0"/>
        <w:tabs>
          <w:tab w:leader="none" w:pos="188" w:val="left"/>
        </w:tabs>
        <w:numPr>
          <w:ilvl w:val="0"/>
          <w:numId w:val="26"/>
        </w:numPr>
        <w:rPr>
          <w:rFonts w:ascii="Arial" w:cs="Arial" w:eastAsia="Arial" w:hAnsi="Arial"/>
          <w:sz w:val="8"/>
          <w:szCs w:val="8"/>
          <w:color w:val="424242"/>
        </w:rPr>
      </w:pPr>
      <w:r>
        <w:rPr>
          <w:rFonts w:ascii="Arial" w:cs="Arial" w:eastAsia="Arial" w:hAnsi="Arial"/>
          <w:sz w:val="8"/>
          <w:szCs w:val="8"/>
          <w:color w:val="424242"/>
        </w:rPr>
        <w:t>For a reconciliation of net income/(loss) to adjusted EBITDA, please refer to the appendix to this presentation.</w:t>
      </w:r>
    </w:p>
    <w:p>
      <w:pPr>
        <w:spacing w:after="0" w:line="16" w:lineRule="exact"/>
        <w:rPr>
          <w:rFonts w:ascii="Arial" w:cs="Arial" w:eastAsia="Arial" w:hAnsi="Arial"/>
          <w:sz w:val="8"/>
          <w:szCs w:val="8"/>
          <w:color w:val="424242"/>
        </w:rPr>
      </w:pPr>
    </w:p>
    <w:p>
      <w:pPr>
        <w:ind w:left="188" w:hanging="188"/>
        <w:spacing w:after="0"/>
        <w:tabs>
          <w:tab w:leader="none" w:pos="188" w:val="left"/>
        </w:tabs>
        <w:numPr>
          <w:ilvl w:val="0"/>
          <w:numId w:val="26"/>
        </w:numPr>
        <w:rPr>
          <w:rFonts w:ascii="Arial" w:cs="Arial" w:eastAsia="Arial" w:hAnsi="Arial"/>
          <w:sz w:val="8"/>
          <w:szCs w:val="8"/>
          <w:color w:val="424242"/>
        </w:rPr>
      </w:pPr>
      <w:r>
        <w:rPr>
          <w:rFonts w:ascii="Arial" w:cs="Arial" w:eastAsia="Arial" w:hAnsi="Arial"/>
          <w:sz w:val="8"/>
          <w:szCs w:val="8"/>
          <w:color w:val="424242"/>
        </w:rPr>
        <w:t>The Company did not have interest in Vantage SDC or zColo in the first quarter 2020, however, presented Operating Metrics include data for Vantage SDC and zColo for the prior year period for comparative purposes.</w:t>
      </w: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20</w:t>
            </w:r>
          </w:p>
        </w:tc>
      </w:tr>
    </w:tbl>
    <w:p>
      <w:pPr>
        <w:sectPr>
          <w:pgSz w:w="11900" w:h="16838" w:orient="portrait"/>
          <w:cols w:equalWidth="0" w:num="1">
            <w:col w:w="11308"/>
          </w:cols>
          <w:pgMar w:left="292" w:top="158" w:right="299" w:bottom="1440" w:gutter="0" w:footer="0" w:header="0"/>
        </w:sectPr>
      </w:pPr>
    </w:p>
    <w:bookmarkStart w:id="35" w:name="page36"/>
    <w:bookmarkEnd w:id="35"/>
    <w:p>
      <w:pPr>
        <w:spacing w:after="0"/>
        <w:rPr>
          <w:sz w:val="20"/>
          <w:szCs w:val="20"/>
          <w:color w:val="auto"/>
        </w:rPr>
      </w:pPr>
      <w:r>
        <w:rPr>
          <w:rFonts w:ascii="Arial" w:cs="Arial" w:eastAsia="Arial" w:hAnsi="Arial"/>
          <w:sz w:val="29"/>
          <w:szCs w:val="29"/>
          <w:color w:val="auto"/>
        </w:rPr>
        <w:t>VI. Digital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78040" cy="22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3C71"/>
        </w:rPr>
        <w:t>Portfolio Overview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60" w:type="dxa"/>
            <w:vAlign w:val="bottom"/>
            <w:gridSpan w:val="2"/>
            <w:vMerge w:val="restart"/>
          </w:tcPr>
          <w:p>
            <w:pPr>
              <w:spacing w:after="0"/>
              <w:rPr>
                <w:sz w:val="20"/>
                <w:szCs w:val="20"/>
                <w:color w:val="auto"/>
              </w:rPr>
            </w:pPr>
            <w:r>
              <w:rPr>
                <w:rFonts w:ascii="Arial" w:cs="Arial" w:eastAsia="Arial" w:hAnsi="Arial"/>
                <w:sz w:val="11"/>
                <w:szCs w:val="11"/>
                <w:i w:val="1"/>
                <w:iCs w:val="1"/>
                <w:color w:val="auto"/>
              </w:rPr>
              <w:t>($ in thousand, as of March 31, 2021, unless otherwise noted)</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Consolidated amount</w:t>
            </w:r>
          </w:p>
        </w:tc>
        <w:tc>
          <w:tcPr>
            <w:tcW w:w="80" w:type="dxa"/>
            <w:vAlign w:val="bottom"/>
          </w:tcPr>
          <w:p>
            <w:pPr>
              <w:spacing w:after="0"/>
              <w:rPr>
                <w:sz w:val="10"/>
                <w:szCs w:val="10"/>
                <w:color w:val="auto"/>
              </w:rPr>
            </w:pPr>
          </w:p>
        </w:tc>
        <w:tc>
          <w:tcPr>
            <w:tcW w:w="1720" w:type="dxa"/>
            <w:vAlign w:val="bottom"/>
          </w:tcPr>
          <w:p>
            <w:pPr>
              <w:jc w:val="right"/>
              <w:ind w:right="42"/>
              <w:spacing w:after="0"/>
              <w:rPr>
                <w:sz w:val="20"/>
                <w:szCs w:val="20"/>
                <w:color w:val="auto"/>
              </w:rPr>
            </w:pPr>
            <w:r>
              <w:rPr>
                <w:rFonts w:ascii="Arial" w:cs="Arial" w:eastAsia="Arial" w:hAnsi="Arial"/>
                <w:sz w:val="11"/>
                <w:szCs w:val="11"/>
                <w:b w:val="1"/>
                <w:bCs w:val="1"/>
                <w:color w:val="auto"/>
                <w:w w:val="96"/>
              </w:rPr>
              <w:t>CLNY OP share of consolidated</w:t>
            </w:r>
          </w:p>
        </w:tc>
        <w:tc>
          <w:tcPr>
            <w:tcW w:w="0" w:type="dxa"/>
            <w:vAlign w:val="bottom"/>
          </w:tcPr>
          <w:p>
            <w:pPr>
              <w:spacing w:after="0"/>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right"/>
              <w:ind w:right="642"/>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43"/>
        </w:trPr>
        <w:tc>
          <w:tcPr>
            <w:tcW w:w="7860" w:type="dxa"/>
            <w:vAlign w:val="bottom"/>
            <w:tcBorders>
              <w:top w:val="single" w:sz="8" w:color="DBDBDB"/>
            </w:tcBorders>
            <w:gridSpan w:val="2"/>
            <w:shd w:val="clear" w:color="auto" w:fill="DBDBDB"/>
          </w:tcPr>
          <w:p>
            <w:pPr>
              <w:ind w:left="140"/>
              <w:spacing w:after="0"/>
              <w:rPr>
                <w:sz w:val="20"/>
                <w:szCs w:val="20"/>
                <w:color w:val="auto"/>
              </w:rPr>
            </w:pPr>
            <w:r>
              <w:rPr>
                <w:rFonts w:ascii="Arial" w:cs="Arial" w:eastAsia="Arial" w:hAnsi="Arial"/>
                <w:sz w:val="12"/>
                <w:szCs w:val="12"/>
                <w:color w:val="auto"/>
              </w:rPr>
              <w:t>CLNY's GP Co-investment in DCP I Investments</w:t>
            </w: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DBDBDB"/>
          </w:tcPr>
          <w:p>
            <w:pPr>
              <w:jc w:val="right"/>
              <w:ind w:right="2"/>
              <w:spacing w:after="0"/>
              <w:rPr>
                <w:sz w:val="20"/>
                <w:szCs w:val="20"/>
                <w:color w:val="auto"/>
              </w:rPr>
            </w:pPr>
            <w:r>
              <w:rPr>
                <w:rFonts w:ascii="Arial" w:cs="Arial" w:eastAsia="Arial" w:hAnsi="Arial"/>
                <w:sz w:val="12"/>
                <w:szCs w:val="12"/>
                <w:color w:val="auto"/>
              </w:rPr>
              <w:t>173,831</w:t>
            </w:r>
          </w:p>
        </w:tc>
        <w:tc>
          <w:tcPr>
            <w:tcW w:w="80" w:type="dxa"/>
            <w:vAlign w:val="bottom"/>
            <w:tcBorders>
              <w:top w:val="single" w:sz="8" w:color="DBDBDB"/>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720" w:type="dxa"/>
            <w:vAlign w:val="bottom"/>
            <w:tcBorders>
              <w:top w:val="single" w:sz="8" w:color="auto"/>
            </w:tcBorders>
            <w:shd w:val="clear" w:color="auto" w:fill="DBDBDB"/>
          </w:tcPr>
          <w:p>
            <w:pPr>
              <w:jc w:val="right"/>
              <w:ind w:right="2"/>
              <w:spacing w:after="0"/>
              <w:rPr>
                <w:sz w:val="20"/>
                <w:szCs w:val="20"/>
                <w:color w:val="auto"/>
              </w:rPr>
            </w:pPr>
            <w:r>
              <w:rPr>
                <w:rFonts w:ascii="Arial" w:cs="Arial" w:eastAsia="Arial" w:hAnsi="Arial"/>
                <w:sz w:val="12"/>
                <w:szCs w:val="12"/>
                <w:color w:val="auto"/>
              </w:rPr>
              <w:t>160,342</w:t>
            </w:r>
          </w:p>
        </w:tc>
        <w:tc>
          <w:tcPr>
            <w:tcW w:w="0" w:type="dxa"/>
            <w:vAlign w:val="bottom"/>
          </w:tcPr>
          <w:p>
            <w:pPr>
              <w:spacing w:after="0"/>
              <w:rPr>
                <w:sz w:val="1"/>
                <w:szCs w:val="1"/>
                <w:color w:val="auto"/>
              </w:rPr>
            </w:pPr>
          </w:p>
        </w:tc>
      </w:tr>
      <w:tr>
        <w:trPr>
          <w:trHeight w:val="153"/>
        </w:trPr>
        <w:tc>
          <w:tcPr>
            <w:tcW w:w="7860" w:type="dxa"/>
            <w:vAlign w:val="bottom"/>
            <w:gridSpan w:val="2"/>
          </w:tcPr>
          <w:p>
            <w:pPr>
              <w:ind w:left="140"/>
              <w:spacing w:after="0"/>
              <w:rPr>
                <w:sz w:val="20"/>
                <w:szCs w:val="20"/>
                <w:color w:val="auto"/>
              </w:rPr>
            </w:pPr>
            <w:r>
              <w:rPr>
                <w:rFonts w:ascii="Arial" w:cs="Arial" w:eastAsia="Arial" w:hAnsi="Arial"/>
                <w:sz w:val="12"/>
                <w:szCs w:val="12"/>
                <w:color w:val="auto"/>
              </w:rPr>
              <w:t>Equity interests in digital investment vehicles</w:t>
            </w:r>
          </w:p>
        </w:tc>
        <w:tc>
          <w:tcPr>
            <w:tcW w:w="10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179,945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jc w:val="right"/>
              <w:ind w:right="2"/>
              <w:spacing w:after="0"/>
              <w:rPr>
                <w:sz w:val="20"/>
                <w:szCs w:val="20"/>
                <w:color w:val="auto"/>
              </w:rPr>
            </w:pPr>
            <w:r>
              <w:rPr>
                <w:rFonts w:ascii="Arial" w:cs="Arial" w:eastAsia="Arial" w:hAnsi="Arial"/>
                <w:sz w:val="12"/>
                <w:szCs w:val="12"/>
                <w:color w:val="auto"/>
              </w:rPr>
              <w:t>83,384</w:t>
            </w:r>
          </w:p>
        </w:tc>
        <w:tc>
          <w:tcPr>
            <w:tcW w:w="0" w:type="dxa"/>
            <w:vAlign w:val="bottom"/>
          </w:tcPr>
          <w:p>
            <w:pPr>
              <w:spacing w:after="0"/>
              <w:rPr>
                <w:sz w:val="1"/>
                <w:szCs w:val="1"/>
                <w:color w:val="auto"/>
              </w:rPr>
            </w:pPr>
          </w:p>
        </w:tc>
      </w:tr>
      <w:tr>
        <w:trPr>
          <w:trHeight w:val="142"/>
        </w:trPr>
        <w:tc>
          <w:tcPr>
            <w:tcW w:w="780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2"/>
                <w:szCs w:val="12"/>
                <w:b w:val="1"/>
                <w:bCs w:val="1"/>
                <w:color w:val="auto"/>
              </w:rPr>
              <w:t>Net carrying value</w:t>
            </w:r>
          </w:p>
        </w:tc>
        <w:tc>
          <w:tcPr>
            <w:tcW w:w="60" w:type="dxa"/>
            <w:vAlign w:val="bottom"/>
            <w:tcBorders>
              <w:top w:val="single" w:sz="8" w:color="DBDBDB"/>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Borders>
              <w:top w:val="single" w:sz="8" w:color="auto"/>
            </w:tcBorders>
            <w:shd w:val="clear" w:color="auto" w:fill="DBDBDB"/>
          </w:tcPr>
          <w:p>
            <w:pPr>
              <w:jc w:val="right"/>
              <w:ind w:right="2"/>
              <w:spacing w:after="0"/>
              <w:rPr>
                <w:sz w:val="20"/>
                <w:szCs w:val="20"/>
                <w:color w:val="auto"/>
              </w:rPr>
            </w:pPr>
            <w:r>
              <w:rPr>
                <w:rFonts w:ascii="Arial" w:cs="Arial" w:eastAsia="Arial" w:hAnsi="Arial"/>
                <w:sz w:val="12"/>
                <w:szCs w:val="12"/>
                <w:b w:val="1"/>
                <w:bCs w:val="1"/>
                <w:color w:val="auto"/>
              </w:rPr>
              <w:t>353,776</w:t>
            </w:r>
          </w:p>
        </w:tc>
        <w:tc>
          <w:tcPr>
            <w:tcW w:w="80" w:type="dxa"/>
            <w:vAlign w:val="bottom"/>
            <w:tcBorders>
              <w:top w:val="single" w:sz="8" w:color="DBDBDB"/>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w w:val="71"/>
              </w:rPr>
              <w:t>$</w:t>
            </w:r>
          </w:p>
        </w:tc>
        <w:tc>
          <w:tcPr>
            <w:tcW w:w="1720" w:type="dxa"/>
            <w:vAlign w:val="bottom"/>
            <w:tcBorders>
              <w:top w:val="single" w:sz="8" w:color="auto"/>
            </w:tcBorders>
            <w:shd w:val="clear" w:color="auto" w:fill="DBDBDB"/>
          </w:tcPr>
          <w:p>
            <w:pPr>
              <w:jc w:val="right"/>
              <w:ind w:right="2"/>
              <w:spacing w:after="0"/>
              <w:rPr>
                <w:sz w:val="20"/>
                <w:szCs w:val="20"/>
                <w:color w:val="auto"/>
              </w:rPr>
            </w:pPr>
            <w:r>
              <w:rPr>
                <w:rFonts w:ascii="Arial" w:cs="Arial" w:eastAsia="Arial" w:hAnsi="Arial"/>
                <w:sz w:val="12"/>
                <w:szCs w:val="12"/>
                <w:b w:val="1"/>
                <w:bCs w:val="1"/>
                <w:color w:val="auto"/>
              </w:rPr>
              <w:t>243,726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21</w:t>
            </w:r>
          </w:p>
        </w:tc>
      </w:tr>
    </w:tbl>
    <w:p>
      <w:pPr>
        <w:sectPr>
          <w:pgSz w:w="11900" w:h="16838" w:orient="portrait"/>
          <w:cols w:equalWidth="0" w:num="1">
            <w:col w:w="11300"/>
          </w:cols>
          <w:pgMar w:left="300" w:top="158" w:right="299" w:bottom="1440" w:gutter="0" w:footer="0" w:header="0"/>
        </w:sectPr>
      </w:pPr>
    </w:p>
    <w:bookmarkStart w:id="36" w:name="page37"/>
    <w:bookmarkEnd w:id="36"/>
    <w:p>
      <w:pPr>
        <w:ind w:left="8"/>
        <w:spacing w:after="0"/>
        <w:rPr>
          <w:sz w:val="20"/>
          <w:szCs w:val="20"/>
          <w:color w:val="auto"/>
        </w:rPr>
      </w:pPr>
      <w:r>
        <w:rPr>
          <w:rFonts w:ascii="Arial" w:cs="Arial" w:eastAsia="Arial" w:hAnsi="Arial"/>
          <w:sz w:val="26"/>
          <w:szCs w:val="26"/>
          <w:color w:val="auto"/>
        </w:rPr>
        <w:t>VIIa. Wellness Infrastructure - Summary Metrics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78040" cy="22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8" w:type="dxa"/>
        <w:tblCellMar>
          <w:top w:w="0" w:type="dxa"/>
          <w:left w:w="0" w:type="dxa"/>
          <w:bottom w:w="0" w:type="dxa"/>
          <w:right w:w="0" w:type="dxa"/>
        </w:tblCellMar>
      </w:tblPr>
      <w:tr>
        <w:trPr>
          <w:trHeight w:val="152"/>
        </w:trPr>
        <w:tc>
          <w:tcPr>
            <w:tcW w:w="4500" w:type="dxa"/>
            <w:vAlign w:val="bottom"/>
            <w:gridSpan w:val="9"/>
          </w:tcPr>
          <w:p>
            <w:pPr>
              <w:spacing w:after="0"/>
              <w:rPr>
                <w:sz w:val="20"/>
                <w:szCs w:val="20"/>
                <w:color w:val="auto"/>
              </w:rPr>
            </w:pPr>
            <w:r>
              <w:rPr>
                <w:rFonts w:ascii="Arial" w:cs="Arial" w:eastAsia="Arial" w:hAnsi="Arial"/>
                <w:sz w:val="11"/>
                <w:szCs w:val="11"/>
                <w:i w:val="1"/>
                <w:iCs w:val="1"/>
                <w:color w:val="auto"/>
                <w:w w:val="98"/>
              </w:rPr>
              <w:t>($ in thousands; as of or for the three months ended March 31, 2021, unless otherwise noted)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w w:val="99"/>
              </w:rPr>
              <w:t>Consolidated amount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7"/>
          </w:tcPr>
          <w:p>
            <w:pPr>
              <w:jc w:val="center"/>
              <w:spacing w:after="0"/>
              <w:rPr>
                <w:sz w:val="20"/>
                <w:szCs w:val="20"/>
                <w:color w:val="auto"/>
              </w:rPr>
            </w:pPr>
            <w:r>
              <w:rPr>
                <w:rFonts w:ascii="Arial" w:cs="Arial" w:eastAsia="Arial" w:hAnsi="Arial"/>
                <w:sz w:val="11"/>
                <w:szCs w:val="11"/>
                <w:b w:val="1"/>
                <w:bCs w:val="1"/>
                <w:color w:val="auto"/>
                <w:w w:val="99"/>
              </w:rPr>
              <w:t>CLNY OP share of</w:t>
            </w:r>
          </w:p>
        </w:tc>
        <w:tc>
          <w:tcPr>
            <w:tcW w:w="0" w:type="dxa"/>
            <w:vAlign w:val="bottom"/>
          </w:tcPr>
          <w:p>
            <w:pPr>
              <w:spacing w:after="0"/>
              <w:rPr>
                <w:sz w:val="1"/>
                <w:szCs w:val="1"/>
                <w:color w:val="auto"/>
              </w:rPr>
            </w:pPr>
          </w:p>
        </w:tc>
      </w:tr>
      <w:tr>
        <w:trPr>
          <w:trHeight w:val="145"/>
        </w:trPr>
        <w:tc>
          <w:tcPr>
            <w:tcW w:w="2080" w:type="dxa"/>
            <w:vAlign w:val="bottom"/>
            <w:tcBorders>
              <w:bottom w:val="single" w:sz="8" w:color="DBDBDB"/>
            </w:tcBorders>
          </w:tcPr>
          <w:p>
            <w:pPr>
              <w:spacing w:after="0"/>
              <w:rPr>
                <w:sz w:val="20"/>
                <w:szCs w:val="20"/>
                <w:color w:val="auto"/>
              </w:rPr>
            </w:pPr>
            <w:r>
              <w:rPr>
                <w:rFonts w:ascii="Arial" w:cs="Arial" w:eastAsia="Arial" w:hAnsi="Arial"/>
                <w:sz w:val="12"/>
                <w:szCs w:val="12"/>
                <w:b w:val="1"/>
                <w:bCs w:val="1"/>
                <w:i w:val="1"/>
                <w:iCs w:val="1"/>
                <w:color w:val="003366"/>
              </w:rPr>
              <w:t>Net operating income</w:t>
            </w:r>
          </w:p>
        </w:tc>
        <w:tc>
          <w:tcPr>
            <w:tcW w:w="760" w:type="dxa"/>
            <w:vAlign w:val="bottom"/>
            <w:tcBorders>
              <w:bottom w:val="single" w:sz="8" w:color="DBDBDB"/>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340" w:type="dxa"/>
            <w:vAlign w:val="bottom"/>
            <w:tcBorders>
              <w:bottom w:val="single" w:sz="8" w:color="DBDBDB"/>
            </w:tcBorders>
          </w:tcPr>
          <w:p>
            <w:pPr>
              <w:spacing w:after="0"/>
              <w:rPr>
                <w:sz w:val="12"/>
                <w:szCs w:val="12"/>
                <w:color w:val="auto"/>
              </w:rPr>
            </w:pPr>
          </w:p>
        </w:tc>
        <w:tc>
          <w:tcPr>
            <w:tcW w:w="400" w:type="dxa"/>
            <w:vAlign w:val="bottom"/>
            <w:tcBorders>
              <w:bottom w:val="single" w:sz="8" w:color="DBDBDB"/>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360" w:type="dxa"/>
            <w:vAlign w:val="bottom"/>
            <w:tcBorders>
              <w:bottom w:val="single" w:sz="8" w:color="DBDBDB"/>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260" w:type="dxa"/>
            <w:vAlign w:val="bottom"/>
            <w:tcBorders>
              <w:bottom w:val="single" w:sz="8" w:color="DBDBDB"/>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580" w:type="dxa"/>
            <w:vAlign w:val="bottom"/>
            <w:tcBorders>
              <w:bottom w:val="single" w:sz="8" w:color="DBDBDB"/>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60" w:type="dxa"/>
            <w:vAlign w:val="bottom"/>
            <w:tcBorders>
              <w:bottom w:val="single" w:sz="8" w:color="DBDBDB"/>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5"/>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1460" w:type="dxa"/>
            <w:vAlign w:val="bottom"/>
            <w:tcBorders>
              <w:bottom w:val="single" w:sz="8" w:color="auto"/>
            </w:tcBorders>
            <w:gridSpan w:val="7"/>
          </w:tcPr>
          <w:p>
            <w:pPr>
              <w:jc w:val="center"/>
              <w:spacing w:after="0"/>
              <w:rPr>
                <w:sz w:val="20"/>
                <w:szCs w:val="20"/>
                <w:color w:val="auto"/>
              </w:rPr>
            </w:pPr>
            <w:r>
              <w:rPr>
                <w:rFonts w:ascii="Arial" w:cs="Arial" w:eastAsia="Arial" w:hAnsi="Arial"/>
                <w:sz w:val="11"/>
                <w:szCs w:val="11"/>
                <w:b w:val="1"/>
                <w:bCs w:val="1"/>
                <w:color w:val="auto"/>
                <w:w w:val="99"/>
              </w:rPr>
              <w:t>consolidated amount</w:t>
            </w:r>
          </w:p>
        </w:tc>
        <w:tc>
          <w:tcPr>
            <w:tcW w:w="0" w:type="dxa"/>
            <w:vAlign w:val="bottom"/>
          </w:tcPr>
          <w:p>
            <w:pPr>
              <w:spacing w:after="0"/>
              <w:rPr>
                <w:sz w:val="1"/>
                <w:szCs w:val="1"/>
                <w:color w:val="auto"/>
              </w:rPr>
            </w:pPr>
          </w:p>
        </w:tc>
      </w:tr>
      <w:tr>
        <w:trPr>
          <w:trHeight w:val="151"/>
        </w:trPr>
        <w:tc>
          <w:tcPr>
            <w:tcW w:w="2080" w:type="dxa"/>
            <w:vAlign w:val="bottom"/>
            <w:shd w:val="clear" w:color="auto" w:fill="DBDBDB"/>
          </w:tcPr>
          <w:p>
            <w:pPr>
              <w:spacing w:after="0"/>
              <w:rPr>
                <w:sz w:val="20"/>
                <w:szCs w:val="20"/>
                <w:color w:val="auto"/>
              </w:rPr>
            </w:pPr>
            <w:r>
              <w:rPr>
                <w:rFonts w:ascii="Arial" w:cs="Arial" w:eastAsia="Arial" w:hAnsi="Arial"/>
                <w:sz w:val="12"/>
                <w:szCs w:val="12"/>
                <w:color w:val="auto"/>
              </w:rPr>
              <w:t>Net operating income:</w:t>
            </w:r>
          </w:p>
        </w:tc>
        <w:tc>
          <w:tcPr>
            <w:tcW w:w="7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140"/>
              <w:spacing w:after="0"/>
              <w:rPr>
                <w:sz w:val="20"/>
                <w:szCs w:val="20"/>
                <w:color w:val="auto"/>
              </w:rPr>
            </w:pPr>
            <w:r>
              <w:rPr>
                <w:rFonts w:ascii="Arial" w:cs="Arial" w:eastAsia="Arial" w:hAnsi="Arial"/>
                <w:sz w:val="12"/>
                <w:szCs w:val="12"/>
                <w:color w:val="auto"/>
              </w:rPr>
              <w:t>Senior Housing - Operating</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right"/>
              <w:ind w:right="462"/>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2"/>
                <w:szCs w:val="12"/>
                <w:color w:val="auto"/>
              </w:rPr>
              <w:t>8,654</w:t>
            </w:r>
          </w:p>
        </w:tc>
        <w:tc>
          <w:tcPr>
            <w:tcW w:w="460" w:type="dxa"/>
            <w:vAlign w:val="bottom"/>
            <w:gridSpan w:val="3"/>
          </w:tcPr>
          <w:p>
            <w:pPr>
              <w:jc w:val="right"/>
              <w:ind w:right="20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2"/>
                <w:szCs w:val="12"/>
                <w:color w:val="auto"/>
              </w:rPr>
              <w:t>6,068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Medical Office Buildings</w:t>
            </w:r>
          </w:p>
        </w:tc>
        <w:tc>
          <w:tcPr>
            <w:tcW w:w="7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gridSpan w:val="3"/>
            <w:shd w:val="clear" w:color="auto" w:fill="DBDBDB"/>
          </w:tcPr>
          <w:p>
            <w:pPr>
              <w:jc w:val="right"/>
              <w:spacing w:after="0"/>
              <w:rPr>
                <w:sz w:val="20"/>
                <w:szCs w:val="20"/>
                <w:color w:val="auto"/>
              </w:rPr>
            </w:pPr>
            <w:r>
              <w:rPr>
                <w:rFonts w:ascii="Arial" w:cs="Arial" w:eastAsia="Arial" w:hAnsi="Arial"/>
                <w:sz w:val="12"/>
                <w:szCs w:val="12"/>
                <w:color w:val="auto"/>
              </w:rPr>
              <w:t>13,574</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0" w:type="dxa"/>
            <w:vAlign w:val="bottom"/>
            <w:gridSpan w:val="3"/>
            <w:shd w:val="clear" w:color="auto" w:fill="DBDBDB"/>
          </w:tcPr>
          <w:p>
            <w:pPr>
              <w:jc w:val="right"/>
              <w:ind w:right="40"/>
              <w:spacing w:after="0"/>
              <w:rPr>
                <w:sz w:val="20"/>
                <w:szCs w:val="20"/>
                <w:color w:val="auto"/>
              </w:rPr>
            </w:pPr>
            <w:r>
              <w:rPr>
                <w:rFonts w:ascii="Arial" w:cs="Arial" w:eastAsia="Arial" w:hAnsi="Arial"/>
                <w:sz w:val="12"/>
                <w:szCs w:val="12"/>
                <w:color w:val="auto"/>
              </w:rPr>
              <w:t>9,453</w:t>
            </w:r>
          </w:p>
        </w:tc>
        <w:tc>
          <w:tcPr>
            <w:tcW w:w="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140"/>
              <w:spacing w:after="0"/>
              <w:rPr>
                <w:sz w:val="20"/>
                <w:szCs w:val="20"/>
                <w:color w:val="auto"/>
              </w:rPr>
            </w:pPr>
            <w:r>
              <w:rPr>
                <w:rFonts w:ascii="Arial" w:cs="Arial" w:eastAsia="Arial" w:hAnsi="Arial"/>
                <w:sz w:val="12"/>
                <w:szCs w:val="12"/>
                <w:i w:val="1"/>
                <w:iCs w:val="1"/>
                <w:color w:val="auto"/>
              </w:rPr>
              <w:t>Triple-Net Lease:</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shd w:val="clear" w:color="auto" w:fill="DBDBDB"/>
          </w:tcPr>
          <w:p>
            <w:pPr>
              <w:ind w:left="140"/>
              <w:spacing w:after="0" w:line="171" w:lineRule="exact"/>
              <w:rPr>
                <w:sz w:val="20"/>
                <w:szCs w:val="20"/>
                <w:color w:val="auto"/>
              </w:rPr>
            </w:pPr>
            <w:r>
              <w:rPr>
                <w:rFonts w:ascii="Arial" w:cs="Arial" w:eastAsia="Arial" w:hAnsi="Arial"/>
                <w:sz w:val="12"/>
                <w:szCs w:val="12"/>
                <w:color w:val="auto"/>
              </w:rPr>
              <w:t>Senior Housing</w:t>
            </w:r>
            <w:r>
              <w:rPr>
                <w:rFonts w:ascii="Arial" w:cs="Arial" w:eastAsia="Arial" w:hAnsi="Arial"/>
                <w:sz w:val="15"/>
                <w:szCs w:val="15"/>
                <w:color w:val="auto"/>
                <w:vertAlign w:val="superscript"/>
              </w:rPr>
              <w:t>(1)</w:t>
            </w:r>
          </w:p>
        </w:tc>
        <w:tc>
          <w:tcPr>
            <w:tcW w:w="7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gridSpan w:val="3"/>
            <w:shd w:val="clear" w:color="auto" w:fill="DBDBDB"/>
          </w:tcPr>
          <w:p>
            <w:pPr>
              <w:jc w:val="right"/>
              <w:spacing w:after="0"/>
              <w:rPr>
                <w:sz w:val="20"/>
                <w:szCs w:val="20"/>
                <w:color w:val="auto"/>
              </w:rPr>
            </w:pPr>
            <w:r>
              <w:rPr>
                <w:rFonts w:ascii="Arial" w:cs="Arial" w:eastAsia="Arial" w:hAnsi="Arial"/>
                <w:sz w:val="12"/>
                <w:szCs w:val="12"/>
                <w:color w:val="auto"/>
              </w:rPr>
              <w:t>14,066</w:t>
            </w: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0" w:type="dxa"/>
            <w:vAlign w:val="bottom"/>
            <w:gridSpan w:val="3"/>
            <w:shd w:val="clear" w:color="auto" w:fill="DBDBDB"/>
          </w:tcPr>
          <w:p>
            <w:pPr>
              <w:jc w:val="right"/>
              <w:ind w:right="40"/>
              <w:spacing w:after="0"/>
              <w:rPr>
                <w:sz w:val="20"/>
                <w:szCs w:val="20"/>
                <w:color w:val="auto"/>
              </w:rPr>
            </w:pPr>
            <w:r>
              <w:rPr>
                <w:rFonts w:ascii="Arial" w:cs="Arial" w:eastAsia="Arial" w:hAnsi="Arial"/>
                <w:sz w:val="12"/>
                <w:szCs w:val="12"/>
                <w:color w:val="auto"/>
              </w:rPr>
              <w:t>9,900</w:t>
            </w:r>
          </w:p>
        </w:tc>
        <w:tc>
          <w:tcPr>
            <w:tcW w:w="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140"/>
              <w:spacing w:after="0"/>
              <w:rPr>
                <w:sz w:val="20"/>
                <w:szCs w:val="20"/>
                <w:color w:val="auto"/>
              </w:rPr>
            </w:pPr>
            <w:r>
              <w:rPr>
                <w:rFonts w:ascii="Arial" w:cs="Arial" w:eastAsia="Arial" w:hAnsi="Arial"/>
                <w:sz w:val="12"/>
                <w:szCs w:val="12"/>
                <w:color w:val="auto"/>
              </w:rPr>
              <w:t>Skilled Nursing Facilities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2"/>
                <w:szCs w:val="12"/>
                <w:color w:val="auto"/>
              </w:rPr>
              <w:t>22,037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2"/>
                <w:szCs w:val="12"/>
                <w:color w:val="auto"/>
              </w:rPr>
              <w:t>15,975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Hospitals</w:t>
            </w:r>
          </w:p>
        </w:tc>
        <w:tc>
          <w:tcPr>
            <w:tcW w:w="7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0" w:type="dxa"/>
            <w:vAlign w:val="bottom"/>
            <w:tcBorders>
              <w:bottom w:val="single" w:sz="8" w:color="auto"/>
            </w:tcBorders>
            <w:shd w:val="clear" w:color="auto" w:fill="DBDBDB"/>
          </w:tcPr>
          <w:p>
            <w:pPr>
              <w:spacing w:after="0"/>
              <w:rPr>
                <w:sz w:val="13"/>
                <w:szCs w:val="13"/>
                <w:color w:val="auto"/>
              </w:rPr>
            </w:pPr>
          </w:p>
        </w:tc>
        <w:tc>
          <w:tcPr>
            <w:tcW w:w="580" w:type="dxa"/>
            <w:vAlign w:val="bottom"/>
            <w:tcBorders>
              <w:bottom w:val="single" w:sz="8" w:color="auto"/>
            </w:tcBorders>
            <w:shd w:val="clear" w:color="auto" w:fill="DBDBDB"/>
          </w:tcPr>
          <w:p>
            <w:pPr>
              <w:spacing w:after="0"/>
              <w:rPr>
                <w:sz w:val="13"/>
                <w:szCs w:val="13"/>
                <w:color w:val="auto"/>
              </w:rPr>
            </w:pPr>
          </w:p>
        </w:tc>
        <w:tc>
          <w:tcPr>
            <w:tcW w:w="80" w:type="dxa"/>
            <w:vAlign w:val="bottom"/>
            <w:tcBorders>
              <w:bottom w:val="single" w:sz="8" w:color="auto"/>
            </w:tcBorders>
            <w:shd w:val="clear" w:color="auto" w:fill="DBDBDB"/>
          </w:tcPr>
          <w:p>
            <w:pPr>
              <w:spacing w:after="0"/>
              <w:rPr>
                <w:sz w:val="13"/>
                <w:szCs w:val="13"/>
                <w:color w:val="auto"/>
              </w:rPr>
            </w:pPr>
          </w:p>
        </w:tc>
        <w:tc>
          <w:tcPr>
            <w:tcW w:w="50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2"/>
                <w:szCs w:val="12"/>
                <w:color w:val="auto"/>
              </w:rPr>
              <w:t>2,453</w:t>
            </w:r>
          </w:p>
        </w:tc>
        <w:tc>
          <w:tcPr>
            <w:tcW w:w="40" w:type="dxa"/>
            <w:vAlign w:val="bottom"/>
            <w:tcBorders>
              <w:bottom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40" w:type="dxa"/>
            <w:vAlign w:val="bottom"/>
            <w:tcBorders>
              <w:bottom w:val="single" w:sz="8" w:color="auto"/>
            </w:tcBorders>
            <w:shd w:val="clear" w:color="auto" w:fill="DBDBDB"/>
          </w:tcPr>
          <w:p>
            <w:pPr>
              <w:spacing w:after="0"/>
              <w:rPr>
                <w:sz w:val="13"/>
                <w:szCs w:val="13"/>
                <w:color w:val="auto"/>
              </w:rPr>
            </w:pPr>
          </w:p>
        </w:tc>
        <w:tc>
          <w:tcPr>
            <w:tcW w:w="20" w:type="dxa"/>
            <w:vAlign w:val="bottom"/>
            <w:tcBorders>
              <w:bottom w:val="single" w:sz="8" w:color="auto"/>
            </w:tcBorders>
            <w:shd w:val="clear" w:color="auto" w:fill="DBDBDB"/>
          </w:tcPr>
          <w:p>
            <w:pPr>
              <w:spacing w:after="0"/>
              <w:rPr>
                <w:sz w:val="13"/>
                <w:szCs w:val="13"/>
                <w:color w:val="auto"/>
              </w:rPr>
            </w:pPr>
          </w:p>
        </w:tc>
        <w:tc>
          <w:tcPr>
            <w:tcW w:w="8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gridSpan w:val="3"/>
            <w:shd w:val="clear" w:color="auto" w:fill="DBDBDB"/>
          </w:tcPr>
          <w:p>
            <w:pPr>
              <w:jc w:val="right"/>
              <w:ind w:right="40"/>
              <w:spacing w:after="0"/>
              <w:rPr>
                <w:sz w:val="20"/>
                <w:szCs w:val="20"/>
                <w:color w:val="auto"/>
              </w:rPr>
            </w:pPr>
            <w:r>
              <w:rPr>
                <w:rFonts w:ascii="Arial" w:cs="Arial" w:eastAsia="Arial" w:hAnsi="Arial"/>
                <w:sz w:val="12"/>
                <w:szCs w:val="12"/>
                <w:color w:val="auto"/>
              </w:rPr>
              <w:t>1,708</w:t>
            </w:r>
          </w:p>
        </w:tc>
        <w:tc>
          <w:tcPr>
            <w:tcW w:w="20" w:type="dxa"/>
            <w:vAlign w:val="bottom"/>
            <w:tcBorders>
              <w:bottom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20"/>
                <w:szCs w:val="20"/>
                <w:color w:val="auto"/>
              </w:rPr>
            </w:pPr>
            <w:r>
              <w:rPr>
                <w:rFonts w:ascii="Arial" w:cs="Arial" w:eastAsia="Arial" w:hAnsi="Arial"/>
                <w:sz w:val="12"/>
                <w:szCs w:val="12"/>
                <w:color w:val="auto"/>
              </w:rPr>
              <w:t>Total net operating income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60,784</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color w:val="auto"/>
                <w:w w:val="89"/>
              </w:rPr>
              <w:t>$</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43,104</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80" w:type="dxa"/>
            <w:vAlign w:val="bottom"/>
            <w:vMerge w:val="restart"/>
          </w:tcPr>
          <w:p>
            <w:pPr>
              <w:spacing w:after="0"/>
              <w:rPr>
                <w:sz w:val="20"/>
                <w:szCs w:val="20"/>
                <w:color w:val="auto"/>
              </w:rPr>
            </w:pPr>
            <w:r>
              <w:rPr>
                <w:rFonts w:ascii="Arial" w:cs="Arial" w:eastAsia="Arial" w:hAnsi="Arial"/>
                <w:sz w:val="12"/>
                <w:szCs w:val="12"/>
                <w:b w:val="1"/>
                <w:bCs w:val="1"/>
                <w:i w:val="1"/>
                <w:iCs w:val="1"/>
                <w:color w:val="003366"/>
              </w:rPr>
              <w:t>Portfolio overview</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1"/>
                <w:szCs w:val="11"/>
                <w:b w:val="1"/>
                <w:bCs w:val="1"/>
                <w:color w:val="auto"/>
                <w:w w:val="98"/>
              </w:rPr>
              <w:t>Total number of</w:t>
            </w:r>
          </w:p>
        </w:tc>
        <w:tc>
          <w:tcPr>
            <w:tcW w:w="100" w:type="dxa"/>
            <w:vAlign w:val="bottom"/>
          </w:tcPr>
          <w:p>
            <w:pPr>
              <w:spacing w:after="0"/>
              <w:rPr>
                <w:sz w:val="24"/>
                <w:szCs w:val="24"/>
                <w:color w:val="auto"/>
              </w:rPr>
            </w:pPr>
          </w:p>
        </w:tc>
        <w:tc>
          <w:tcPr>
            <w:tcW w:w="940" w:type="dxa"/>
            <w:vAlign w:val="bottom"/>
            <w:gridSpan w:val="3"/>
            <w:vMerge w:val="restart"/>
          </w:tcPr>
          <w:p>
            <w:pPr>
              <w:jc w:val="right"/>
              <w:ind w:right="181"/>
              <w:spacing w:after="0"/>
              <w:rPr>
                <w:sz w:val="20"/>
                <w:szCs w:val="20"/>
                <w:color w:val="auto"/>
              </w:rPr>
            </w:pPr>
            <w:r>
              <w:rPr>
                <w:rFonts w:ascii="Arial" w:cs="Arial" w:eastAsia="Arial" w:hAnsi="Arial"/>
                <w:sz w:val="11"/>
                <w:szCs w:val="11"/>
                <w:b w:val="1"/>
                <w:bCs w:val="1"/>
                <w:color w:val="auto"/>
              </w:rPr>
              <w:t>Capacity</w:t>
            </w:r>
          </w:p>
        </w:tc>
        <w:tc>
          <w:tcPr>
            <w:tcW w:w="100" w:type="dxa"/>
            <w:vAlign w:val="bottom"/>
          </w:tcPr>
          <w:p>
            <w:pPr>
              <w:spacing w:after="0"/>
              <w:rPr>
                <w:sz w:val="24"/>
                <w:szCs w:val="24"/>
                <w:color w:val="auto"/>
              </w:rPr>
            </w:pPr>
          </w:p>
        </w:tc>
        <w:tc>
          <w:tcPr>
            <w:tcW w:w="860" w:type="dxa"/>
            <w:vAlign w:val="bottom"/>
            <w:gridSpan w:val="5"/>
            <w:vMerge w:val="restart"/>
          </w:tcPr>
          <w:p>
            <w:pPr>
              <w:jc w:val="right"/>
              <w:ind w:right="22"/>
              <w:spacing w:after="0"/>
              <w:rPr>
                <w:sz w:val="20"/>
                <w:szCs w:val="20"/>
                <w:color w:val="auto"/>
              </w:rPr>
            </w:pPr>
            <w:r>
              <w:rPr>
                <w:rFonts w:ascii="Arial" w:cs="Arial" w:eastAsia="Arial" w:hAnsi="Arial"/>
                <w:sz w:val="11"/>
                <w:szCs w:val="11"/>
                <w:b w:val="1"/>
                <w:bCs w:val="1"/>
                <w:color w:val="auto"/>
              </w:rPr>
              <w:t>% Occupied</w:t>
            </w:r>
            <w:r>
              <w:rPr>
                <w:rFonts w:ascii="Arial" w:cs="Arial" w:eastAsia="Arial" w:hAnsi="Arial"/>
                <w:sz w:val="14"/>
                <w:szCs w:val="14"/>
                <w:b w:val="1"/>
                <w:bCs w:val="1"/>
                <w:color w:val="auto"/>
                <w:vertAlign w:val="superscript"/>
              </w:rPr>
              <w:t>(2)</w:t>
            </w:r>
          </w:p>
        </w:tc>
        <w:tc>
          <w:tcPr>
            <w:tcW w:w="8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6"/>
          </w:tcPr>
          <w:p>
            <w:pPr>
              <w:jc w:val="right"/>
              <w:ind w:right="300"/>
              <w:spacing w:after="0"/>
              <w:rPr>
                <w:sz w:val="20"/>
                <w:szCs w:val="20"/>
                <w:color w:val="auto"/>
              </w:rPr>
            </w:pPr>
            <w:r>
              <w:rPr>
                <w:rFonts w:ascii="Arial" w:cs="Arial" w:eastAsia="Arial" w:hAnsi="Arial"/>
                <w:sz w:val="11"/>
                <w:szCs w:val="11"/>
                <w:b w:val="1"/>
                <w:bCs w:val="1"/>
                <w:color w:val="auto"/>
              </w:rPr>
              <w:t>TTM Lease</w:t>
            </w:r>
          </w:p>
        </w:tc>
        <w:tc>
          <w:tcPr>
            <w:tcW w:w="20" w:type="dxa"/>
            <w:vAlign w:val="bottom"/>
          </w:tcPr>
          <w:p>
            <w:pPr>
              <w:spacing w:after="0"/>
              <w:rPr>
                <w:sz w:val="24"/>
                <w:szCs w:val="2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7"/>
              </w:rPr>
              <w:t>WA Remaining</w:t>
            </w:r>
          </w:p>
        </w:tc>
        <w:tc>
          <w:tcPr>
            <w:tcW w:w="0" w:type="dxa"/>
            <w:vAlign w:val="bottom"/>
          </w:tcPr>
          <w:p>
            <w:pPr>
              <w:spacing w:after="0"/>
              <w:rPr>
                <w:sz w:val="1"/>
                <w:szCs w:val="1"/>
                <w:color w:val="auto"/>
              </w:rPr>
            </w:pPr>
          </w:p>
        </w:tc>
      </w:tr>
      <w:tr>
        <w:trPr>
          <w:trHeight w:val="144"/>
        </w:trPr>
        <w:tc>
          <w:tcPr>
            <w:tcW w:w="2080" w:type="dxa"/>
            <w:vAlign w:val="bottom"/>
            <w:tcBorders>
              <w:bottom w:val="single" w:sz="8" w:color="DBDBDB"/>
            </w:tcBorders>
            <w:vMerge w:val="continue"/>
          </w:tcPr>
          <w:p>
            <w:pPr>
              <w:spacing w:after="0"/>
              <w:rPr>
                <w:sz w:val="12"/>
                <w:szCs w:val="12"/>
                <w:color w:val="auto"/>
              </w:rPr>
            </w:pPr>
          </w:p>
        </w:tc>
        <w:tc>
          <w:tcPr>
            <w:tcW w:w="760" w:type="dxa"/>
            <w:vAlign w:val="bottom"/>
            <w:tcBorders>
              <w:bottom w:val="single" w:sz="8" w:color="DBDBDB"/>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340" w:type="dxa"/>
            <w:vAlign w:val="bottom"/>
            <w:tcBorders>
              <w:bottom w:val="single" w:sz="8" w:color="DBDBDB"/>
            </w:tcBorders>
          </w:tcPr>
          <w:p>
            <w:pPr>
              <w:spacing w:after="0"/>
              <w:rPr>
                <w:sz w:val="12"/>
                <w:szCs w:val="12"/>
                <w:color w:val="auto"/>
              </w:rPr>
            </w:pPr>
          </w:p>
        </w:tc>
        <w:tc>
          <w:tcPr>
            <w:tcW w:w="86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1"/>
                <w:szCs w:val="11"/>
                <w:b w:val="1"/>
                <w:bCs w:val="1"/>
                <w:color w:val="auto"/>
              </w:rPr>
              <w:t>properties</w:t>
            </w:r>
          </w:p>
        </w:tc>
        <w:tc>
          <w:tcPr>
            <w:tcW w:w="100" w:type="dxa"/>
            <w:vAlign w:val="bottom"/>
            <w:tcBorders>
              <w:bottom w:val="single" w:sz="8" w:color="DBDBDB"/>
            </w:tcBorders>
          </w:tcPr>
          <w:p>
            <w:pPr>
              <w:spacing w:after="0"/>
              <w:rPr>
                <w:sz w:val="12"/>
                <w:szCs w:val="12"/>
                <w:color w:val="auto"/>
              </w:rPr>
            </w:pPr>
          </w:p>
        </w:tc>
        <w:tc>
          <w:tcPr>
            <w:tcW w:w="940" w:type="dxa"/>
            <w:vAlign w:val="bottom"/>
            <w:tcBorders>
              <w:bottom w:val="single" w:sz="8" w:color="auto"/>
            </w:tcBorders>
            <w:gridSpan w:val="3"/>
            <w:vMerge w:val="continue"/>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860" w:type="dxa"/>
            <w:vAlign w:val="bottom"/>
            <w:tcBorders>
              <w:bottom w:val="single" w:sz="8" w:color="auto"/>
            </w:tcBorders>
            <w:gridSpan w:val="5"/>
            <w:vMerge w:val="continue"/>
          </w:tcPr>
          <w:p>
            <w:pPr>
              <w:spacing w:after="0"/>
              <w:rPr>
                <w:sz w:val="12"/>
                <w:szCs w:val="12"/>
                <w:color w:val="auto"/>
              </w:rPr>
            </w:pPr>
          </w:p>
        </w:tc>
        <w:tc>
          <w:tcPr>
            <w:tcW w:w="80" w:type="dxa"/>
            <w:vAlign w:val="bottom"/>
            <w:tcBorders>
              <w:bottom w:val="single" w:sz="8" w:color="DBDBDB"/>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jc w:val="right"/>
              <w:ind w:right="121"/>
              <w:spacing w:after="0" w:line="144" w:lineRule="exact"/>
              <w:rPr>
                <w:sz w:val="20"/>
                <w:szCs w:val="20"/>
                <w:color w:val="auto"/>
              </w:rPr>
            </w:pPr>
            <w:r>
              <w:rPr>
                <w:rFonts w:ascii="Arial" w:cs="Arial" w:eastAsia="Arial" w:hAnsi="Arial"/>
                <w:sz w:val="11"/>
                <w:szCs w:val="11"/>
                <w:b w:val="1"/>
                <w:bCs w:val="1"/>
                <w:color w:val="auto"/>
              </w:rPr>
              <w:t>Coverage</w:t>
            </w:r>
            <w:r>
              <w:rPr>
                <w:rFonts w:ascii="Arial" w:cs="Arial" w:eastAsia="Arial" w:hAnsi="Arial"/>
                <w:sz w:val="14"/>
                <w:szCs w:val="14"/>
                <w:b w:val="1"/>
                <w:bCs w:val="1"/>
                <w:color w:val="auto"/>
                <w:vertAlign w:val="superscript"/>
              </w:rPr>
              <w:t>(3)</w:t>
            </w:r>
          </w:p>
        </w:tc>
        <w:tc>
          <w:tcPr>
            <w:tcW w:w="100" w:type="dxa"/>
            <w:vAlign w:val="bottom"/>
            <w:tcBorders>
              <w:bottom w:val="single" w:sz="8" w:color="DBDBDB"/>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8"/>
              </w:rPr>
              <w:t>Lease Term</w:t>
            </w:r>
          </w:p>
        </w:tc>
        <w:tc>
          <w:tcPr>
            <w:tcW w:w="0" w:type="dxa"/>
            <w:vAlign w:val="bottom"/>
          </w:tcPr>
          <w:p>
            <w:pPr>
              <w:spacing w:after="0"/>
              <w:rPr>
                <w:sz w:val="1"/>
                <w:szCs w:val="1"/>
                <w:color w:val="auto"/>
              </w:rPr>
            </w:pPr>
          </w:p>
        </w:tc>
      </w:tr>
      <w:tr>
        <w:trPr>
          <w:trHeight w:val="142"/>
        </w:trPr>
        <w:tc>
          <w:tcPr>
            <w:tcW w:w="2080" w:type="dxa"/>
            <w:vAlign w:val="bottom"/>
            <w:shd w:val="clear" w:color="auto" w:fill="DBDBDB"/>
          </w:tcPr>
          <w:p>
            <w:pPr>
              <w:spacing w:after="0"/>
              <w:rPr>
                <w:sz w:val="20"/>
                <w:szCs w:val="20"/>
                <w:color w:val="auto"/>
              </w:rPr>
            </w:pPr>
            <w:r>
              <w:rPr>
                <w:rFonts w:ascii="Arial" w:cs="Arial" w:eastAsia="Arial" w:hAnsi="Arial"/>
                <w:sz w:val="12"/>
                <w:szCs w:val="12"/>
                <w:color w:val="auto"/>
              </w:rPr>
              <w:t>Senior Housing - Operating</w:t>
            </w:r>
          </w:p>
        </w:tc>
        <w:tc>
          <w:tcPr>
            <w:tcW w:w="7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3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53</w:t>
            </w:r>
          </w:p>
        </w:tc>
        <w:tc>
          <w:tcPr>
            <w:tcW w:w="10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4,756 units</w:t>
            </w: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69.4 %</w:t>
            </w:r>
          </w:p>
        </w:tc>
        <w:tc>
          <w:tcPr>
            <w:tcW w:w="8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440" w:type="dxa"/>
            <w:vAlign w:val="bottom"/>
            <w:gridSpan w:val="3"/>
            <w:shd w:val="clear" w:color="auto" w:fill="DBDBDB"/>
          </w:tcPr>
          <w:p>
            <w:pPr>
              <w:jc w:val="right"/>
              <w:ind w:right="100"/>
              <w:spacing w:after="0"/>
              <w:rPr>
                <w:sz w:val="20"/>
                <w:szCs w:val="20"/>
                <w:color w:val="auto"/>
              </w:rPr>
            </w:pPr>
            <w:r>
              <w:rPr>
                <w:rFonts w:ascii="Arial" w:cs="Arial" w:eastAsia="Arial" w:hAnsi="Arial"/>
                <w:sz w:val="12"/>
                <w:szCs w:val="12"/>
                <w:color w:val="auto"/>
              </w:rPr>
              <w:t>N/A</w:t>
            </w:r>
          </w:p>
        </w:tc>
        <w:tc>
          <w:tcPr>
            <w:tcW w:w="20" w:type="dxa"/>
            <w:vAlign w:val="bottom"/>
            <w:shd w:val="clear" w:color="auto" w:fill="DBDBDB"/>
          </w:tcPr>
          <w:p>
            <w:pPr>
              <w:spacing w:after="0"/>
              <w:rPr>
                <w:sz w:val="12"/>
                <w:szCs w:val="12"/>
                <w:color w:val="auto"/>
              </w:rPr>
            </w:pPr>
          </w:p>
        </w:tc>
        <w:tc>
          <w:tcPr>
            <w:tcW w:w="1000" w:type="dxa"/>
            <w:vAlign w:val="bottom"/>
            <w:gridSpan w:val="3"/>
            <w:shd w:val="clear" w:color="auto" w:fill="DBDBDB"/>
          </w:tcPr>
          <w:p>
            <w:pPr>
              <w:ind w:left="780"/>
              <w:spacing w:after="0"/>
              <w:rPr>
                <w:sz w:val="20"/>
                <w:szCs w:val="20"/>
                <w:color w:val="auto"/>
              </w:rPr>
            </w:pPr>
            <w:r>
              <w:rPr>
                <w:rFonts w:ascii="Arial" w:cs="Arial" w:eastAsia="Arial" w:hAnsi="Arial"/>
                <w:sz w:val="12"/>
                <w:szCs w:val="12"/>
                <w:color w:val="auto"/>
                <w:w w:val="99"/>
              </w:rPr>
              <w:t>N/A</w:t>
            </w:r>
          </w:p>
        </w:tc>
        <w:tc>
          <w:tcPr>
            <w:tcW w:w="0" w:type="dxa"/>
            <w:vAlign w:val="bottom"/>
          </w:tcPr>
          <w:p>
            <w:pPr>
              <w:spacing w:after="0"/>
              <w:rPr>
                <w:sz w:val="1"/>
                <w:szCs w:val="1"/>
                <w:color w:val="auto"/>
              </w:rPr>
            </w:pPr>
          </w:p>
        </w:tc>
      </w:tr>
      <w:tr>
        <w:trPr>
          <w:trHeight w:val="153"/>
        </w:trPr>
        <w:tc>
          <w:tcPr>
            <w:tcW w:w="2080" w:type="dxa"/>
            <w:vAlign w:val="bottom"/>
          </w:tcPr>
          <w:p>
            <w:pPr>
              <w:spacing w:after="0"/>
              <w:rPr>
                <w:sz w:val="20"/>
                <w:szCs w:val="20"/>
                <w:color w:val="auto"/>
              </w:rPr>
            </w:pPr>
            <w:r>
              <w:rPr>
                <w:rFonts w:ascii="Arial" w:cs="Arial" w:eastAsia="Arial" w:hAnsi="Arial"/>
                <w:sz w:val="12"/>
                <w:szCs w:val="12"/>
                <w:color w:val="auto"/>
              </w:rPr>
              <w:t>Medical Office Buildings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2"/>
                <w:szCs w:val="12"/>
                <w:color w:val="auto"/>
              </w:rPr>
              <w:t>3.8 million sq. ft.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82.6 %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2"/>
                <w:szCs w:val="12"/>
                <w:color w:val="auto"/>
              </w:rPr>
              <w:t>N/A</w:t>
            </w:r>
          </w:p>
        </w:tc>
        <w:tc>
          <w:tcPr>
            <w:tcW w:w="1000" w:type="dxa"/>
            <w:vAlign w:val="bottom"/>
            <w:gridSpan w:val="3"/>
          </w:tcPr>
          <w:p>
            <w:pPr>
              <w:jc w:val="right"/>
              <w:ind w:right="40"/>
              <w:spacing w:after="0"/>
              <w:rPr>
                <w:sz w:val="20"/>
                <w:szCs w:val="20"/>
                <w:color w:val="auto"/>
              </w:rPr>
            </w:pPr>
            <w:r>
              <w:rPr>
                <w:rFonts w:ascii="Arial" w:cs="Arial" w:eastAsia="Arial" w:hAnsi="Arial"/>
                <w:sz w:val="12"/>
                <w:szCs w:val="12"/>
                <w:color w:val="auto"/>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80" w:type="dxa"/>
            <w:vAlign w:val="bottom"/>
            <w:shd w:val="clear" w:color="auto" w:fill="DBDBDB"/>
          </w:tcPr>
          <w:p>
            <w:pPr>
              <w:spacing w:after="0"/>
              <w:rPr>
                <w:sz w:val="20"/>
                <w:szCs w:val="20"/>
                <w:color w:val="auto"/>
              </w:rPr>
            </w:pPr>
            <w:r>
              <w:rPr>
                <w:rFonts w:ascii="Arial" w:cs="Arial" w:eastAsia="Arial" w:hAnsi="Arial"/>
                <w:sz w:val="12"/>
                <w:szCs w:val="12"/>
                <w:i w:val="1"/>
                <w:iCs w:val="1"/>
                <w:color w:val="auto"/>
              </w:rPr>
              <w:t>Triple-Net Lease:</w:t>
            </w:r>
          </w:p>
        </w:tc>
        <w:tc>
          <w:tcPr>
            <w:tcW w:w="7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80" w:type="dxa"/>
            <w:vAlign w:val="bottom"/>
          </w:tcPr>
          <w:p>
            <w:pPr>
              <w:spacing w:after="0"/>
              <w:rPr>
                <w:sz w:val="20"/>
                <w:szCs w:val="20"/>
                <w:color w:val="auto"/>
              </w:rPr>
            </w:pPr>
            <w:r>
              <w:rPr>
                <w:rFonts w:ascii="Arial" w:cs="Arial" w:eastAsia="Arial" w:hAnsi="Arial"/>
                <w:sz w:val="12"/>
                <w:szCs w:val="12"/>
                <w:color w:val="auto"/>
              </w:rPr>
              <w:t>Senior Housing</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3,534 units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70.8 %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2"/>
                <w:szCs w:val="12"/>
                <w:color w:val="auto"/>
              </w:rPr>
              <w:t>0.9x</w:t>
            </w:r>
          </w:p>
        </w:tc>
        <w:tc>
          <w:tcPr>
            <w:tcW w:w="1000" w:type="dxa"/>
            <w:vAlign w:val="bottom"/>
            <w:gridSpan w:val="3"/>
          </w:tcPr>
          <w:p>
            <w:pPr>
              <w:jc w:val="right"/>
              <w:ind w:right="40"/>
              <w:spacing w:after="0"/>
              <w:rPr>
                <w:sz w:val="20"/>
                <w:szCs w:val="20"/>
                <w:color w:val="auto"/>
              </w:rPr>
            </w:pPr>
            <w:r>
              <w:rPr>
                <w:rFonts w:ascii="Arial" w:cs="Arial" w:eastAsia="Arial" w:hAnsi="Arial"/>
                <w:sz w:val="12"/>
                <w:szCs w:val="12"/>
                <w:color w:val="auto"/>
              </w:rPr>
              <w:t>11.2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80" w:type="dxa"/>
            <w:vAlign w:val="bottom"/>
            <w:shd w:val="clear" w:color="auto" w:fill="DBDBDB"/>
          </w:tcPr>
          <w:p>
            <w:pPr>
              <w:spacing w:after="0"/>
              <w:rPr>
                <w:sz w:val="20"/>
                <w:szCs w:val="20"/>
                <w:color w:val="auto"/>
              </w:rPr>
            </w:pPr>
            <w:r>
              <w:rPr>
                <w:rFonts w:ascii="Arial" w:cs="Arial" w:eastAsia="Arial" w:hAnsi="Arial"/>
                <w:sz w:val="12"/>
                <w:szCs w:val="12"/>
                <w:color w:val="auto"/>
              </w:rPr>
              <w:t>Skilled Nursing Facilities</w:t>
            </w:r>
          </w:p>
        </w:tc>
        <w:tc>
          <w:tcPr>
            <w:tcW w:w="7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83</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9,723 beds</w:t>
            </w: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68.2 %</w:t>
            </w:r>
          </w:p>
        </w:tc>
        <w:tc>
          <w:tcPr>
            <w:tcW w:w="8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440" w:type="dxa"/>
            <w:vAlign w:val="bottom"/>
            <w:gridSpan w:val="3"/>
            <w:shd w:val="clear" w:color="auto" w:fill="DBDBDB"/>
          </w:tcPr>
          <w:p>
            <w:pPr>
              <w:jc w:val="right"/>
              <w:ind w:right="100"/>
              <w:spacing w:after="0"/>
              <w:rPr>
                <w:sz w:val="20"/>
                <w:szCs w:val="20"/>
                <w:color w:val="auto"/>
              </w:rPr>
            </w:pPr>
            <w:r>
              <w:rPr>
                <w:rFonts w:ascii="Arial" w:cs="Arial" w:eastAsia="Arial" w:hAnsi="Arial"/>
                <w:sz w:val="12"/>
                <w:szCs w:val="12"/>
                <w:color w:val="auto"/>
              </w:rPr>
              <w:t>1.2x</w:t>
            </w:r>
          </w:p>
        </w:tc>
        <w:tc>
          <w:tcPr>
            <w:tcW w:w="1000" w:type="dxa"/>
            <w:vAlign w:val="bottom"/>
            <w:gridSpan w:val="3"/>
            <w:shd w:val="clear" w:color="auto" w:fill="DBDBDB"/>
          </w:tcPr>
          <w:p>
            <w:pPr>
              <w:jc w:val="right"/>
              <w:ind w:right="40"/>
              <w:spacing w:after="0"/>
              <w:rPr>
                <w:sz w:val="20"/>
                <w:szCs w:val="20"/>
                <w:color w:val="auto"/>
              </w:rPr>
            </w:pPr>
            <w:r>
              <w:rPr>
                <w:rFonts w:ascii="Arial" w:cs="Arial" w:eastAsia="Arial" w:hAnsi="Arial"/>
                <w:sz w:val="12"/>
                <w:szCs w:val="12"/>
                <w:color w:val="auto"/>
              </w:rPr>
              <w:t>5.0</w:t>
            </w:r>
          </w:p>
        </w:tc>
        <w:tc>
          <w:tcPr>
            <w:tcW w:w="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8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Hospitals</w:t>
            </w:r>
          </w:p>
        </w:tc>
        <w:tc>
          <w:tcPr>
            <w:tcW w:w="760" w:type="dxa"/>
            <w:vAlign w:val="bottom"/>
            <w:tcBorders>
              <w:bottom w:val="single" w:sz="8" w:color="DBDBDB"/>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340" w:type="dxa"/>
            <w:vAlign w:val="bottom"/>
            <w:tcBorders>
              <w:bottom w:val="single" w:sz="8" w:color="DBDBDB"/>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w:t>
            </w:r>
          </w:p>
        </w:tc>
        <w:tc>
          <w:tcPr>
            <w:tcW w:w="100" w:type="dxa"/>
            <w:vAlign w:val="bottom"/>
            <w:tcBorders>
              <w:bottom w:val="single" w:sz="8" w:color="DBDBDB"/>
            </w:tcBorders>
          </w:tcPr>
          <w:p>
            <w:pPr>
              <w:spacing w:after="0"/>
              <w:rPr>
                <w:sz w:val="13"/>
                <w:szCs w:val="13"/>
                <w:color w:val="auto"/>
              </w:rPr>
            </w:pPr>
          </w:p>
        </w:tc>
        <w:tc>
          <w:tcPr>
            <w:tcW w:w="260" w:type="dxa"/>
            <w:vAlign w:val="bottom"/>
            <w:tcBorders>
              <w:bottom w:val="single" w:sz="8" w:color="DBDBDB"/>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2"/>
                <w:szCs w:val="12"/>
                <w:color w:val="auto"/>
              </w:rPr>
              <w:t>456 beds</w:t>
            </w:r>
          </w:p>
        </w:tc>
        <w:tc>
          <w:tcPr>
            <w:tcW w:w="100" w:type="dxa"/>
            <w:vAlign w:val="bottom"/>
            <w:tcBorders>
              <w:bottom w:val="single" w:sz="8" w:color="DBDBDB"/>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60" w:type="dxa"/>
            <w:vAlign w:val="bottom"/>
            <w:tcBorders>
              <w:bottom w:val="single" w:sz="8" w:color="DBDBDB"/>
            </w:tcBorders>
          </w:tcPr>
          <w:p>
            <w:pPr>
              <w:spacing w:after="0"/>
              <w:rPr>
                <w:sz w:val="13"/>
                <w:szCs w:val="13"/>
                <w:color w:val="auto"/>
              </w:rPr>
            </w:pPr>
          </w:p>
        </w:tc>
        <w:tc>
          <w:tcPr>
            <w:tcW w:w="20" w:type="dxa"/>
            <w:vAlign w:val="bottom"/>
            <w:tcBorders>
              <w:bottom w:val="single" w:sz="8" w:color="DBDBDB"/>
            </w:tcBorders>
          </w:tcPr>
          <w:p>
            <w:pPr>
              <w:spacing w:after="0"/>
              <w:rPr>
                <w:sz w:val="13"/>
                <w:szCs w:val="13"/>
                <w:color w:val="auto"/>
              </w:rPr>
            </w:pP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2"/>
                <w:szCs w:val="12"/>
                <w:color w:val="auto"/>
              </w:rPr>
              <w:t>62.8 %</w:t>
            </w:r>
          </w:p>
        </w:tc>
        <w:tc>
          <w:tcPr>
            <w:tcW w:w="80" w:type="dxa"/>
            <w:vAlign w:val="bottom"/>
            <w:tcBorders>
              <w:bottom w:val="single" w:sz="8" w:color="DBDBDB"/>
            </w:tcBorders>
          </w:tcPr>
          <w:p>
            <w:pPr>
              <w:spacing w:after="0"/>
              <w:rPr>
                <w:sz w:val="13"/>
                <w:szCs w:val="13"/>
                <w:color w:val="auto"/>
              </w:rPr>
            </w:pPr>
          </w:p>
        </w:tc>
        <w:tc>
          <w:tcPr>
            <w:tcW w:w="60" w:type="dxa"/>
            <w:vAlign w:val="bottom"/>
            <w:tcBorders>
              <w:bottom w:val="single" w:sz="8" w:color="DBDBDB"/>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DBDBDB"/>
            </w:tcBorders>
          </w:tcPr>
          <w:p>
            <w:pPr>
              <w:spacing w:after="0"/>
              <w:rPr>
                <w:sz w:val="13"/>
                <w:szCs w:val="13"/>
                <w:color w:val="auto"/>
              </w:rPr>
            </w:pPr>
          </w:p>
        </w:tc>
        <w:tc>
          <w:tcPr>
            <w:tcW w:w="40" w:type="dxa"/>
            <w:vAlign w:val="bottom"/>
            <w:tcBorders>
              <w:bottom w:val="single" w:sz="8" w:color="DBDBDB"/>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440" w:type="dxa"/>
            <w:vAlign w:val="bottom"/>
            <w:tcBorders>
              <w:bottom w:val="single" w:sz="8" w:color="DBDBDB"/>
            </w:tcBorders>
            <w:gridSpan w:val="3"/>
          </w:tcPr>
          <w:p>
            <w:pPr>
              <w:jc w:val="right"/>
              <w:ind w:right="100"/>
              <w:spacing w:after="0"/>
              <w:rPr>
                <w:sz w:val="20"/>
                <w:szCs w:val="20"/>
                <w:color w:val="auto"/>
              </w:rPr>
            </w:pPr>
            <w:r>
              <w:rPr>
                <w:rFonts w:ascii="Arial" w:cs="Arial" w:eastAsia="Arial" w:hAnsi="Arial"/>
                <w:sz w:val="12"/>
                <w:szCs w:val="12"/>
                <w:color w:val="auto"/>
              </w:rPr>
              <w:t>4.0x</w:t>
            </w:r>
          </w:p>
        </w:tc>
        <w:tc>
          <w:tcPr>
            <w:tcW w:w="1000" w:type="dxa"/>
            <w:vAlign w:val="bottom"/>
            <w:tcBorders>
              <w:bottom w:val="single" w:sz="8" w:color="DBDBDB"/>
            </w:tcBorders>
            <w:gridSpan w:val="3"/>
          </w:tcPr>
          <w:p>
            <w:pPr>
              <w:jc w:val="right"/>
              <w:ind w:right="40"/>
              <w:spacing w:after="0"/>
              <w:rPr>
                <w:sz w:val="20"/>
                <w:szCs w:val="20"/>
                <w:color w:val="auto"/>
              </w:rPr>
            </w:pPr>
            <w:r>
              <w:rPr>
                <w:rFonts w:ascii="Arial" w:cs="Arial" w:eastAsia="Arial" w:hAnsi="Arial"/>
                <w:sz w:val="12"/>
                <w:szCs w:val="12"/>
                <w:color w:val="auto"/>
              </w:rPr>
              <w:t>9.1</w:t>
            </w:r>
          </w:p>
        </w:tc>
        <w:tc>
          <w:tcPr>
            <w:tcW w:w="20" w:type="dxa"/>
            <w:vAlign w:val="bottom"/>
            <w:tcBorders>
              <w:bottom w:val="single" w:sz="8" w:color="DBDBDB"/>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2"/>
                <w:szCs w:val="12"/>
                <w:b w:val="1"/>
                <w:bCs w:val="1"/>
                <w:color w:val="auto"/>
              </w:rPr>
              <w:t>Total</w:t>
            </w:r>
          </w:p>
        </w:tc>
        <w:tc>
          <w:tcPr>
            <w:tcW w:w="760" w:type="dxa"/>
            <w:vAlign w:val="bottom"/>
            <w:tcBorders>
              <w:bottom w:val="single" w:sz="8" w:color="DBDBDB"/>
            </w:tcBorders>
            <w:shd w:val="clear" w:color="auto" w:fill="DBDBDB"/>
          </w:tcPr>
          <w:p>
            <w:pPr>
              <w:spacing w:after="0"/>
              <w:rPr>
                <w:sz w:val="12"/>
                <w:szCs w:val="12"/>
                <w:color w:val="auto"/>
              </w:rPr>
            </w:pPr>
          </w:p>
        </w:tc>
        <w:tc>
          <w:tcPr>
            <w:tcW w:w="100" w:type="dxa"/>
            <w:vAlign w:val="bottom"/>
            <w:tcBorders>
              <w:bottom w:val="single" w:sz="8" w:color="DBDBDB"/>
            </w:tcBorders>
            <w:shd w:val="clear" w:color="auto" w:fill="DBDBDB"/>
          </w:tcPr>
          <w:p>
            <w:pPr>
              <w:spacing w:after="0"/>
              <w:rPr>
                <w:sz w:val="12"/>
                <w:szCs w:val="12"/>
                <w:color w:val="auto"/>
              </w:rPr>
            </w:pPr>
          </w:p>
        </w:tc>
        <w:tc>
          <w:tcPr>
            <w:tcW w:w="340" w:type="dxa"/>
            <w:vAlign w:val="bottom"/>
            <w:tcBorders>
              <w:bottom w:val="single" w:sz="8" w:color="DBDBDB"/>
            </w:tcBorders>
            <w:shd w:val="clear" w:color="auto" w:fill="DBDBDB"/>
          </w:tcPr>
          <w:p>
            <w:pPr>
              <w:spacing w:after="0"/>
              <w:rPr>
                <w:sz w:val="12"/>
                <w:szCs w:val="12"/>
                <w:color w:val="auto"/>
              </w:rPr>
            </w:pPr>
          </w:p>
        </w:tc>
        <w:tc>
          <w:tcPr>
            <w:tcW w:w="400" w:type="dxa"/>
            <w:vAlign w:val="bottom"/>
            <w:tcBorders>
              <w:bottom w:val="single" w:sz="8" w:color="DBDBDB"/>
            </w:tcBorders>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3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316</w:t>
            </w:r>
          </w:p>
        </w:tc>
        <w:tc>
          <w:tcPr>
            <w:tcW w:w="100" w:type="dxa"/>
            <w:vAlign w:val="bottom"/>
            <w:tcBorders>
              <w:bottom w:val="single" w:sz="8" w:color="DBDBDB"/>
            </w:tcBorders>
            <w:shd w:val="clear" w:color="auto" w:fill="DBDBDB"/>
          </w:tcPr>
          <w:p>
            <w:pPr>
              <w:spacing w:after="0"/>
              <w:rPr>
                <w:sz w:val="12"/>
                <w:szCs w:val="12"/>
                <w:color w:val="auto"/>
              </w:rPr>
            </w:pPr>
          </w:p>
        </w:tc>
        <w:tc>
          <w:tcPr>
            <w:tcW w:w="260" w:type="dxa"/>
            <w:vAlign w:val="bottom"/>
            <w:tcBorders>
              <w:bottom w:val="single" w:sz="8" w:color="DBDBDB"/>
            </w:tcBorders>
            <w:shd w:val="clear" w:color="auto" w:fill="DBDBDB"/>
          </w:tcPr>
          <w:p>
            <w:pPr>
              <w:spacing w:after="0"/>
              <w:rPr>
                <w:sz w:val="12"/>
                <w:szCs w:val="12"/>
                <w:color w:val="auto"/>
              </w:rPr>
            </w:pPr>
          </w:p>
        </w:tc>
        <w:tc>
          <w:tcPr>
            <w:tcW w:w="10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spacing w:after="0"/>
              <w:rPr>
                <w:sz w:val="12"/>
                <w:szCs w:val="12"/>
                <w:color w:val="auto"/>
              </w:rPr>
            </w:pPr>
          </w:p>
        </w:tc>
        <w:tc>
          <w:tcPr>
            <w:tcW w:w="100" w:type="dxa"/>
            <w:vAlign w:val="bottom"/>
            <w:tcBorders>
              <w:bottom w:val="single" w:sz="8" w:color="DBDBDB"/>
            </w:tcBorders>
            <w:shd w:val="clear" w:color="auto" w:fill="DBDBDB"/>
          </w:tcPr>
          <w:p>
            <w:pPr>
              <w:spacing w:after="0"/>
              <w:rPr>
                <w:sz w:val="12"/>
                <w:szCs w:val="12"/>
                <w:color w:val="auto"/>
              </w:rPr>
            </w:pPr>
          </w:p>
        </w:tc>
        <w:tc>
          <w:tcPr>
            <w:tcW w:w="100" w:type="dxa"/>
            <w:vAlign w:val="bottom"/>
            <w:tcBorders>
              <w:bottom w:val="single" w:sz="8" w:color="DBDBDB"/>
            </w:tcBorders>
            <w:shd w:val="clear" w:color="auto" w:fill="DBDBDB"/>
          </w:tcPr>
          <w:p>
            <w:pPr>
              <w:spacing w:after="0"/>
              <w:rPr>
                <w:sz w:val="12"/>
                <w:szCs w:val="12"/>
                <w:color w:val="auto"/>
              </w:rPr>
            </w:pPr>
          </w:p>
        </w:tc>
        <w:tc>
          <w:tcPr>
            <w:tcW w:w="100" w:type="dxa"/>
            <w:vAlign w:val="bottom"/>
            <w:tcBorders>
              <w:bottom w:val="single" w:sz="8" w:color="DBDBDB"/>
            </w:tcBorders>
            <w:shd w:val="clear" w:color="auto" w:fill="DBDBDB"/>
          </w:tcPr>
          <w:p>
            <w:pPr>
              <w:spacing w:after="0"/>
              <w:rPr>
                <w:sz w:val="12"/>
                <w:szCs w:val="12"/>
                <w:color w:val="auto"/>
              </w:rPr>
            </w:pPr>
          </w:p>
        </w:tc>
        <w:tc>
          <w:tcPr>
            <w:tcW w:w="60" w:type="dxa"/>
            <w:vAlign w:val="bottom"/>
            <w:tcBorders>
              <w:bottom w:val="single" w:sz="8" w:color="DBDBDB"/>
            </w:tcBorders>
            <w:shd w:val="clear" w:color="auto" w:fill="DBDBDB"/>
          </w:tcPr>
          <w:p>
            <w:pPr>
              <w:spacing w:after="0"/>
              <w:rPr>
                <w:sz w:val="12"/>
                <w:szCs w:val="12"/>
                <w:color w:val="auto"/>
              </w:rPr>
            </w:pPr>
          </w:p>
        </w:tc>
        <w:tc>
          <w:tcPr>
            <w:tcW w:w="2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spacing w:after="0"/>
              <w:rPr>
                <w:sz w:val="12"/>
                <w:szCs w:val="12"/>
                <w:color w:val="auto"/>
              </w:rPr>
            </w:pPr>
          </w:p>
        </w:tc>
        <w:tc>
          <w:tcPr>
            <w:tcW w:w="80" w:type="dxa"/>
            <w:vAlign w:val="bottom"/>
            <w:tcBorders>
              <w:bottom w:val="single" w:sz="8" w:color="DBDBDB"/>
            </w:tcBorders>
            <w:shd w:val="clear" w:color="auto" w:fill="DBDBDB"/>
          </w:tcPr>
          <w:p>
            <w:pPr>
              <w:spacing w:after="0"/>
              <w:rPr>
                <w:sz w:val="12"/>
                <w:szCs w:val="12"/>
                <w:color w:val="auto"/>
              </w:rPr>
            </w:pPr>
          </w:p>
        </w:tc>
        <w:tc>
          <w:tcPr>
            <w:tcW w:w="60" w:type="dxa"/>
            <w:vAlign w:val="bottom"/>
            <w:tcBorders>
              <w:bottom w:val="single" w:sz="8" w:color="DBDBDB"/>
            </w:tcBorders>
            <w:shd w:val="clear" w:color="auto" w:fill="DBDBDB"/>
          </w:tcPr>
          <w:p>
            <w:pPr>
              <w:spacing w:after="0"/>
              <w:rPr>
                <w:sz w:val="12"/>
                <w:szCs w:val="12"/>
                <w:color w:val="auto"/>
              </w:rPr>
            </w:pPr>
          </w:p>
        </w:tc>
        <w:tc>
          <w:tcPr>
            <w:tcW w:w="80" w:type="dxa"/>
            <w:vAlign w:val="bottom"/>
            <w:tcBorders>
              <w:bottom w:val="single" w:sz="8" w:color="DBDBDB"/>
            </w:tcBorders>
            <w:shd w:val="clear" w:color="auto" w:fill="DBDBDB"/>
          </w:tcPr>
          <w:p>
            <w:pPr>
              <w:spacing w:after="0"/>
              <w:rPr>
                <w:sz w:val="12"/>
                <w:szCs w:val="12"/>
                <w:color w:val="auto"/>
              </w:rPr>
            </w:pPr>
          </w:p>
        </w:tc>
        <w:tc>
          <w:tcPr>
            <w:tcW w:w="360" w:type="dxa"/>
            <w:vAlign w:val="bottom"/>
            <w:tcBorders>
              <w:bottom w:val="single" w:sz="8" w:color="DBDBDB"/>
            </w:tcBorders>
            <w:shd w:val="clear" w:color="auto" w:fill="DBDBDB"/>
          </w:tcPr>
          <w:p>
            <w:pPr>
              <w:spacing w:after="0"/>
              <w:rPr>
                <w:sz w:val="12"/>
                <w:szCs w:val="12"/>
                <w:color w:val="auto"/>
              </w:rPr>
            </w:pPr>
          </w:p>
        </w:tc>
        <w:tc>
          <w:tcPr>
            <w:tcW w:w="40" w:type="dxa"/>
            <w:vAlign w:val="bottom"/>
            <w:tcBorders>
              <w:bottom w:val="single" w:sz="8" w:color="DBDBDB"/>
            </w:tcBorders>
            <w:shd w:val="clear" w:color="auto" w:fill="DBDBDB"/>
          </w:tcPr>
          <w:p>
            <w:pPr>
              <w:spacing w:after="0"/>
              <w:rPr>
                <w:sz w:val="12"/>
                <w:szCs w:val="12"/>
                <w:color w:val="auto"/>
              </w:rPr>
            </w:pPr>
          </w:p>
        </w:tc>
        <w:tc>
          <w:tcPr>
            <w:tcW w:w="80" w:type="dxa"/>
            <w:vAlign w:val="bottom"/>
            <w:tcBorders>
              <w:bottom w:val="single" w:sz="8" w:color="DBDBDB"/>
            </w:tcBorders>
            <w:shd w:val="clear" w:color="auto" w:fill="DBDBDB"/>
          </w:tcPr>
          <w:p>
            <w:pPr>
              <w:spacing w:after="0"/>
              <w:rPr>
                <w:sz w:val="12"/>
                <w:szCs w:val="12"/>
                <w:color w:val="auto"/>
              </w:rPr>
            </w:pPr>
          </w:p>
        </w:tc>
        <w:tc>
          <w:tcPr>
            <w:tcW w:w="340" w:type="dxa"/>
            <w:vAlign w:val="bottom"/>
            <w:tcBorders>
              <w:bottom w:val="single" w:sz="8" w:color="DBDBDB"/>
            </w:tcBorders>
            <w:shd w:val="clear" w:color="auto" w:fill="DBDBDB"/>
          </w:tcPr>
          <w:p>
            <w:pPr>
              <w:spacing w:after="0"/>
              <w:rPr>
                <w:sz w:val="12"/>
                <w:szCs w:val="12"/>
                <w:color w:val="auto"/>
              </w:rPr>
            </w:pPr>
          </w:p>
        </w:tc>
        <w:tc>
          <w:tcPr>
            <w:tcW w:w="20" w:type="dxa"/>
            <w:vAlign w:val="bottom"/>
            <w:tcBorders>
              <w:bottom w:val="single" w:sz="8" w:color="DBDBDB"/>
            </w:tcBorders>
            <w:shd w:val="clear" w:color="auto" w:fill="DBDBDB"/>
          </w:tcPr>
          <w:p>
            <w:pPr>
              <w:spacing w:after="0"/>
              <w:rPr>
                <w:sz w:val="12"/>
                <w:szCs w:val="12"/>
                <w:color w:val="auto"/>
              </w:rPr>
            </w:pPr>
          </w:p>
        </w:tc>
        <w:tc>
          <w:tcPr>
            <w:tcW w:w="80" w:type="dxa"/>
            <w:vAlign w:val="bottom"/>
            <w:tcBorders>
              <w:bottom w:val="single" w:sz="8" w:color="DBDBDB"/>
            </w:tcBorders>
            <w:shd w:val="clear" w:color="auto" w:fill="DBDBDB"/>
          </w:tcPr>
          <w:p>
            <w:pPr>
              <w:spacing w:after="0"/>
              <w:rPr>
                <w:sz w:val="12"/>
                <w:szCs w:val="12"/>
                <w:color w:val="auto"/>
              </w:rPr>
            </w:pPr>
          </w:p>
        </w:tc>
        <w:tc>
          <w:tcPr>
            <w:tcW w:w="2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spacing w:after="0"/>
              <w:rPr>
                <w:sz w:val="12"/>
                <w:szCs w:val="12"/>
                <w:color w:val="auto"/>
              </w:rPr>
            </w:pPr>
          </w:p>
        </w:tc>
        <w:tc>
          <w:tcPr>
            <w:tcW w:w="80" w:type="dxa"/>
            <w:vAlign w:val="bottom"/>
            <w:tcBorders>
              <w:bottom w:val="single" w:sz="8" w:color="DBDBDB"/>
            </w:tcBorders>
            <w:shd w:val="clear" w:color="auto" w:fill="DBDBDB"/>
          </w:tcPr>
          <w:p>
            <w:pPr>
              <w:spacing w:after="0"/>
              <w:rPr>
                <w:sz w:val="12"/>
                <w:szCs w:val="12"/>
                <w:color w:val="auto"/>
              </w:rPr>
            </w:pPr>
          </w:p>
        </w:tc>
        <w:tc>
          <w:tcPr>
            <w:tcW w:w="20" w:type="dxa"/>
            <w:vAlign w:val="bottom"/>
            <w:tcBorders>
              <w:bottom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780" w:type="dxa"/>
            <w:vAlign w:val="bottom"/>
            <w:gridSpan w:val="6"/>
          </w:tcPr>
          <w:p>
            <w:pPr>
              <w:spacing w:after="0"/>
              <w:rPr>
                <w:sz w:val="20"/>
                <w:szCs w:val="20"/>
                <w:color w:val="auto"/>
              </w:rPr>
            </w:pPr>
            <w:r>
              <w:rPr>
                <w:rFonts w:ascii="Arial" w:cs="Arial" w:eastAsia="Arial" w:hAnsi="Arial"/>
                <w:sz w:val="12"/>
                <w:szCs w:val="12"/>
                <w:b w:val="1"/>
                <w:bCs w:val="1"/>
                <w:i w:val="1"/>
                <w:iCs w:val="1"/>
                <w:color w:val="003366"/>
              </w:rPr>
              <w:t>Same store financial/operating results related to the segment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80" w:type="dxa"/>
            <w:vAlign w:val="bottom"/>
          </w:tcPr>
          <w:p>
            <w:pPr>
              <w:spacing w:after="0"/>
              <w:rPr>
                <w:sz w:val="12"/>
                <w:szCs w:val="12"/>
                <w:color w:val="auto"/>
              </w:rPr>
            </w:pPr>
          </w:p>
        </w:tc>
        <w:tc>
          <w:tcPr>
            <w:tcW w:w="1700" w:type="dxa"/>
            <w:vAlign w:val="bottom"/>
            <w:gridSpan w:val="5"/>
          </w:tcPr>
          <w:p>
            <w:pPr>
              <w:ind w:left="460"/>
              <w:spacing w:after="0" w:line="147" w:lineRule="exact"/>
              <w:rPr>
                <w:sz w:val="20"/>
                <w:szCs w:val="20"/>
                <w:color w:val="auto"/>
              </w:rPr>
            </w:pPr>
            <w:r>
              <w:rPr>
                <w:rFonts w:ascii="Arial" w:cs="Arial" w:eastAsia="Arial" w:hAnsi="Arial"/>
                <w:sz w:val="11"/>
                <w:szCs w:val="11"/>
                <w:b w:val="1"/>
                <w:bCs w:val="1"/>
                <w:color w:val="auto"/>
              </w:rPr>
              <w:t>% Occupied</w:t>
            </w:r>
            <w:r>
              <w:rPr>
                <w:rFonts w:ascii="Arial" w:cs="Arial" w:eastAsia="Arial" w:hAnsi="Arial"/>
                <w:sz w:val="14"/>
                <w:szCs w:val="14"/>
                <w:b w:val="1"/>
                <w:bCs w:val="1"/>
                <w:color w:val="auto"/>
                <w:vertAlign w:val="superscript"/>
              </w:rPr>
              <w:t>(2)</w:t>
            </w:r>
          </w:p>
        </w:tc>
        <w:tc>
          <w:tcPr>
            <w:tcW w:w="1400" w:type="dxa"/>
            <w:vAlign w:val="bottom"/>
            <w:gridSpan w:val="5"/>
          </w:tcPr>
          <w:p>
            <w:pPr>
              <w:jc w:val="right"/>
              <w:spacing w:after="0" w:line="147" w:lineRule="exact"/>
              <w:rPr>
                <w:sz w:val="20"/>
                <w:szCs w:val="20"/>
                <w:color w:val="auto"/>
              </w:rPr>
            </w:pPr>
            <w:r>
              <w:rPr>
                <w:rFonts w:ascii="Arial" w:cs="Arial" w:eastAsia="Arial" w:hAnsi="Arial"/>
                <w:sz w:val="11"/>
                <w:szCs w:val="11"/>
                <w:b w:val="1"/>
                <w:bCs w:val="1"/>
                <w:color w:val="auto"/>
              </w:rPr>
              <w:t>TTM Lease Coverage</w:t>
            </w:r>
            <w:r>
              <w:rPr>
                <w:rFonts w:ascii="Arial" w:cs="Arial" w:eastAsia="Arial" w:hAnsi="Arial"/>
                <w:sz w:val="14"/>
                <w:szCs w:val="14"/>
                <w:b w:val="1"/>
                <w:bCs w:val="1"/>
                <w:color w:val="auto"/>
                <w:vertAlign w:val="superscript"/>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5"/>
          </w:tcPr>
          <w:p>
            <w:pPr>
              <w:ind w:left="20"/>
              <w:spacing w:after="0"/>
              <w:rPr>
                <w:sz w:val="20"/>
                <w:szCs w:val="20"/>
                <w:color w:val="auto"/>
              </w:rPr>
            </w:pPr>
            <w:r>
              <w:rPr>
                <w:rFonts w:ascii="Arial" w:cs="Arial" w:eastAsia="Arial" w:hAnsi="Arial"/>
                <w:sz w:val="11"/>
                <w:szCs w:val="11"/>
                <w:b w:val="1"/>
                <w:bCs w:val="1"/>
                <w:color w:val="auto"/>
              </w:rPr>
              <w:t>NOI</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DBDBDB"/>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1"/>
                <w:szCs w:val="11"/>
                <w:b w:val="1"/>
                <w:bCs w:val="1"/>
                <w:color w:val="auto"/>
              </w:rPr>
              <w:t>Q1 2021</w:t>
            </w:r>
          </w:p>
        </w:tc>
        <w:tc>
          <w:tcPr>
            <w:tcW w:w="100" w:type="dxa"/>
            <w:vAlign w:val="bottom"/>
            <w:tcBorders>
              <w:top w:val="single" w:sz="8" w:color="auto"/>
              <w:bottom w:val="single" w:sz="8" w:color="DBDBDB"/>
            </w:tcBorders>
          </w:tcPr>
          <w:p>
            <w:pPr>
              <w:spacing w:after="0"/>
              <w:rPr>
                <w:sz w:val="11"/>
                <w:szCs w:val="11"/>
                <w:color w:val="auto"/>
              </w:rPr>
            </w:pPr>
          </w:p>
        </w:tc>
        <w:tc>
          <w:tcPr>
            <w:tcW w:w="740" w:type="dxa"/>
            <w:vAlign w:val="bottom"/>
            <w:tcBorders>
              <w:top w:val="single" w:sz="8" w:color="auto"/>
              <w:bottom w:val="single" w:sz="8" w:color="auto"/>
            </w:tcBorders>
            <w:gridSpan w:val="2"/>
          </w:tcPr>
          <w:p>
            <w:pPr>
              <w:jc w:val="right"/>
              <w:ind w:right="105"/>
              <w:spacing w:after="0"/>
              <w:rPr>
                <w:sz w:val="20"/>
                <w:szCs w:val="20"/>
                <w:color w:val="auto"/>
              </w:rPr>
            </w:pPr>
            <w:r>
              <w:rPr>
                <w:rFonts w:ascii="Arial" w:cs="Arial" w:eastAsia="Arial" w:hAnsi="Arial"/>
                <w:sz w:val="11"/>
                <w:szCs w:val="11"/>
                <w:b w:val="1"/>
                <w:bCs w:val="1"/>
                <w:color w:val="auto"/>
              </w:rPr>
              <w:t>Q1 2020</w:t>
            </w:r>
          </w:p>
        </w:tc>
        <w:tc>
          <w:tcPr>
            <w:tcW w:w="100" w:type="dxa"/>
            <w:vAlign w:val="bottom"/>
            <w:tcBorders>
              <w:bottom w:val="single" w:sz="8" w:color="DBDBDB"/>
            </w:tcBorders>
          </w:tcPr>
          <w:p>
            <w:pPr>
              <w:spacing w:after="0"/>
              <w:rPr>
                <w:sz w:val="11"/>
                <w:szCs w:val="11"/>
                <w:color w:val="auto"/>
              </w:rPr>
            </w:pPr>
          </w:p>
        </w:tc>
        <w:tc>
          <w:tcPr>
            <w:tcW w:w="720" w:type="dxa"/>
            <w:vAlign w:val="bottom"/>
            <w:tcBorders>
              <w:top w:val="single" w:sz="8" w:color="auto"/>
              <w:bottom w:val="single" w:sz="8" w:color="auto"/>
            </w:tcBorders>
            <w:gridSpan w:val="3"/>
          </w:tcPr>
          <w:p>
            <w:pPr>
              <w:jc w:val="right"/>
              <w:ind w:right="41"/>
              <w:spacing w:after="0"/>
              <w:rPr>
                <w:sz w:val="20"/>
                <w:szCs w:val="20"/>
                <w:color w:val="auto"/>
              </w:rPr>
            </w:pPr>
            <w:r>
              <w:rPr>
                <w:rFonts w:ascii="Arial" w:cs="Arial" w:eastAsia="Arial" w:hAnsi="Arial"/>
                <w:sz w:val="11"/>
                <w:szCs w:val="11"/>
                <w:b w:val="1"/>
                <w:bCs w:val="1"/>
                <w:color w:val="auto"/>
              </w:rPr>
              <w:t>12/31/2020</w:t>
            </w:r>
          </w:p>
        </w:tc>
        <w:tc>
          <w:tcPr>
            <w:tcW w:w="100" w:type="dxa"/>
            <w:vAlign w:val="bottom"/>
            <w:tcBorders>
              <w:top w:val="single" w:sz="8" w:color="auto"/>
              <w:bottom w:val="single" w:sz="8" w:color="DBDBDB"/>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12/31/2019</w:t>
            </w: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DBDBDB"/>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rPr>
              <w:t>Q1 2021</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DBDBDB"/>
            </w:tcBorders>
          </w:tcPr>
          <w:p>
            <w:pPr>
              <w:spacing w:after="0"/>
              <w:rPr>
                <w:sz w:val="11"/>
                <w:szCs w:val="11"/>
                <w:color w:val="auto"/>
              </w:rPr>
            </w:pPr>
          </w:p>
        </w:tc>
        <w:tc>
          <w:tcPr>
            <w:tcW w:w="840" w:type="dxa"/>
            <w:vAlign w:val="bottom"/>
            <w:tcBorders>
              <w:top w:val="single" w:sz="8" w:color="auto"/>
              <w:bottom w:val="single" w:sz="8" w:color="auto"/>
            </w:tcBorders>
            <w:gridSpan w:val="5"/>
          </w:tcPr>
          <w:p>
            <w:pPr>
              <w:jc w:val="right"/>
              <w:ind w:right="220"/>
              <w:spacing w:after="0"/>
              <w:rPr>
                <w:sz w:val="20"/>
                <w:szCs w:val="20"/>
                <w:color w:val="auto"/>
              </w:rPr>
            </w:pPr>
            <w:r>
              <w:rPr>
                <w:rFonts w:ascii="Arial" w:cs="Arial" w:eastAsia="Arial" w:hAnsi="Arial"/>
                <w:sz w:val="11"/>
                <w:szCs w:val="11"/>
                <w:b w:val="1"/>
                <w:bCs w:val="1"/>
                <w:color w:val="auto"/>
              </w:rPr>
              <w:t>Q1 2020</w:t>
            </w:r>
          </w:p>
        </w:tc>
        <w:tc>
          <w:tcPr>
            <w:tcW w:w="80" w:type="dxa"/>
            <w:vAlign w:val="bottom"/>
            <w:tcBorders>
              <w:top w:val="single" w:sz="8" w:color="auto"/>
              <w:bottom w:val="single" w:sz="8" w:color="DBDBDB"/>
            </w:tcBorders>
          </w:tcPr>
          <w:p>
            <w:pPr>
              <w:spacing w:after="0"/>
              <w:rPr>
                <w:sz w:val="11"/>
                <w:szCs w:val="11"/>
                <w:color w:val="auto"/>
              </w:rPr>
            </w:pPr>
          </w:p>
        </w:tc>
        <w:tc>
          <w:tcPr>
            <w:tcW w:w="20" w:type="dxa"/>
            <w:vAlign w:val="bottom"/>
            <w:tcBorders>
              <w:top w:val="single" w:sz="8" w:color="auto"/>
              <w:bottom w:val="single" w:sz="8" w:color="DBDBDB"/>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DBDBDB"/>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80" w:type="dxa"/>
            <w:vAlign w:val="bottom"/>
            <w:shd w:val="clear" w:color="auto" w:fill="DBDBDB"/>
          </w:tcPr>
          <w:p>
            <w:pPr>
              <w:spacing w:after="0"/>
              <w:rPr>
                <w:sz w:val="20"/>
                <w:szCs w:val="20"/>
                <w:color w:val="auto"/>
              </w:rPr>
            </w:pPr>
            <w:r>
              <w:rPr>
                <w:rFonts w:ascii="Arial" w:cs="Arial" w:eastAsia="Arial" w:hAnsi="Arial"/>
                <w:sz w:val="12"/>
                <w:szCs w:val="12"/>
                <w:color w:val="auto"/>
              </w:rPr>
              <w:t>Senior Housing - Operating</w:t>
            </w: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69.4 %</w:t>
            </w:r>
          </w:p>
        </w:tc>
        <w:tc>
          <w:tcPr>
            <w:tcW w:w="100" w:type="dxa"/>
            <w:vAlign w:val="bottom"/>
            <w:shd w:val="clear" w:color="auto" w:fill="DBDBDB"/>
          </w:tcPr>
          <w:p>
            <w:pPr>
              <w:spacing w:after="0"/>
              <w:rPr>
                <w:sz w:val="12"/>
                <w:szCs w:val="12"/>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81.4 %</w:t>
            </w:r>
          </w:p>
        </w:tc>
        <w:tc>
          <w:tcPr>
            <w:tcW w:w="10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N/A</w:t>
            </w:r>
          </w:p>
        </w:tc>
        <w:tc>
          <w:tcPr>
            <w:tcW w:w="10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300" w:type="dxa"/>
            <w:vAlign w:val="bottom"/>
            <w:gridSpan w:val="3"/>
            <w:shd w:val="clear" w:color="auto" w:fill="DBDBDB"/>
          </w:tcPr>
          <w:p>
            <w:pPr>
              <w:jc w:val="right"/>
              <w:ind w:right="100"/>
              <w:spacing w:after="0"/>
              <w:rPr>
                <w:sz w:val="20"/>
                <w:szCs w:val="20"/>
                <w:color w:val="auto"/>
              </w:rPr>
            </w:pPr>
            <w:r>
              <w:rPr>
                <w:rFonts w:ascii="Arial" w:cs="Arial" w:eastAsia="Arial" w:hAnsi="Arial"/>
                <w:sz w:val="12"/>
                <w:szCs w:val="12"/>
                <w:color w:val="auto"/>
                <w:w w:val="89"/>
              </w:rPr>
              <w:t>N/A</w:t>
            </w:r>
          </w:p>
        </w:tc>
        <w:tc>
          <w:tcPr>
            <w:tcW w:w="8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8,708</w:t>
            </w:r>
          </w:p>
        </w:tc>
        <w:tc>
          <w:tcPr>
            <w:tcW w:w="500" w:type="dxa"/>
            <w:vAlign w:val="bottom"/>
            <w:gridSpan w:val="3"/>
            <w:shd w:val="clear" w:color="auto" w:fill="DBDBDB"/>
          </w:tcPr>
          <w:p>
            <w:pPr>
              <w:jc w:val="right"/>
              <w:ind w:right="224"/>
              <w:spacing w:after="0"/>
              <w:rPr>
                <w:sz w:val="20"/>
                <w:szCs w:val="20"/>
                <w:color w:val="auto"/>
              </w:rPr>
            </w:pPr>
            <w:r>
              <w:rPr>
                <w:rFonts w:ascii="Arial" w:cs="Arial" w:eastAsia="Arial" w:hAnsi="Arial"/>
                <w:sz w:val="12"/>
                <w:szCs w:val="12"/>
                <w:color w:val="auto"/>
              </w:rPr>
              <w:t>$</w:t>
            </w:r>
          </w:p>
        </w:tc>
        <w:tc>
          <w:tcPr>
            <w:tcW w:w="460" w:type="dxa"/>
            <w:vAlign w:val="bottom"/>
            <w:gridSpan w:val="3"/>
            <w:shd w:val="clear" w:color="auto" w:fill="DBDBDB"/>
          </w:tcPr>
          <w:p>
            <w:pPr>
              <w:jc w:val="right"/>
              <w:spacing w:after="0"/>
              <w:rPr>
                <w:sz w:val="20"/>
                <w:szCs w:val="20"/>
                <w:color w:val="auto"/>
              </w:rPr>
            </w:pPr>
            <w:r>
              <w:rPr>
                <w:rFonts w:ascii="Arial" w:cs="Arial" w:eastAsia="Arial" w:hAnsi="Arial"/>
                <w:sz w:val="12"/>
                <w:szCs w:val="12"/>
                <w:color w:val="auto"/>
              </w:rPr>
              <w:t>14,154</w:t>
            </w: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(38.5)%</w:t>
            </w:r>
          </w:p>
        </w:tc>
        <w:tc>
          <w:tcPr>
            <w:tcW w:w="80" w:type="dxa"/>
            <w:vAlign w:val="bottom"/>
            <w:shd w:val="clear" w:color="auto" w:fill="DBDBDB"/>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80" w:type="dxa"/>
            <w:vAlign w:val="bottom"/>
          </w:tcPr>
          <w:p>
            <w:pPr>
              <w:spacing w:after="0"/>
              <w:rPr>
                <w:sz w:val="20"/>
                <w:szCs w:val="20"/>
                <w:color w:val="auto"/>
              </w:rPr>
            </w:pPr>
            <w:r>
              <w:rPr>
                <w:rFonts w:ascii="Arial" w:cs="Arial" w:eastAsia="Arial" w:hAnsi="Arial"/>
                <w:sz w:val="12"/>
                <w:szCs w:val="12"/>
                <w:color w:val="auto"/>
              </w:rPr>
              <w:t>Medical Office Buildings</w:t>
            </w:r>
          </w:p>
        </w:tc>
        <w:tc>
          <w:tcPr>
            <w:tcW w:w="760" w:type="dxa"/>
            <w:vAlign w:val="bottom"/>
          </w:tcPr>
          <w:p>
            <w:pPr>
              <w:jc w:val="right"/>
              <w:spacing w:after="0"/>
              <w:rPr>
                <w:sz w:val="20"/>
                <w:szCs w:val="20"/>
                <w:color w:val="auto"/>
              </w:rPr>
            </w:pPr>
            <w:r>
              <w:rPr>
                <w:rFonts w:ascii="Arial" w:cs="Arial" w:eastAsia="Arial" w:hAnsi="Arial"/>
                <w:sz w:val="12"/>
                <w:szCs w:val="12"/>
                <w:color w:val="auto"/>
              </w:rPr>
              <w:t>82.6 %</w:t>
            </w: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82.2 %</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2"/>
                <w:szCs w:val="12"/>
                <w:color w:val="auto"/>
                <w:w w:val="89"/>
              </w:rPr>
              <w:t>N/A</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13,511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3"/>
          </w:tcPr>
          <w:p>
            <w:pPr>
              <w:jc w:val="right"/>
              <w:spacing w:after="0"/>
              <w:rPr>
                <w:sz w:val="20"/>
                <w:szCs w:val="20"/>
                <w:color w:val="auto"/>
              </w:rPr>
            </w:pPr>
            <w:r>
              <w:rPr>
                <w:rFonts w:ascii="Arial" w:cs="Arial" w:eastAsia="Arial" w:hAnsi="Arial"/>
                <w:sz w:val="12"/>
                <w:szCs w:val="12"/>
                <w:color w:val="auto"/>
              </w:rPr>
              <w:t>12,991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4.0 %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80" w:type="dxa"/>
            <w:vAlign w:val="bottom"/>
            <w:shd w:val="clear" w:color="auto" w:fill="DBDBDB"/>
          </w:tcPr>
          <w:p>
            <w:pPr>
              <w:spacing w:after="0"/>
              <w:rPr>
                <w:sz w:val="20"/>
                <w:szCs w:val="20"/>
                <w:color w:val="auto"/>
              </w:rPr>
            </w:pPr>
            <w:r>
              <w:rPr>
                <w:rFonts w:ascii="Arial" w:cs="Arial" w:eastAsia="Arial" w:hAnsi="Arial"/>
                <w:sz w:val="12"/>
                <w:szCs w:val="12"/>
                <w:i w:val="1"/>
                <w:iCs w:val="1"/>
                <w:color w:val="auto"/>
              </w:rPr>
              <w:t>Triple-Net Lease:</w:t>
            </w:r>
          </w:p>
        </w:tc>
        <w:tc>
          <w:tcPr>
            <w:tcW w:w="7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80" w:type="dxa"/>
            <w:vAlign w:val="bottom"/>
          </w:tcPr>
          <w:p>
            <w:pPr>
              <w:spacing w:after="0"/>
              <w:rPr>
                <w:sz w:val="20"/>
                <w:szCs w:val="20"/>
                <w:color w:val="auto"/>
              </w:rPr>
            </w:pPr>
            <w:r>
              <w:rPr>
                <w:rFonts w:ascii="Arial" w:cs="Arial" w:eastAsia="Arial" w:hAnsi="Arial"/>
                <w:sz w:val="12"/>
                <w:szCs w:val="12"/>
                <w:color w:val="auto"/>
              </w:rPr>
              <w:t>Senior Housing</w:t>
            </w:r>
          </w:p>
        </w:tc>
        <w:tc>
          <w:tcPr>
            <w:tcW w:w="760" w:type="dxa"/>
            <w:vAlign w:val="bottom"/>
          </w:tcPr>
          <w:p>
            <w:pPr>
              <w:jc w:val="right"/>
              <w:spacing w:after="0"/>
              <w:rPr>
                <w:sz w:val="20"/>
                <w:szCs w:val="20"/>
                <w:color w:val="auto"/>
              </w:rPr>
            </w:pPr>
            <w:r>
              <w:rPr>
                <w:rFonts w:ascii="Arial" w:cs="Arial" w:eastAsia="Arial" w:hAnsi="Arial"/>
                <w:sz w:val="12"/>
                <w:szCs w:val="12"/>
                <w:color w:val="auto"/>
              </w:rPr>
              <w:t>70.8 %</w:t>
            </w: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84.5 %</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6"/>
              </w:rPr>
              <w:t>0.9x</w:t>
            </w:r>
          </w:p>
        </w:tc>
        <w:tc>
          <w:tcPr>
            <w:tcW w:w="100" w:type="dxa"/>
            <w:vAlign w:val="bottom"/>
          </w:tcPr>
          <w:p>
            <w:pPr>
              <w:spacing w:after="0"/>
              <w:rPr>
                <w:sz w:val="13"/>
                <w:szCs w:val="13"/>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2"/>
                <w:szCs w:val="12"/>
                <w:color w:val="auto"/>
              </w:rPr>
              <w:t>1.4x</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14,060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3"/>
          </w:tcPr>
          <w:p>
            <w:pPr>
              <w:jc w:val="right"/>
              <w:spacing w:after="0"/>
              <w:rPr>
                <w:sz w:val="20"/>
                <w:szCs w:val="20"/>
                <w:color w:val="auto"/>
              </w:rPr>
            </w:pPr>
            <w:r>
              <w:rPr>
                <w:rFonts w:ascii="Arial" w:cs="Arial" w:eastAsia="Arial" w:hAnsi="Arial"/>
                <w:sz w:val="12"/>
                <w:szCs w:val="12"/>
                <w:color w:val="auto"/>
              </w:rPr>
              <w:t>13,036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7.9 %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80" w:type="dxa"/>
            <w:vAlign w:val="bottom"/>
            <w:shd w:val="clear" w:color="auto" w:fill="DBDBDB"/>
          </w:tcPr>
          <w:p>
            <w:pPr>
              <w:spacing w:after="0"/>
              <w:rPr>
                <w:sz w:val="20"/>
                <w:szCs w:val="20"/>
                <w:color w:val="auto"/>
              </w:rPr>
            </w:pPr>
            <w:r>
              <w:rPr>
                <w:rFonts w:ascii="Arial" w:cs="Arial" w:eastAsia="Arial" w:hAnsi="Arial"/>
                <w:sz w:val="12"/>
                <w:szCs w:val="12"/>
                <w:color w:val="auto"/>
              </w:rPr>
              <w:t>Skilled Nursing Facilities</w:t>
            </w: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68.2 %</w:t>
            </w:r>
          </w:p>
        </w:tc>
        <w:tc>
          <w:tcPr>
            <w:tcW w:w="100" w:type="dxa"/>
            <w:vAlign w:val="bottom"/>
            <w:shd w:val="clear" w:color="auto" w:fill="DBDBDB"/>
          </w:tcPr>
          <w:p>
            <w:pPr>
              <w:spacing w:after="0"/>
              <w:rPr>
                <w:sz w:val="13"/>
                <w:szCs w:val="13"/>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82.5 %</w:t>
            </w: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2"/>
                <w:szCs w:val="12"/>
                <w:color w:val="auto"/>
                <w:w w:val="96"/>
              </w:rPr>
              <w:t>1.2x</w:t>
            </w:r>
          </w:p>
        </w:tc>
        <w:tc>
          <w:tcPr>
            <w:tcW w:w="100" w:type="dxa"/>
            <w:vAlign w:val="bottom"/>
            <w:shd w:val="clear" w:color="auto" w:fill="DBDBDB"/>
          </w:tcPr>
          <w:p>
            <w:pPr>
              <w:spacing w:after="0"/>
              <w:rPr>
                <w:sz w:val="13"/>
                <w:szCs w:val="13"/>
                <w:color w:val="auto"/>
              </w:rPr>
            </w:pPr>
          </w:p>
        </w:tc>
        <w:tc>
          <w:tcPr>
            <w:tcW w:w="880" w:type="dxa"/>
            <w:vAlign w:val="bottom"/>
            <w:gridSpan w:val="4"/>
            <w:shd w:val="clear" w:color="auto" w:fill="DBDBDB"/>
          </w:tcPr>
          <w:p>
            <w:pPr>
              <w:jc w:val="right"/>
              <w:ind w:right="100"/>
              <w:spacing w:after="0"/>
              <w:rPr>
                <w:sz w:val="20"/>
                <w:szCs w:val="20"/>
                <w:color w:val="auto"/>
              </w:rPr>
            </w:pPr>
            <w:r>
              <w:rPr>
                <w:rFonts w:ascii="Arial" w:cs="Arial" w:eastAsia="Arial" w:hAnsi="Arial"/>
                <w:sz w:val="12"/>
                <w:szCs w:val="12"/>
                <w:color w:val="auto"/>
              </w:rPr>
              <w:t>1.2x</w:t>
            </w:r>
          </w:p>
        </w:tc>
        <w:tc>
          <w:tcPr>
            <w:tcW w:w="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66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22,045</w:t>
            </w:r>
          </w:p>
        </w:tc>
        <w:tc>
          <w:tcPr>
            <w:tcW w:w="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460" w:type="dxa"/>
            <w:vAlign w:val="bottom"/>
            <w:gridSpan w:val="3"/>
            <w:shd w:val="clear" w:color="auto" w:fill="DBDBDB"/>
          </w:tcPr>
          <w:p>
            <w:pPr>
              <w:jc w:val="right"/>
              <w:spacing w:after="0"/>
              <w:rPr>
                <w:sz w:val="20"/>
                <w:szCs w:val="20"/>
                <w:color w:val="auto"/>
              </w:rPr>
            </w:pPr>
            <w:r>
              <w:rPr>
                <w:rFonts w:ascii="Arial" w:cs="Arial" w:eastAsia="Arial" w:hAnsi="Arial"/>
                <w:sz w:val="12"/>
                <w:szCs w:val="12"/>
                <w:color w:val="auto"/>
              </w:rPr>
              <w:t>21,850</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0.9 %</w:t>
            </w:r>
          </w:p>
        </w:tc>
        <w:tc>
          <w:tcPr>
            <w:tcW w:w="80" w:type="dxa"/>
            <w:vAlign w:val="bottom"/>
            <w:shd w:val="clear" w:color="auto" w:fill="DBDB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80" w:type="dxa"/>
            <w:vAlign w:val="bottom"/>
          </w:tcPr>
          <w:p>
            <w:pPr>
              <w:spacing w:after="0"/>
              <w:rPr>
                <w:sz w:val="20"/>
                <w:szCs w:val="20"/>
                <w:color w:val="auto"/>
              </w:rPr>
            </w:pPr>
            <w:r>
              <w:rPr>
                <w:rFonts w:ascii="Arial" w:cs="Arial" w:eastAsia="Arial" w:hAnsi="Arial"/>
                <w:sz w:val="12"/>
                <w:szCs w:val="12"/>
                <w:color w:val="auto"/>
              </w:rPr>
              <w:t>Hospitals</w:t>
            </w:r>
          </w:p>
        </w:tc>
        <w:tc>
          <w:tcPr>
            <w:tcW w:w="760" w:type="dxa"/>
            <w:vAlign w:val="bottom"/>
          </w:tcPr>
          <w:p>
            <w:pPr>
              <w:jc w:val="right"/>
              <w:spacing w:after="0"/>
              <w:rPr>
                <w:sz w:val="20"/>
                <w:szCs w:val="20"/>
                <w:color w:val="auto"/>
              </w:rPr>
            </w:pPr>
            <w:r>
              <w:rPr>
                <w:rFonts w:ascii="Arial" w:cs="Arial" w:eastAsia="Arial" w:hAnsi="Arial"/>
                <w:sz w:val="12"/>
                <w:szCs w:val="12"/>
                <w:color w:val="auto"/>
              </w:rPr>
              <w:t>62.8 %</w:t>
            </w: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59.2 %</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6"/>
              </w:rPr>
              <w:t>4.0x</w:t>
            </w:r>
          </w:p>
        </w:tc>
        <w:tc>
          <w:tcPr>
            <w:tcW w:w="100" w:type="dxa"/>
            <w:vAlign w:val="bottom"/>
          </w:tcPr>
          <w:p>
            <w:pPr>
              <w:spacing w:after="0"/>
              <w:rPr>
                <w:sz w:val="13"/>
                <w:szCs w:val="13"/>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2"/>
                <w:szCs w:val="12"/>
                <w:color w:val="auto"/>
              </w:rPr>
              <w:t>1.9x</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3,263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3"/>
          </w:tcPr>
          <w:p>
            <w:pPr>
              <w:jc w:val="right"/>
              <w:spacing w:after="0"/>
              <w:rPr>
                <w:sz w:val="20"/>
                <w:szCs w:val="20"/>
                <w:color w:val="auto"/>
              </w:rPr>
            </w:pPr>
            <w:r>
              <w:rPr>
                <w:rFonts w:ascii="Arial" w:cs="Arial" w:eastAsia="Arial" w:hAnsi="Arial"/>
                <w:sz w:val="12"/>
                <w:szCs w:val="12"/>
                <w:color w:val="auto"/>
              </w:rPr>
              <w:t>1,952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67.2 %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80" w:type="dxa"/>
            <w:vAlign w:val="bottom"/>
            <w:tcBorders>
              <w:top w:val="single" w:sz="8" w:color="DBDBDB"/>
              <w:bottom w:val="single" w:sz="8" w:color="DBDBDB"/>
            </w:tcBorders>
            <w:shd w:val="clear" w:color="auto" w:fill="DBDBDB"/>
          </w:tcPr>
          <w:p>
            <w:pPr>
              <w:ind w:left="140"/>
              <w:spacing w:after="0"/>
              <w:rPr>
                <w:sz w:val="20"/>
                <w:szCs w:val="20"/>
                <w:color w:val="auto"/>
              </w:rPr>
            </w:pPr>
            <w:r>
              <w:rPr>
                <w:rFonts w:ascii="Arial" w:cs="Arial" w:eastAsia="Arial" w:hAnsi="Arial"/>
                <w:sz w:val="12"/>
                <w:szCs w:val="12"/>
                <w:b w:val="1"/>
                <w:bCs w:val="1"/>
                <w:color w:val="auto"/>
              </w:rPr>
              <w:t>Total</w:t>
            </w:r>
          </w:p>
        </w:tc>
        <w:tc>
          <w:tcPr>
            <w:tcW w:w="760" w:type="dxa"/>
            <w:vAlign w:val="bottom"/>
            <w:tcBorders>
              <w:top w:val="single" w:sz="8" w:color="DBDBDB"/>
              <w:bottom w:val="single" w:sz="8" w:color="DBDBDB"/>
            </w:tcBorders>
            <w:shd w:val="clear" w:color="auto" w:fill="DBDBDB"/>
          </w:tcPr>
          <w:p>
            <w:pPr>
              <w:spacing w:after="0"/>
              <w:rPr>
                <w:sz w:val="13"/>
                <w:szCs w:val="13"/>
                <w:color w:val="auto"/>
              </w:rPr>
            </w:pP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340" w:type="dxa"/>
            <w:vAlign w:val="bottom"/>
            <w:tcBorders>
              <w:top w:val="single" w:sz="8" w:color="DBDBDB"/>
              <w:bottom w:val="single" w:sz="8" w:color="DBDBDB"/>
            </w:tcBorders>
            <w:shd w:val="clear" w:color="auto" w:fill="DBDBDB"/>
          </w:tcPr>
          <w:p>
            <w:pPr>
              <w:spacing w:after="0"/>
              <w:rPr>
                <w:sz w:val="13"/>
                <w:szCs w:val="13"/>
                <w:color w:val="auto"/>
              </w:rPr>
            </w:pPr>
          </w:p>
        </w:tc>
        <w:tc>
          <w:tcPr>
            <w:tcW w:w="400" w:type="dxa"/>
            <w:vAlign w:val="bottom"/>
            <w:tcBorders>
              <w:top w:val="single" w:sz="8" w:color="DBDBDB"/>
              <w:bottom w:val="single" w:sz="8" w:color="DBDBDB"/>
            </w:tcBorders>
            <w:shd w:val="clear" w:color="auto" w:fill="DBDBDB"/>
          </w:tcPr>
          <w:p>
            <w:pPr>
              <w:spacing w:after="0"/>
              <w:rPr>
                <w:sz w:val="13"/>
                <w:szCs w:val="13"/>
                <w:color w:val="auto"/>
              </w:rPr>
            </w:pP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360" w:type="dxa"/>
            <w:vAlign w:val="bottom"/>
            <w:tcBorders>
              <w:top w:val="single" w:sz="8" w:color="DBDBDB"/>
              <w:bottom w:val="single" w:sz="8" w:color="DBDBDB"/>
            </w:tcBorders>
            <w:shd w:val="clear" w:color="auto" w:fill="DBDBDB"/>
          </w:tcPr>
          <w:p>
            <w:pPr>
              <w:spacing w:after="0"/>
              <w:rPr>
                <w:sz w:val="13"/>
                <w:szCs w:val="13"/>
                <w:color w:val="auto"/>
              </w:rPr>
            </w:pP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260" w:type="dxa"/>
            <w:vAlign w:val="bottom"/>
            <w:tcBorders>
              <w:top w:val="single" w:sz="8" w:color="DBDBDB"/>
              <w:bottom w:val="single" w:sz="8" w:color="DBDBDB"/>
            </w:tcBorders>
            <w:shd w:val="clear" w:color="auto" w:fill="DBDBDB"/>
          </w:tcPr>
          <w:p>
            <w:pPr>
              <w:spacing w:after="0"/>
              <w:rPr>
                <w:sz w:val="13"/>
                <w:szCs w:val="13"/>
                <w:color w:val="auto"/>
              </w:rPr>
            </w:pP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580" w:type="dxa"/>
            <w:vAlign w:val="bottom"/>
            <w:tcBorders>
              <w:top w:val="single" w:sz="8" w:color="DBDBDB"/>
              <w:bottom w:val="single" w:sz="8" w:color="DBDBDB"/>
            </w:tcBorders>
            <w:shd w:val="clear" w:color="auto" w:fill="DBDBDB"/>
          </w:tcPr>
          <w:p>
            <w:pPr>
              <w:spacing w:after="0"/>
              <w:rPr>
                <w:sz w:val="13"/>
                <w:szCs w:val="13"/>
                <w:color w:val="auto"/>
              </w:rPr>
            </w:pP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80" w:type="dxa"/>
            <w:vAlign w:val="bottom"/>
            <w:tcBorders>
              <w:top w:val="single" w:sz="8" w:color="auto"/>
              <w:bottom w:val="single" w:sz="8" w:color="auto"/>
            </w:tcBorders>
            <w:gridSpan w:val="2"/>
            <w:shd w:val="clear" w:color="auto" w:fill="DBDBDB"/>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bottom w:val="single" w:sz="8" w:color="auto"/>
            </w:tcBorders>
            <w:gridSpan w:val="2"/>
            <w:shd w:val="clear" w:color="auto" w:fill="DBDBDB"/>
          </w:tcPr>
          <w:p>
            <w:pPr>
              <w:jc w:val="right"/>
              <w:spacing w:after="0"/>
              <w:rPr>
                <w:sz w:val="20"/>
                <w:szCs w:val="20"/>
                <w:color w:val="auto"/>
              </w:rPr>
            </w:pPr>
            <w:r>
              <w:rPr>
                <w:rFonts w:ascii="Arial" w:cs="Arial" w:eastAsia="Arial" w:hAnsi="Arial"/>
                <w:sz w:val="12"/>
                <w:szCs w:val="12"/>
                <w:b w:val="1"/>
                <w:bCs w:val="1"/>
                <w:color w:val="auto"/>
              </w:rPr>
              <w:t>61,587</w:t>
            </w:r>
          </w:p>
        </w:tc>
        <w:tc>
          <w:tcPr>
            <w:tcW w:w="60" w:type="dxa"/>
            <w:vAlign w:val="bottom"/>
            <w:tcBorders>
              <w:top w:val="single" w:sz="8" w:color="auto"/>
              <w:bottom w:val="single" w:sz="8" w:color="auto"/>
            </w:tcBorders>
            <w:shd w:val="clear" w:color="auto" w:fill="DBDBDB"/>
          </w:tcPr>
          <w:p>
            <w:pPr>
              <w:spacing w:after="0"/>
              <w:rPr>
                <w:sz w:val="13"/>
                <w:szCs w:val="13"/>
                <w:color w:val="auto"/>
              </w:rPr>
            </w:pPr>
          </w:p>
        </w:tc>
        <w:tc>
          <w:tcPr>
            <w:tcW w:w="80" w:type="dxa"/>
            <w:vAlign w:val="bottom"/>
            <w:tcBorders>
              <w:top w:val="single" w:sz="8" w:color="DBDBDB"/>
              <w:bottom w:val="single" w:sz="8" w:color="DBDBDB"/>
            </w:tcBorders>
            <w:shd w:val="clear" w:color="auto" w:fill="DBDBDB"/>
          </w:tcPr>
          <w:p>
            <w:pPr>
              <w:spacing w:after="0"/>
              <w:rPr>
                <w:sz w:val="13"/>
                <w:szCs w:val="13"/>
                <w:color w:val="auto"/>
              </w:rPr>
            </w:pPr>
          </w:p>
        </w:tc>
        <w:tc>
          <w:tcPr>
            <w:tcW w:w="360" w:type="dxa"/>
            <w:vAlign w:val="bottom"/>
            <w:tcBorders>
              <w:top w:val="single" w:sz="8" w:color="auto"/>
              <w:bottom w:val="single" w:sz="8" w:color="auto"/>
            </w:tcBorders>
            <w:shd w:val="clear" w:color="auto" w:fill="DBDBDB"/>
          </w:tcPr>
          <w:p>
            <w:pPr>
              <w:jc w:val="right"/>
              <w:ind w:right="224"/>
              <w:spacing w:after="0"/>
              <w:rPr>
                <w:sz w:val="20"/>
                <w:szCs w:val="20"/>
                <w:color w:val="auto"/>
              </w:rPr>
            </w:pPr>
            <w:r>
              <w:rPr>
                <w:rFonts w:ascii="Arial" w:cs="Arial" w:eastAsia="Arial" w:hAnsi="Arial"/>
                <w:sz w:val="12"/>
                <w:szCs w:val="12"/>
                <w:b w:val="1"/>
                <w:bCs w:val="1"/>
                <w:color w:val="auto"/>
                <w:w w:val="89"/>
              </w:rPr>
              <w:t>$</w:t>
            </w:r>
          </w:p>
        </w:tc>
        <w:tc>
          <w:tcPr>
            <w:tcW w:w="460" w:type="dxa"/>
            <w:vAlign w:val="bottom"/>
            <w:tcBorders>
              <w:top w:val="single" w:sz="8" w:color="auto"/>
              <w:bottom w:val="single" w:sz="8" w:color="auto"/>
            </w:tcBorders>
            <w:gridSpan w:val="3"/>
            <w:shd w:val="clear" w:color="auto" w:fill="DBDBDB"/>
          </w:tcPr>
          <w:p>
            <w:pPr>
              <w:jc w:val="right"/>
              <w:spacing w:after="0"/>
              <w:rPr>
                <w:sz w:val="20"/>
                <w:szCs w:val="20"/>
                <w:color w:val="auto"/>
              </w:rPr>
            </w:pPr>
            <w:r>
              <w:rPr>
                <w:rFonts w:ascii="Arial" w:cs="Arial" w:eastAsia="Arial" w:hAnsi="Arial"/>
                <w:sz w:val="12"/>
                <w:szCs w:val="12"/>
                <w:b w:val="1"/>
                <w:bCs w:val="1"/>
                <w:color w:val="auto"/>
              </w:rPr>
              <w:t>63,983</w:t>
            </w:r>
          </w:p>
        </w:tc>
        <w:tc>
          <w:tcPr>
            <w:tcW w:w="20" w:type="dxa"/>
            <w:vAlign w:val="bottom"/>
            <w:tcBorders>
              <w:top w:val="single" w:sz="8" w:color="auto"/>
              <w:bottom w:val="single" w:sz="8" w:color="auto"/>
            </w:tcBorders>
            <w:shd w:val="clear" w:color="auto" w:fill="DBDBDB"/>
          </w:tcPr>
          <w:p>
            <w:pPr>
              <w:spacing w:after="0"/>
              <w:rPr>
                <w:sz w:val="13"/>
                <w:szCs w:val="13"/>
                <w:color w:val="auto"/>
              </w:rPr>
            </w:pPr>
          </w:p>
        </w:tc>
        <w:tc>
          <w:tcPr>
            <w:tcW w:w="8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(3.7)%</w:t>
            </w:r>
          </w:p>
        </w:tc>
        <w:tc>
          <w:tcPr>
            <w:tcW w:w="8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7" w:lineRule="exact"/>
        <w:rPr>
          <w:sz w:val="20"/>
          <w:szCs w:val="20"/>
          <w:color w:val="auto"/>
        </w:rPr>
      </w:pPr>
    </w:p>
    <w:p>
      <w:pPr>
        <w:ind w:left="208" w:right="80" w:hanging="208"/>
        <w:spacing w:after="0" w:line="258" w:lineRule="auto"/>
        <w:tabs>
          <w:tab w:leader="none" w:pos="188" w:val="left"/>
        </w:tabs>
        <w:numPr>
          <w:ilvl w:val="0"/>
          <w:numId w:val="27"/>
        </w:numPr>
        <w:rPr>
          <w:rFonts w:ascii="Arial" w:cs="Arial" w:eastAsia="Arial" w:hAnsi="Arial"/>
          <w:sz w:val="8"/>
          <w:szCs w:val="8"/>
          <w:color w:val="424242"/>
        </w:rPr>
      </w:pPr>
      <w:r>
        <w:rPr>
          <w:rFonts w:ascii="Arial" w:cs="Arial" w:eastAsia="Arial" w:hAnsi="Arial"/>
          <w:sz w:val="8"/>
          <w:szCs w:val="8"/>
          <w:color w:val="424242"/>
        </w:rPr>
        <w:t>NOI includes $0.8 million consolidated or $0.6 million CLNY OP share of interest earned related to $48 million consolidated or $34 million CLNY OP share carrying value of Wellness Infrastructure real estate loans. This interest income is in the Interest Income line item on the Company’s Statement of Operations. For a reconciliation of net income/(loss) attributable to common stockholders to NOI, please refer to the appendix to this presentation.</w:t>
      </w:r>
    </w:p>
    <w:p>
      <w:pPr>
        <w:ind w:left="188" w:hanging="188"/>
        <w:spacing w:after="0"/>
        <w:tabs>
          <w:tab w:leader="none" w:pos="188" w:val="left"/>
        </w:tabs>
        <w:numPr>
          <w:ilvl w:val="0"/>
          <w:numId w:val="27"/>
        </w:numPr>
        <w:rPr>
          <w:rFonts w:ascii="Arial" w:cs="Arial" w:eastAsia="Arial" w:hAnsi="Arial"/>
          <w:sz w:val="8"/>
          <w:szCs w:val="8"/>
          <w:color w:val="424242"/>
        </w:rPr>
      </w:pPr>
      <w:r>
        <w:rPr>
          <w:rFonts w:ascii="Arial" w:cs="Arial" w:eastAsia="Arial" w:hAnsi="Arial"/>
          <w:sz w:val="8"/>
          <w:szCs w:val="8"/>
          <w:color w:val="424242"/>
        </w:rPr>
        <w:t>Occupancy % for Senior Housing - Operating represents average of the presented quarter, MOB’s is as of last day in the quarter and Triple-Net Lease represents average of the prior quarter. Occupancy represents real estate property operator’s patient/resident occupancy for all types except MOB.</w:t>
      </w:r>
    </w:p>
    <w:p>
      <w:pPr>
        <w:spacing w:after="0" w:line="7" w:lineRule="exact"/>
        <w:rPr>
          <w:rFonts w:ascii="Arial" w:cs="Arial" w:eastAsia="Arial" w:hAnsi="Arial"/>
          <w:sz w:val="8"/>
          <w:szCs w:val="8"/>
          <w:color w:val="424242"/>
        </w:rPr>
      </w:pPr>
    </w:p>
    <w:p>
      <w:pPr>
        <w:ind w:left="208" w:right="320" w:hanging="208"/>
        <w:spacing w:after="0" w:line="279" w:lineRule="auto"/>
        <w:tabs>
          <w:tab w:leader="none" w:pos="188" w:val="left"/>
        </w:tabs>
        <w:numPr>
          <w:ilvl w:val="0"/>
          <w:numId w:val="27"/>
        </w:numPr>
        <w:rPr>
          <w:rFonts w:ascii="Arial" w:cs="Arial" w:eastAsia="Arial" w:hAnsi="Arial"/>
          <w:sz w:val="8"/>
          <w:szCs w:val="8"/>
          <w:color w:val="424242"/>
        </w:rPr>
      </w:pPr>
      <w:r>
        <w:rPr>
          <w:rFonts w:ascii="Arial" w:cs="Arial" w:eastAsia="Arial" w:hAnsi="Arial"/>
          <w:sz w:val="8"/>
          <w:szCs w:val="8"/>
          <w:color w:val="424242"/>
        </w:rPr>
        <w:t>Represents the ratio of the tenant's/operator's EBITDAR to cash rent payable to the Company's Wellness Infrastructure segment on a trailing twelve month basis and as of the prior quarter due to timing of data availability from tenant/operators. Refer to Important Notes Regarding Non-GAAP Financial Measures and Definitions pages in this presentation for additional information regarding the use of tenant/operator EBITDAR.</w:t>
      </w:r>
    </w:p>
    <w:p>
      <w:pPr>
        <w:spacing w:after="0" w:line="30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22</w:t>
            </w:r>
          </w:p>
        </w:tc>
      </w:tr>
    </w:tbl>
    <w:p>
      <w:pPr>
        <w:sectPr>
          <w:pgSz w:w="11900" w:h="16838" w:orient="portrait"/>
          <w:cols w:equalWidth="0" w:num="1">
            <w:col w:w="11308"/>
          </w:cols>
          <w:pgMar w:left="292" w:top="162" w:right="299" w:bottom="1440" w:gutter="0" w:footer="0" w:header="0"/>
        </w:sectPr>
      </w:pPr>
    </w:p>
    <w:bookmarkStart w:id="37" w:name="page38"/>
    <w:bookmarkEnd w:id="37"/>
    <w:p>
      <w:pPr>
        <w:ind w:left="8"/>
        <w:spacing w:after="0"/>
        <w:rPr>
          <w:sz w:val="20"/>
          <w:szCs w:val="20"/>
          <w:color w:val="auto"/>
        </w:rPr>
      </w:pPr>
      <w:r>
        <w:rPr>
          <w:rFonts w:ascii="Arial" w:cs="Arial" w:eastAsia="Arial" w:hAnsi="Arial"/>
          <w:sz w:val="26"/>
          <w:szCs w:val="26"/>
          <w:color w:val="auto"/>
        </w:rPr>
        <w:t>VIIb. Wellness Infrastructure - Portfolio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78040" cy="22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Arial" w:cs="Arial" w:eastAsia="Arial" w:hAnsi="Arial"/>
          <w:sz w:val="11"/>
          <w:szCs w:val="11"/>
          <w:i w:val="1"/>
          <w:iCs w:val="1"/>
          <w:color w:val="auto"/>
        </w:rPr>
        <w:t>(As of or for the three months ended March 31, 2021, unless otherwise noted)</w:t>
      </w:r>
    </w:p>
    <w:p>
      <w:pPr>
        <w:spacing w:after="0" w:line="8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060" w:type="dxa"/>
            <w:vAlign w:val="bottom"/>
            <w:gridSpan w:val="2"/>
          </w:tcPr>
          <w:p>
            <w:pPr>
              <w:spacing w:after="0"/>
              <w:rPr>
                <w:sz w:val="20"/>
                <w:szCs w:val="20"/>
                <w:color w:val="auto"/>
              </w:rPr>
            </w:pPr>
            <w:r>
              <w:rPr>
                <w:rFonts w:ascii="Arial" w:cs="Arial" w:eastAsia="Arial" w:hAnsi="Arial"/>
                <w:sz w:val="12"/>
                <w:szCs w:val="12"/>
                <w:b w:val="1"/>
                <w:bCs w:val="1"/>
                <w:i w:val="1"/>
                <w:iCs w:val="1"/>
                <w:color w:val="003366"/>
              </w:rPr>
              <w:t>Triple-Net Lease Coverage</w:t>
            </w:r>
            <w:r>
              <w:rPr>
                <w:rFonts w:ascii="Arial" w:cs="Arial" w:eastAsia="Arial" w:hAnsi="Arial"/>
                <w:sz w:val="15"/>
                <w:szCs w:val="15"/>
                <w:b w:val="1"/>
                <w:bCs w:val="1"/>
                <w:i w:val="1"/>
                <w:iCs w:val="1"/>
                <w:color w:val="003366"/>
                <w:vertAlign w:val="superscript"/>
              </w:rPr>
              <w:t>(1)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1"/>
                <w:szCs w:val="11"/>
                <w:b w:val="1"/>
                <w:bCs w:val="1"/>
                <w:color w:val="auto"/>
                <w:w w:val="98"/>
              </w:rPr>
              <w:t>% of Triple-Net Lease TTM NOI as of December 31, 2020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9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4"/>
          </w:tcPr>
          <w:p>
            <w:pPr>
              <w:jc w:val="center"/>
              <w:ind w:right="80"/>
              <w:spacing w:after="0" w:line="97" w:lineRule="exact"/>
              <w:rPr>
                <w:sz w:val="20"/>
                <w:szCs w:val="20"/>
                <w:color w:val="auto"/>
              </w:rPr>
            </w:pPr>
            <w:r>
              <w:rPr>
                <w:rFonts w:ascii="Arial" w:cs="Arial" w:eastAsia="Arial" w:hAnsi="Arial"/>
                <w:sz w:val="11"/>
                <w:szCs w:val="11"/>
                <w:b w:val="1"/>
                <w:bCs w:val="1"/>
                <w:color w:val="auto"/>
                <w:w w:val="99"/>
              </w:rPr>
              <w:t>Skilled Nursing</w:t>
            </w:r>
          </w:p>
        </w:tc>
        <w:tc>
          <w:tcPr>
            <w:tcW w:w="112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99"/>
              </w:rPr>
              <w:t>% Triple-Net Lease</w:t>
            </w:r>
          </w:p>
        </w:tc>
        <w:tc>
          <w:tcPr>
            <w:tcW w:w="1000" w:type="dxa"/>
            <w:vAlign w:val="bottom"/>
            <w:vMerge w:val="restart"/>
          </w:tcPr>
          <w:p>
            <w:pPr>
              <w:jc w:val="right"/>
              <w:ind w:right="61"/>
              <w:spacing w:after="0"/>
              <w:rPr>
                <w:sz w:val="20"/>
                <w:szCs w:val="20"/>
                <w:color w:val="auto"/>
              </w:rPr>
            </w:pPr>
            <w:r>
              <w:rPr>
                <w:rFonts w:ascii="Arial" w:cs="Arial" w:eastAsia="Arial" w:hAnsi="Arial"/>
                <w:sz w:val="11"/>
                <w:szCs w:val="11"/>
                <w:b w:val="1"/>
                <w:bCs w:val="1"/>
                <w:color w:val="auto"/>
              </w:rPr>
              <w:t>WA Remaining</w:t>
            </w:r>
          </w:p>
        </w:tc>
        <w:tc>
          <w:tcPr>
            <w:tcW w:w="0" w:type="dxa"/>
            <w:vAlign w:val="bottom"/>
          </w:tcPr>
          <w:p>
            <w:pPr>
              <w:spacing w:after="0"/>
              <w:rPr>
                <w:sz w:val="1"/>
                <w:szCs w:val="1"/>
                <w:color w:val="auto"/>
              </w:rPr>
            </w:pPr>
          </w:p>
        </w:tc>
      </w:tr>
      <w:tr>
        <w:trPr>
          <w:trHeight w:val="108"/>
        </w:trPr>
        <w:tc>
          <w:tcPr>
            <w:tcW w:w="2980" w:type="dxa"/>
            <w:vAlign w:val="bottom"/>
            <w:vMerge w:val="restart"/>
          </w:tcPr>
          <w:p>
            <w:pPr>
              <w:spacing w:after="0"/>
              <w:rPr>
                <w:sz w:val="20"/>
                <w:szCs w:val="20"/>
                <w:color w:val="auto"/>
              </w:rPr>
            </w:pPr>
            <w:r>
              <w:rPr>
                <w:rFonts w:ascii="Arial" w:cs="Arial" w:eastAsia="Arial" w:hAnsi="Arial"/>
                <w:sz w:val="11"/>
                <w:szCs w:val="11"/>
                <w:b w:val="1"/>
                <w:bCs w:val="1"/>
                <w:color w:val="auto"/>
              </w:rPr>
              <w:t>TTM Lease Coverage</w:t>
            </w:r>
          </w:p>
        </w:tc>
        <w:tc>
          <w:tcPr>
            <w:tcW w:w="80" w:type="dxa"/>
            <w:vAlign w:val="bottom"/>
            <w:vMerge w:val="restart"/>
          </w:tcPr>
          <w:p>
            <w:pPr>
              <w:spacing w:after="0"/>
              <w:rPr>
                <w:sz w:val="9"/>
                <w:szCs w:val="9"/>
                <w:color w:val="auto"/>
              </w:rPr>
            </w:pPr>
          </w:p>
        </w:tc>
        <w:tc>
          <w:tcPr>
            <w:tcW w:w="800" w:type="dxa"/>
            <w:vAlign w:val="bottom"/>
            <w:vMerge w:val="restart"/>
          </w:tcPr>
          <w:p>
            <w:pPr>
              <w:jc w:val="right"/>
              <w:ind w:right="41"/>
              <w:spacing w:after="0"/>
              <w:rPr>
                <w:sz w:val="20"/>
                <w:szCs w:val="20"/>
                <w:color w:val="auto"/>
              </w:rPr>
            </w:pPr>
            <w:r>
              <w:rPr>
                <w:rFonts w:ascii="Arial" w:cs="Arial" w:eastAsia="Arial" w:hAnsi="Arial"/>
                <w:sz w:val="11"/>
                <w:szCs w:val="11"/>
                <w:b w:val="1"/>
                <w:bCs w:val="1"/>
                <w:color w:val="auto"/>
              </w:rPr>
              <w:t># of Leases</w:t>
            </w:r>
          </w:p>
        </w:tc>
        <w:tc>
          <w:tcPr>
            <w:tcW w:w="100" w:type="dxa"/>
            <w:vAlign w:val="bottom"/>
            <w:vMerge w:val="restart"/>
          </w:tcPr>
          <w:p>
            <w:pPr>
              <w:spacing w:after="0"/>
              <w:rPr>
                <w:sz w:val="9"/>
                <w:szCs w:val="9"/>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Senior Housing</w:t>
            </w:r>
          </w:p>
        </w:tc>
        <w:tc>
          <w:tcPr>
            <w:tcW w:w="80" w:type="dxa"/>
            <w:vAlign w:val="bottom"/>
            <w:vMerge w:val="restart"/>
          </w:tcPr>
          <w:p>
            <w:pPr>
              <w:spacing w:after="0"/>
              <w:rPr>
                <w:sz w:val="9"/>
                <w:szCs w:val="9"/>
                <w:color w:val="auto"/>
              </w:rPr>
            </w:pPr>
          </w:p>
        </w:tc>
        <w:tc>
          <w:tcPr>
            <w:tcW w:w="1120" w:type="dxa"/>
            <w:vAlign w:val="bottom"/>
            <w:gridSpan w:val="4"/>
          </w:tcPr>
          <w:p>
            <w:pPr>
              <w:jc w:val="center"/>
              <w:ind w:right="80"/>
              <w:spacing w:after="0" w:line="108" w:lineRule="exact"/>
              <w:rPr>
                <w:sz w:val="20"/>
                <w:szCs w:val="20"/>
                <w:color w:val="auto"/>
              </w:rPr>
            </w:pPr>
            <w:r>
              <w:rPr>
                <w:rFonts w:ascii="Arial" w:cs="Arial" w:eastAsia="Arial" w:hAnsi="Arial"/>
                <w:sz w:val="11"/>
                <w:szCs w:val="11"/>
                <w:b w:val="1"/>
                <w:bCs w:val="1"/>
                <w:color w:val="auto"/>
                <w:w w:val="96"/>
              </w:rPr>
              <w:t>Facilities &amp;</w:t>
            </w:r>
          </w:p>
        </w:tc>
        <w:tc>
          <w:tcPr>
            <w:tcW w:w="1120" w:type="dxa"/>
            <w:vAlign w:val="bottom"/>
            <w:gridSpan w:val="4"/>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9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DBDBDB"/>
            </w:tcBorders>
            <w:vMerge w:val="continue"/>
          </w:tcPr>
          <w:p>
            <w:pPr>
              <w:spacing w:after="0"/>
              <w:rPr>
                <w:sz w:val="12"/>
                <w:szCs w:val="12"/>
                <w:color w:val="auto"/>
              </w:rPr>
            </w:pPr>
          </w:p>
        </w:tc>
        <w:tc>
          <w:tcPr>
            <w:tcW w:w="102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DBDBDB"/>
            </w:tcBorders>
            <w:vMerge w:val="continue"/>
          </w:tcPr>
          <w:p>
            <w:pPr>
              <w:spacing w:after="0"/>
              <w:rPr>
                <w:sz w:val="12"/>
                <w:szCs w:val="12"/>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6"/>
              </w:rPr>
              <w:t>Hospitals</w:t>
            </w:r>
          </w:p>
        </w:tc>
        <w:tc>
          <w:tcPr>
            <w:tcW w:w="80" w:type="dxa"/>
            <w:vAlign w:val="bottom"/>
            <w:tcBorders>
              <w:bottom w:val="single" w:sz="8" w:color="DBDBDB"/>
            </w:tcBorders>
          </w:tcPr>
          <w:p>
            <w:pPr>
              <w:spacing w:after="0"/>
              <w:rPr>
                <w:sz w:val="12"/>
                <w:szCs w:val="12"/>
                <w:color w:val="auto"/>
              </w:rPr>
            </w:pPr>
          </w:p>
        </w:tc>
        <w:tc>
          <w:tcPr>
            <w:tcW w:w="10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w w:val="91"/>
              </w:rPr>
              <w:t>NOI</w:t>
            </w:r>
          </w:p>
        </w:tc>
        <w:tc>
          <w:tcPr>
            <w:tcW w:w="80" w:type="dxa"/>
            <w:vAlign w:val="bottom"/>
            <w:tcBorders>
              <w:bottom w:val="single" w:sz="8" w:color="DBDBDB"/>
            </w:tcBorders>
          </w:tcPr>
          <w:p>
            <w:pPr>
              <w:spacing w:after="0"/>
              <w:rPr>
                <w:sz w:val="12"/>
                <w:szCs w:val="12"/>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b w:val="1"/>
                <w:bCs w:val="1"/>
                <w:color w:val="auto"/>
              </w:rPr>
              <w:t>Lease Term</w:t>
            </w:r>
          </w:p>
        </w:tc>
        <w:tc>
          <w:tcPr>
            <w:tcW w:w="0" w:type="dxa"/>
            <w:vAlign w:val="bottom"/>
          </w:tcPr>
          <w:p>
            <w:pPr>
              <w:spacing w:after="0"/>
              <w:rPr>
                <w:sz w:val="1"/>
                <w:szCs w:val="1"/>
                <w:color w:val="auto"/>
              </w:rPr>
            </w:pPr>
          </w:p>
        </w:tc>
      </w:tr>
      <w:tr>
        <w:trPr>
          <w:trHeight w:val="152"/>
        </w:trPr>
        <w:tc>
          <w:tcPr>
            <w:tcW w:w="306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Less than 0.99x</w:t>
            </w:r>
          </w:p>
        </w:tc>
        <w:tc>
          <w:tcPr>
            <w:tcW w:w="8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shd w:val="clear" w:color="auto" w:fill="DBDBDB"/>
          </w:tcPr>
          <w:p>
            <w:pPr>
              <w:spacing w:after="0"/>
              <w:rPr>
                <w:sz w:val="13"/>
                <w:szCs w:val="13"/>
                <w:color w:val="auto"/>
              </w:rPr>
            </w:pPr>
          </w:p>
        </w:tc>
        <w:tc>
          <w:tcPr>
            <w:tcW w:w="1020" w:type="dxa"/>
            <w:vAlign w:val="bottom"/>
            <w:gridSpan w:val="2"/>
            <w:shd w:val="clear" w:color="auto" w:fill="DBDBDB"/>
          </w:tcPr>
          <w:p>
            <w:pPr>
              <w:jc w:val="right"/>
              <w:ind w:right="20"/>
              <w:spacing w:after="0"/>
              <w:rPr>
                <w:sz w:val="20"/>
                <w:szCs w:val="20"/>
                <w:color w:val="auto"/>
              </w:rPr>
            </w:pPr>
            <w:r>
              <w:rPr>
                <w:rFonts w:ascii="Arial" w:cs="Arial" w:eastAsia="Arial" w:hAnsi="Arial"/>
                <w:sz w:val="12"/>
                <w:szCs w:val="12"/>
                <w:color w:val="auto"/>
              </w:rPr>
              <w:t>31 %</w:t>
            </w:r>
          </w:p>
        </w:tc>
        <w:tc>
          <w:tcPr>
            <w:tcW w:w="80" w:type="dxa"/>
            <w:vAlign w:val="bottom"/>
            <w:shd w:val="clear" w:color="auto" w:fill="DBDBDB"/>
          </w:tcPr>
          <w:p>
            <w:pPr>
              <w:spacing w:after="0"/>
              <w:rPr>
                <w:sz w:val="13"/>
                <w:szCs w:val="13"/>
                <w:color w:val="auto"/>
              </w:rPr>
            </w:pPr>
          </w:p>
        </w:tc>
        <w:tc>
          <w:tcPr>
            <w:tcW w:w="1040" w:type="dxa"/>
            <w:vAlign w:val="bottom"/>
            <w:gridSpan w:val="3"/>
            <w:shd w:val="clear" w:color="auto" w:fill="DBDBDB"/>
          </w:tcPr>
          <w:p>
            <w:pPr>
              <w:jc w:val="right"/>
              <w:ind w:right="20"/>
              <w:spacing w:after="0"/>
              <w:rPr>
                <w:sz w:val="20"/>
                <w:szCs w:val="20"/>
                <w:color w:val="auto"/>
              </w:rPr>
            </w:pPr>
            <w:r>
              <w:rPr>
                <w:rFonts w:ascii="Arial" w:cs="Arial" w:eastAsia="Arial" w:hAnsi="Arial"/>
                <w:sz w:val="12"/>
                <w:szCs w:val="12"/>
                <w:color w:val="auto"/>
              </w:rPr>
              <w:t>30 %</w:t>
            </w:r>
          </w:p>
        </w:tc>
        <w:tc>
          <w:tcPr>
            <w:tcW w:w="80" w:type="dxa"/>
            <w:vAlign w:val="bottom"/>
            <w:shd w:val="clear" w:color="auto" w:fill="DBDBDB"/>
          </w:tcPr>
          <w:p>
            <w:pPr>
              <w:spacing w:after="0"/>
              <w:rPr>
                <w:sz w:val="13"/>
                <w:szCs w:val="13"/>
                <w:color w:val="auto"/>
              </w:rPr>
            </w:pPr>
          </w:p>
        </w:tc>
        <w:tc>
          <w:tcPr>
            <w:tcW w:w="1020" w:type="dxa"/>
            <w:vAlign w:val="bottom"/>
            <w:gridSpan w:val="2"/>
            <w:shd w:val="clear" w:color="auto" w:fill="DBDBDB"/>
          </w:tcPr>
          <w:p>
            <w:pPr>
              <w:jc w:val="right"/>
              <w:ind w:right="20"/>
              <w:spacing w:after="0"/>
              <w:rPr>
                <w:sz w:val="20"/>
                <w:szCs w:val="20"/>
                <w:color w:val="auto"/>
              </w:rPr>
            </w:pPr>
            <w:r>
              <w:rPr>
                <w:rFonts w:ascii="Arial" w:cs="Arial" w:eastAsia="Arial" w:hAnsi="Arial"/>
                <w:sz w:val="12"/>
                <w:szCs w:val="12"/>
                <w:color w:val="auto"/>
              </w:rPr>
              <w:t>61 %</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0" w:type="dxa"/>
            <w:vAlign w:val="bottom"/>
            <w:shd w:val="clear" w:color="auto" w:fill="DBDBDB"/>
          </w:tcPr>
          <w:p>
            <w:pPr>
              <w:jc w:val="center"/>
              <w:ind w:left="641"/>
              <w:spacing w:after="0"/>
              <w:rPr>
                <w:sz w:val="20"/>
                <w:szCs w:val="20"/>
                <w:color w:val="auto"/>
              </w:rPr>
            </w:pPr>
            <w:r>
              <w:rPr>
                <w:rFonts w:ascii="Arial" w:cs="Arial" w:eastAsia="Arial" w:hAnsi="Arial"/>
                <w:sz w:val="12"/>
                <w:szCs w:val="12"/>
                <w:color w:val="auto"/>
                <w:w w:val="99"/>
              </w:rPr>
              <w:t>9 yrs</w:t>
            </w:r>
          </w:p>
        </w:tc>
        <w:tc>
          <w:tcPr>
            <w:tcW w:w="0" w:type="dxa"/>
            <w:vAlign w:val="bottom"/>
          </w:tcPr>
          <w:p>
            <w:pPr>
              <w:spacing w:after="0"/>
              <w:rPr>
                <w:sz w:val="1"/>
                <w:szCs w:val="1"/>
                <w:color w:val="auto"/>
              </w:rPr>
            </w:pPr>
          </w:p>
        </w:tc>
      </w:tr>
      <w:tr>
        <w:trPr>
          <w:trHeight w:val="171"/>
        </w:trPr>
        <w:tc>
          <w:tcPr>
            <w:tcW w:w="3060" w:type="dxa"/>
            <w:vAlign w:val="bottom"/>
            <w:gridSpan w:val="2"/>
          </w:tcPr>
          <w:p>
            <w:pPr>
              <w:spacing w:after="0"/>
              <w:rPr>
                <w:sz w:val="20"/>
                <w:szCs w:val="20"/>
                <w:color w:val="auto"/>
              </w:rPr>
            </w:pPr>
            <w:r>
              <w:rPr>
                <w:rFonts w:ascii="Arial" w:cs="Arial" w:eastAsia="Arial" w:hAnsi="Arial"/>
                <w:sz w:val="12"/>
                <w:szCs w:val="12"/>
                <w:color w:val="auto"/>
              </w:rPr>
              <w:t>1.00x - 1.09x</w:t>
            </w: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1 %</w:t>
            </w:r>
          </w:p>
        </w:tc>
        <w:tc>
          <w:tcPr>
            <w:tcW w:w="80" w:type="dxa"/>
            <w:vAlign w:val="bottom"/>
          </w:tcPr>
          <w:p>
            <w:pPr>
              <w:spacing w:after="0"/>
              <w:rPr>
                <w:sz w:val="14"/>
                <w:szCs w:val="1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2"/>
                <w:szCs w:val="12"/>
                <w:color w:val="auto"/>
              </w:rPr>
              <w:t>10 %</w:t>
            </w:r>
          </w:p>
        </w:tc>
        <w:tc>
          <w:tcPr>
            <w:tcW w:w="8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11 %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left="641"/>
              <w:spacing w:after="0"/>
              <w:rPr>
                <w:sz w:val="20"/>
                <w:szCs w:val="20"/>
                <w:color w:val="auto"/>
              </w:rPr>
            </w:pPr>
            <w:r>
              <w:rPr>
                <w:rFonts w:ascii="Arial" w:cs="Arial" w:eastAsia="Arial" w:hAnsi="Arial"/>
                <w:sz w:val="12"/>
                <w:szCs w:val="12"/>
                <w:color w:val="auto"/>
                <w:w w:val="99"/>
              </w:rPr>
              <w:t>6 yrs</w:t>
            </w:r>
          </w:p>
        </w:tc>
        <w:tc>
          <w:tcPr>
            <w:tcW w:w="0" w:type="dxa"/>
            <w:vAlign w:val="bottom"/>
          </w:tcPr>
          <w:p>
            <w:pPr>
              <w:spacing w:after="0"/>
              <w:rPr>
                <w:sz w:val="1"/>
                <w:szCs w:val="1"/>
                <w:color w:val="auto"/>
              </w:rPr>
            </w:pPr>
          </w:p>
        </w:tc>
      </w:tr>
      <w:tr>
        <w:trPr>
          <w:trHeight w:val="171"/>
        </w:trPr>
        <w:tc>
          <w:tcPr>
            <w:tcW w:w="306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1.10x - 1.19x</w:t>
            </w:r>
          </w:p>
        </w:tc>
        <w:tc>
          <w:tcPr>
            <w:tcW w:w="8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shd w:val="clear" w:color="auto" w:fill="DBDBDB"/>
          </w:tcPr>
          <w:p>
            <w:pPr>
              <w:spacing w:after="0"/>
              <w:rPr>
                <w:sz w:val="14"/>
                <w:szCs w:val="14"/>
                <w:color w:val="auto"/>
              </w:rPr>
            </w:pPr>
          </w:p>
        </w:tc>
        <w:tc>
          <w:tcPr>
            <w:tcW w:w="1020" w:type="dxa"/>
            <w:vAlign w:val="bottom"/>
            <w:gridSpan w:val="2"/>
            <w:shd w:val="clear" w:color="auto" w:fill="DBDBDB"/>
          </w:tcPr>
          <w:p>
            <w:pPr>
              <w:jc w:val="right"/>
              <w:ind w:right="20"/>
              <w:spacing w:after="0"/>
              <w:rPr>
                <w:sz w:val="20"/>
                <w:szCs w:val="20"/>
                <w:color w:val="auto"/>
              </w:rPr>
            </w:pPr>
            <w:r>
              <w:rPr>
                <w:rFonts w:ascii="Arial" w:cs="Arial" w:eastAsia="Arial" w:hAnsi="Arial"/>
                <w:sz w:val="12"/>
                <w:szCs w:val="12"/>
                <w:color w:val="auto"/>
              </w:rPr>
              <w:t>4 %</w:t>
            </w:r>
          </w:p>
        </w:tc>
        <w:tc>
          <w:tcPr>
            <w:tcW w:w="80" w:type="dxa"/>
            <w:vAlign w:val="bottom"/>
            <w:shd w:val="clear" w:color="auto" w:fill="DBDBDB"/>
          </w:tcPr>
          <w:p>
            <w:pPr>
              <w:spacing w:after="0"/>
              <w:rPr>
                <w:sz w:val="14"/>
                <w:szCs w:val="14"/>
                <w:color w:val="auto"/>
              </w:rPr>
            </w:pPr>
          </w:p>
        </w:tc>
        <w:tc>
          <w:tcPr>
            <w:tcW w:w="1120" w:type="dxa"/>
            <w:vAlign w:val="bottom"/>
            <w:gridSpan w:val="4"/>
            <w:shd w:val="clear" w:color="auto" w:fill="DBDBDB"/>
          </w:tcPr>
          <w:p>
            <w:pPr>
              <w:jc w:val="right"/>
              <w:ind w:right="100"/>
              <w:spacing w:after="0"/>
              <w:rPr>
                <w:sz w:val="20"/>
                <w:szCs w:val="20"/>
                <w:color w:val="auto"/>
              </w:rPr>
            </w:pPr>
            <w:r>
              <w:rPr>
                <w:rFonts w:ascii="Arial" w:cs="Arial" w:eastAsia="Arial" w:hAnsi="Arial"/>
                <w:sz w:val="12"/>
                <w:szCs w:val="12"/>
                <w:color w:val="auto"/>
              </w:rPr>
              <w:t>— %</w:t>
            </w:r>
          </w:p>
        </w:tc>
        <w:tc>
          <w:tcPr>
            <w:tcW w:w="1020" w:type="dxa"/>
            <w:vAlign w:val="bottom"/>
            <w:gridSpan w:val="2"/>
            <w:shd w:val="clear" w:color="auto" w:fill="DBDBDB"/>
          </w:tcPr>
          <w:p>
            <w:pPr>
              <w:jc w:val="right"/>
              <w:ind w:right="20"/>
              <w:spacing w:after="0"/>
              <w:rPr>
                <w:sz w:val="20"/>
                <w:szCs w:val="20"/>
                <w:color w:val="auto"/>
              </w:rPr>
            </w:pPr>
            <w:r>
              <w:rPr>
                <w:rFonts w:ascii="Arial" w:cs="Arial" w:eastAsia="Arial" w:hAnsi="Arial"/>
                <w:sz w:val="12"/>
                <w:szCs w:val="12"/>
                <w:color w:val="auto"/>
              </w:rPr>
              <w:t>4 %</w:t>
            </w: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0" w:type="dxa"/>
            <w:vAlign w:val="bottom"/>
            <w:shd w:val="clear" w:color="auto" w:fill="DBDBDB"/>
          </w:tcPr>
          <w:p>
            <w:pPr>
              <w:jc w:val="center"/>
              <w:ind w:left="641"/>
              <w:spacing w:after="0"/>
              <w:rPr>
                <w:sz w:val="20"/>
                <w:szCs w:val="20"/>
                <w:color w:val="auto"/>
              </w:rPr>
            </w:pPr>
            <w:r>
              <w:rPr>
                <w:rFonts w:ascii="Arial" w:cs="Arial" w:eastAsia="Arial" w:hAnsi="Arial"/>
                <w:sz w:val="12"/>
                <w:szCs w:val="12"/>
                <w:color w:val="auto"/>
                <w:w w:val="99"/>
              </w:rPr>
              <w:t>2 yrs</w:t>
            </w:r>
          </w:p>
        </w:tc>
        <w:tc>
          <w:tcPr>
            <w:tcW w:w="0" w:type="dxa"/>
            <w:vAlign w:val="bottom"/>
          </w:tcPr>
          <w:p>
            <w:pPr>
              <w:spacing w:after="0"/>
              <w:rPr>
                <w:sz w:val="1"/>
                <w:szCs w:val="1"/>
                <w:color w:val="auto"/>
              </w:rPr>
            </w:pPr>
          </w:p>
        </w:tc>
      </w:tr>
      <w:tr>
        <w:trPr>
          <w:trHeight w:val="171"/>
        </w:trPr>
        <w:tc>
          <w:tcPr>
            <w:tcW w:w="3060" w:type="dxa"/>
            <w:vAlign w:val="bottom"/>
            <w:gridSpan w:val="2"/>
          </w:tcPr>
          <w:p>
            <w:pPr>
              <w:spacing w:after="0"/>
              <w:rPr>
                <w:sz w:val="20"/>
                <w:szCs w:val="20"/>
                <w:color w:val="auto"/>
              </w:rPr>
            </w:pPr>
            <w:r>
              <w:rPr>
                <w:rFonts w:ascii="Arial" w:cs="Arial" w:eastAsia="Arial" w:hAnsi="Arial"/>
                <w:sz w:val="12"/>
                <w:szCs w:val="12"/>
                <w:color w:val="auto"/>
              </w:rPr>
              <w:t>1.20x - 1.29x</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2"/>
                <w:szCs w:val="12"/>
                <w:color w:val="auto"/>
              </w:rPr>
              <w:t>— %</w:t>
            </w:r>
          </w:p>
        </w:tc>
        <w:tc>
          <w:tcPr>
            <w:tcW w:w="1120" w:type="dxa"/>
            <w:vAlign w:val="bottom"/>
            <w:gridSpan w:val="4"/>
          </w:tcPr>
          <w:p>
            <w:pPr>
              <w:jc w:val="right"/>
              <w:ind w:right="100"/>
              <w:spacing w:after="0"/>
              <w:rPr>
                <w:sz w:val="20"/>
                <w:szCs w:val="20"/>
                <w:color w:val="auto"/>
              </w:rPr>
            </w:pPr>
            <w:r>
              <w:rPr>
                <w:rFonts w:ascii="Arial" w:cs="Arial" w:eastAsia="Arial" w:hAnsi="Arial"/>
                <w:sz w:val="12"/>
                <w:szCs w:val="12"/>
                <w:color w:val="auto"/>
              </w:rPr>
              <w:t>— %</w:t>
            </w:r>
          </w:p>
        </w:tc>
        <w:tc>
          <w:tcPr>
            <w:tcW w:w="1120" w:type="dxa"/>
            <w:vAlign w:val="bottom"/>
            <w:gridSpan w:val="4"/>
          </w:tcPr>
          <w:p>
            <w:pPr>
              <w:jc w:val="right"/>
              <w:ind w:right="120"/>
              <w:spacing w:after="0"/>
              <w:rPr>
                <w:sz w:val="20"/>
                <w:szCs w:val="20"/>
                <w:color w:val="auto"/>
              </w:rPr>
            </w:pPr>
            <w:r>
              <w:rPr>
                <w:rFonts w:ascii="Arial" w:cs="Arial" w:eastAsia="Arial" w:hAnsi="Arial"/>
                <w:sz w:val="12"/>
                <w:szCs w:val="12"/>
                <w:color w:val="auto"/>
              </w:rPr>
              <w:t>— %</w:t>
            </w:r>
          </w:p>
        </w:tc>
        <w:tc>
          <w:tcPr>
            <w:tcW w:w="1000" w:type="dxa"/>
            <w:vAlign w:val="bottom"/>
          </w:tcPr>
          <w:p>
            <w:pPr>
              <w:jc w:val="center"/>
              <w:ind w:left="701"/>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71"/>
        </w:trPr>
        <w:tc>
          <w:tcPr>
            <w:tcW w:w="306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1.30x - 1.39x</w:t>
            </w:r>
          </w:p>
        </w:tc>
        <w:tc>
          <w:tcPr>
            <w:tcW w:w="90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gridSpan w:val="3"/>
            <w:shd w:val="clear" w:color="auto" w:fill="DBDBDB"/>
          </w:tcPr>
          <w:p>
            <w:pPr>
              <w:jc w:val="right"/>
              <w:ind w:right="100"/>
              <w:spacing w:after="0"/>
              <w:rPr>
                <w:sz w:val="20"/>
                <w:szCs w:val="20"/>
                <w:color w:val="auto"/>
              </w:rPr>
            </w:pPr>
            <w:r>
              <w:rPr>
                <w:rFonts w:ascii="Arial" w:cs="Arial" w:eastAsia="Arial" w:hAnsi="Arial"/>
                <w:sz w:val="12"/>
                <w:szCs w:val="12"/>
                <w:color w:val="auto"/>
              </w:rPr>
              <w:t>— %</w:t>
            </w:r>
          </w:p>
        </w:tc>
        <w:tc>
          <w:tcPr>
            <w:tcW w:w="1120" w:type="dxa"/>
            <w:vAlign w:val="bottom"/>
            <w:gridSpan w:val="4"/>
            <w:shd w:val="clear" w:color="auto" w:fill="DBDBDB"/>
          </w:tcPr>
          <w:p>
            <w:pPr>
              <w:jc w:val="right"/>
              <w:ind w:right="100"/>
              <w:spacing w:after="0"/>
              <w:rPr>
                <w:sz w:val="20"/>
                <w:szCs w:val="20"/>
                <w:color w:val="auto"/>
              </w:rPr>
            </w:pPr>
            <w:r>
              <w:rPr>
                <w:rFonts w:ascii="Arial" w:cs="Arial" w:eastAsia="Arial" w:hAnsi="Arial"/>
                <w:sz w:val="12"/>
                <w:szCs w:val="12"/>
                <w:color w:val="auto"/>
              </w:rPr>
              <w:t>— %</w:t>
            </w:r>
          </w:p>
        </w:tc>
        <w:tc>
          <w:tcPr>
            <w:tcW w:w="1120" w:type="dxa"/>
            <w:vAlign w:val="bottom"/>
            <w:gridSpan w:val="4"/>
            <w:shd w:val="clear" w:color="auto" w:fill="DBDBDB"/>
          </w:tcPr>
          <w:p>
            <w:pPr>
              <w:jc w:val="right"/>
              <w:ind w:right="120"/>
              <w:spacing w:after="0"/>
              <w:rPr>
                <w:sz w:val="20"/>
                <w:szCs w:val="20"/>
                <w:color w:val="auto"/>
              </w:rPr>
            </w:pPr>
            <w:r>
              <w:rPr>
                <w:rFonts w:ascii="Arial" w:cs="Arial" w:eastAsia="Arial" w:hAnsi="Arial"/>
                <w:sz w:val="12"/>
                <w:szCs w:val="12"/>
                <w:color w:val="auto"/>
              </w:rPr>
              <w:t>— %</w:t>
            </w:r>
          </w:p>
        </w:tc>
        <w:tc>
          <w:tcPr>
            <w:tcW w:w="1000" w:type="dxa"/>
            <w:vAlign w:val="bottom"/>
            <w:shd w:val="clear" w:color="auto" w:fill="DBDBDB"/>
          </w:tcPr>
          <w:p>
            <w:pPr>
              <w:jc w:val="center"/>
              <w:ind w:left="701"/>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71"/>
        </w:trPr>
        <w:tc>
          <w:tcPr>
            <w:tcW w:w="3060" w:type="dxa"/>
            <w:vAlign w:val="bottom"/>
            <w:gridSpan w:val="2"/>
          </w:tcPr>
          <w:p>
            <w:pPr>
              <w:spacing w:after="0"/>
              <w:rPr>
                <w:sz w:val="20"/>
                <w:szCs w:val="20"/>
                <w:color w:val="auto"/>
              </w:rPr>
            </w:pPr>
            <w:r>
              <w:rPr>
                <w:rFonts w:ascii="Arial" w:cs="Arial" w:eastAsia="Arial" w:hAnsi="Arial"/>
                <w:sz w:val="12"/>
                <w:szCs w:val="12"/>
                <w:color w:val="auto"/>
              </w:rPr>
              <w:t>1.40x - 1.49x</w:t>
            </w: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2"/>
                <w:szCs w:val="12"/>
                <w:color w:val="auto"/>
              </w:rPr>
              <w:t>— %</w:t>
            </w:r>
          </w:p>
        </w:tc>
        <w:tc>
          <w:tcPr>
            <w:tcW w:w="1040" w:type="dxa"/>
            <w:vAlign w:val="bottom"/>
            <w:gridSpan w:val="3"/>
          </w:tcPr>
          <w:p>
            <w:pPr>
              <w:jc w:val="right"/>
              <w:ind w:right="20"/>
              <w:spacing w:after="0"/>
              <w:rPr>
                <w:sz w:val="20"/>
                <w:szCs w:val="20"/>
                <w:color w:val="auto"/>
              </w:rPr>
            </w:pPr>
            <w:r>
              <w:rPr>
                <w:rFonts w:ascii="Arial" w:cs="Arial" w:eastAsia="Arial" w:hAnsi="Arial"/>
                <w:sz w:val="12"/>
                <w:szCs w:val="12"/>
                <w:color w:val="auto"/>
              </w:rPr>
              <w:t>3 %</w:t>
            </w:r>
          </w:p>
        </w:tc>
        <w:tc>
          <w:tcPr>
            <w:tcW w:w="8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3 %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left="641"/>
              <w:spacing w:after="0"/>
              <w:rPr>
                <w:sz w:val="20"/>
                <w:szCs w:val="20"/>
                <w:color w:val="auto"/>
              </w:rPr>
            </w:pPr>
            <w:r>
              <w:rPr>
                <w:rFonts w:ascii="Arial" w:cs="Arial" w:eastAsia="Arial" w:hAnsi="Arial"/>
                <w:sz w:val="12"/>
                <w:szCs w:val="12"/>
                <w:color w:val="auto"/>
                <w:w w:val="99"/>
              </w:rPr>
              <w:t>9 yrs</w:t>
            </w:r>
          </w:p>
        </w:tc>
        <w:tc>
          <w:tcPr>
            <w:tcW w:w="0" w:type="dxa"/>
            <w:vAlign w:val="bottom"/>
          </w:tcPr>
          <w:p>
            <w:pPr>
              <w:spacing w:after="0"/>
              <w:rPr>
                <w:sz w:val="1"/>
                <w:szCs w:val="1"/>
                <w:color w:val="auto"/>
              </w:rPr>
            </w:pPr>
          </w:p>
        </w:tc>
      </w:tr>
      <w:tr>
        <w:trPr>
          <w:trHeight w:val="171"/>
        </w:trPr>
        <w:tc>
          <w:tcPr>
            <w:tcW w:w="306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1.50x and greater</w:t>
            </w:r>
          </w:p>
        </w:tc>
        <w:tc>
          <w:tcPr>
            <w:tcW w:w="8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9</w:t>
            </w:r>
          </w:p>
        </w:tc>
        <w:tc>
          <w:tcPr>
            <w:tcW w:w="100" w:type="dxa"/>
            <w:vAlign w:val="bottom"/>
            <w:shd w:val="clear" w:color="auto" w:fill="DBDBDB"/>
          </w:tcPr>
          <w:p>
            <w:pPr>
              <w:spacing w:after="0"/>
              <w:rPr>
                <w:sz w:val="14"/>
                <w:szCs w:val="14"/>
                <w:color w:val="auto"/>
              </w:rPr>
            </w:pPr>
          </w:p>
        </w:tc>
        <w:tc>
          <w:tcPr>
            <w:tcW w:w="1100" w:type="dxa"/>
            <w:vAlign w:val="bottom"/>
            <w:gridSpan w:val="3"/>
            <w:shd w:val="clear" w:color="auto" w:fill="DBDBDB"/>
          </w:tcPr>
          <w:p>
            <w:pPr>
              <w:jc w:val="right"/>
              <w:ind w:right="100"/>
              <w:spacing w:after="0"/>
              <w:rPr>
                <w:sz w:val="20"/>
                <w:szCs w:val="20"/>
                <w:color w:val="auto"/>
              </w:rPr>
            </w:pPr>
            <w:r>
              <w:rPr>
                <w:rFonts w:ascii="Arial" w:cs="Arial" w:eastAsia="Arial" w:hAnsi="Arial"/>
                <w:sz w:val="12"/>
                <w:szCs w:val="12"/>
                <w:color w:val="auto"/>
              </w:rPr>
              <w:t>— %</w:t>
            </w:r>
          </w:p>
        </w:tc>
        <w:tc>
          <w:tcPr>
            <w:tcW w:w="1040" w:type="dxa"/>
            <w:vAlign w:val="bottom"/>
            <w:gridSpan w:val="3"/>
            <w:shd w:val="clear" w:color="auto" w:fill="DBDBDB"/>
          </w:tcPr>
          <w:p>
            <w:pPr>
              <w:jc w:val="right"/>
              <w:ind w:right="20"/>
              <w:spacing w:after="0"/>
              <w:rPr>
                <w:sz w:val="20"/>
                <w:szCs w:val="20"/>
                <w:color w:val="auto"/>
              </w:rPr>
            </w:pPr>
            <w:r>
              <w:rPr>
                <w:rFonts w:ascii="Arial" w:cs="Arial" w:eastAsia="Arial" w:hAnsi="Arial"/>
                <w:sz w:val="12"/>
                <w:szCs w:val="12"/>
                <w:color w:val="auto"/>
              </w:rPr>
              <w:t>21 %</w:t>
            </w:r>
          </w:p>
        </w:tc>
        <w:tc>
          <w:tcPr>
            <w:tcW w:w="80" w:type="dxa"/>
            <w:vAlign w:val="bottom"/>
            <w:shd w:val="clear" w:color="auto" w:fill="DBDBDB"/>
          </w:tcPr>
          <w:p>
            <w:pPr>
              <w:spacing w:after="0"/>
              <w:rPr>
                <w:sz w:val="14"/>
                <w:szCs w:val="14"/>
                <w:color w:val="auto"/>
              </w:rPr>
            </w:pPr>
          </w:p>
        </w:tc>
        <w:tc>
          <w:tcPr>
            <w:tcW w:w="1020" w:type="dxa"/>
            <w:vAlign w:val="bottom"/>
            <w:gridSpan w:val="2"/>
            <w:shd w:val="clear" w:color="auto" w:fill="DBDBDB"/>
          </w:tcPr>
          <w:p>
            <w:pPr>
              <w:jc w:val="right"/>
              <w:ind w:right="20"/>
              <w:spacing w:after="0"/>
              <w:rPr>
                <w:sz w:val="20"/>
                <w:szCs w:val="20"/>
                <w:color w:val="auto"/>
              </w:rPr>
            </w:pPr>
            <w:r>
              <w:rPr>
                <w:rFonts w:ascii="Arial" w:cs="Arial" w:eastAsia="Arial" w:hAnsi="Arial"/>
                <w:sz w:val="12"/>
                <w:szCs w:val="12"/>
                <w:color w:val="auto"/>
              </w:rPr>
              <w:t>21 %</w:t>
            </w: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0" w:type="dxa"/>
            <w:vAlign w:val="bottom"/>
            <w:shd w:val="clear" w:color="auto" w:fill="DBDBDB"/>
          </w:tcPr>
          <w:p>
            <w:pPr>
              <w:jc w:val="center"/>
              <w:ind w:left="641"/>
              <w:spacing w:after="0"/>
              <w:rPr>
                <w:sz w:val="20"/>
                <w:szCs w:val="20"/>
                <w:color w:val="auto"/>
              </w:rPr>
            </w:pPr>
            <w:r>
              <w:rPr>
                <w:rFonts w:ascii="Arial" w:cs="Arial" w:eastAsia="Arial" w:hAnsi="Arial"/>
                <w:sz w:val="12"/>
                <w:szCs w:val="12"/>
                <w:color w:val="auto"/>
                <w:w w:val="99"/>
              </w:rPr>
              <w:t>2 yrs</w:t>
            </w:r>
          </w:p>
        </w:tc>
        <w:tc>
          <w:tcPr>
            <w:tcW w:w="0" w:type="dxa"/>
            <w:vAlign w:val="bottom"/>
          </w:tcPr>
          <w:p>
            <w:pPr>
              <w:spacing w:after="0"/>
              <w:rPr>
                <w:sz w:val="1"/>
                <w:szCs w:val="1"/>
                <w:color w:val="auto"/>
              </w:rPr>
            </w:pPr>
          </w:p>
        </w:tc>
      </w:tr>
      <w:tr>
        <w:trPr>
          <w:trHeight w:val="142"/>
        </w:trPr>
        <w:tc>
          <w:tcPr>
            <w:tcW w:w="306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 / W.A.</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18</w:t>
            </w:r>
          </w:p>
        </w:tc>
        <w:tc>
          <w:tcPr>
            <w:tcW w:w="100" w:type="dxa"/>
            <w:vAlign w:val="bottom"/>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36 %</w:t>
            </w:r>
          </w:p>
        </w:tc>
        <w:tc>
          <w:tcPr>
            <w:tcW w:w="80" w:type="dxa"/>
            <w:vAlign w:val="bottom"/>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64 %</w:t>
            </w:r>
          </w:p>
        </w:tc>
        <w:tc>
          <w:tcPr>
            <w:tcW w:w="80" w:type="dxa"/>
            <w:vAlign w:val="bottom"/>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100 %</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ind w:left="621"/>
              <w:spacing w:after="0"/>
              <w:rPr>
                <w:sz w:val="20"/>
                <w:szCs w:val="20"/>
                <w:color w:val="auto"/>
              </w:rPr>
            </w:pPr>
            <w:r>
              <w:rPr>
                <w:rFonts w:ascii="Arial" w:cs="Arial" w:eastAsia="Arial" w:hAnsi="Arial"/>
                <w:sz w:val="12"/>
                <w:szCs w:val="12"/>
                <w:b w:val="1"/>
                <w:bCs w:val="1"/>
                <w:color w:val="auto"/>
                <w:w w:val="99"/>
              </w:rPr>
              <w:t>8 yrs</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2"/>
                <w:szCs w:val="12"/>
                <w:b w:val="1"/>
                <w:bCs w:val="1"/>
                <w:i w:val="1"/>
                <w:iCs w:val="1"/>
                <w:color w:val="003366"/>
              </w:rPr>
              <w:t>Revenue Mix</w:t>
            </w:r>
            <w:r>
              <w:rPr>
                <w:rFonts w:ascii="Arial" w:cs="Arial" w:eastAsia="Arial" w:hAnsi="Arial"/>
                <w:sz w:val="15"/>
                <w:szCs w:val="15"/>
                <w:b w:val="1"/>
                <w:bCs w:val="1"/>
                <w:i w:val="1"/>
                <w:iCs w:val="1"/>
                <w:color w:val="003366"/>
                <w:vertAlign w:val="superscript"/>
              </w:rPr>
              <w:t>(2)</w:t>
            </w: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06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7"/>
          </w:tcPr>
          <w:p>
            <w:pPr>
              <w:ind w:left="40"/>
              <w:spacing w:after="0"/>
              <w:rPr>
                <w:sz w:val="20"/>
                <w:szCs w:val="20"/>
                <w:color w:val="auto"/>
              </w:rPr>
            </w:pPr>
            <w:r>
              <w:rPr>
                <w:rFonts w:ascii="Arial" w:cs="Arial" w:eastAsia="Arial" w:hAnsi="Arial"/>
                <w:sz w:val="11"/>
                <w:szCs w:val="11"/>
                <w:b w:val="1"/>
                <w:bCs w:val="1"/>
                <w:color w:val="auto"/>
              </w:rPr>
              <w:t>December 31, 2020 TTM</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Private Pay</w:t>
            </w:r>
          </w:p>
        </w:tc>
        <w:tc>
          <w:tcPr>
            <w:tcW w:w="1120" w:type="dxa"/>
            <w:vAlign w:val="bottom"/>
            <w:gridSpan w:val="4"/>
          </w:tcPr>
          <w:p>
            <w:pPr>
              <w:ind w:left="160"/>
              <w:spacing w:after="0"/>
              <w:rPr>
                <w:sz w:val="20"/>
                <w:szCs w:val="20"/>
                <w:color w:val="auto"/>
              </w:rPr>
            </w:pPr>
            <w:r>
              <w:rPr>
                <w:rFonts w:ascii="Arial" w:cs="Arial" w:eastAsia="Arial" w:hAnsi="Arial"/>
                <w:sz w:val="11"/>
                <w:szCs w:val="11"/>
                <w:b w:val="1"/>
                <w:bCs w:val="1"/>
                <w:color w:val="auto"/>
              </w:rPr>
              <w:t>Medicare</w:t>
            </w:r>
          </w:p>
        </w:tc>
        <w:tc>
          <w:tcPr>
            <w:tcW w:w="1000" w:type="dxa"/>
            <w:vAlign w:val="bottom"/>
          </w:tcPr>
          <w:p>
            <w:pPr>
              <w:jc w:val="right"/>
              <w:ind w:right="261"/>
              <w:spacing w:after="0"/>
              <w:rPr>
                <w:sz w:val="20"/>
                <w:szCs w:val="20"/>
                <w:color w:val="auto"/>
              </w:rPr>
            </w:pPr>
            <w:r>
              <w:rPr>
                <w:rFonts w:ascii="Arial" w:cs="Arial" w:eastAsia="Arial" w:hAnsi="Arial"/>
                <w:sz w:val="11"/>
                <w:szCs w:val="11"/>
                <w:b w:val="1"/>
                <w:bCs w:val="1"/>
                <w:color w:val="auto"/>
              </w:rPr>
              <w:t>Medicaid</w:t>
            </w:r>
          </w:p>
        </w:tc>
        <w:tc>
          <w:tcPr>
            <w:tcW w:w="0" w:type="dxa"/>
            <w:vAlign w:val="bottom"/>
          </w:tcPr>
          <w:p>
            <w:pPr>
              <w:spacing w:after="0"/>
              <w:rPr>
                <w:sz w:val="1"/>
                <w:szCs w:val="1"/>
                <w:color w:val="auto"/>
              </w:rPr>
            </w:pPr>
          </w:p>
        </w:tc>
      </w:tr>
      <w:tr>
        <w:trPr>
          <w:trHeight w:val="143"/>
        </w:trPr>
        <w:tc>
          <w:tcPr>
            <w:tcW w:w="3060" w:type="dxa"/>
            <w:vAlign w:val="bottom"/>
            <w:tcBorders>
              <w:top w:val="single" w:sz="8" w:color="DBDBDB"/>
            </w:tcBorders>
            <w:gridSpan w:val="2"/>
            <w:shd w:val="clear" w:color="auto" w:fill="DBDBDB"/>
          </w:tcPr>
          <w:p>
            <w:pPr>
              <w:spacing w:after="0"/>
              <w:rPr>
                <w:sz w:val="20"/>
                <w:szCs w:val="20"/>
                <w:color w:val="auto"/>
              </w:rPr>
            </w:pPr>
            <w:r>
              <w:rPr>
                <w:rFonts w:ascii="Arial" w:cs="Arial" w:eastAsia="Arial" w:hAnsi="Arial"/>
                <w:sz w:val="12"/>
                <w:szCs w:val="12"/>
                <w:color w:val="auto"/>
              </w:rPr>
              <w:t>Senior Housing - Operating</w:t>
            </w:r>
          </w:p>
        </w:tc>
        <w:tc>
          <w:tcPr>
            <w:tcW w:w="800" w:type="dxa"/>
            <w:vAlign w:val="bottom"/>
            <w:tcBorders>
              <w:top w:val="single" w:sz="8" w:color="DBDBDB"/>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940" w:type="dxa"/>
            <w:vAlign w:val="bottom"/>
            <w:tcBorders>
              <w:top w:val="single" w:sz="8" w:color="DBDBDB"/>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82 %</w:t>
            </w:r>
          </w:p>
        </w:tc>
        <w:tc>
          <w:tcPr>
            <w:tcW w:w="100" w:type="dxa"/>
            <w:vAlign w:val="bottom"/>
            <w:tcBorders>
              <w:top w:val="single" w:sz="8" w:color="DBDBDB"/>
            </w:tcBorders>
            <w:shd w:val="clear" w:color="auto" w:fill="DBDBDB"/>
          </w:tcPr>
          <w:p>
            <w:pPr>
              <w:spacing w:after="0"/>
              <w:rPr>
                <w:sz w:val="12"/>
                <w:szCs w:val="12"/>
                <w:color w:val="auto"/>
              </w:rPr>
            </w:pPr>
          </w:p>
        </w:tc>
        <w:tc>
          <w:tcPr>
            <w:tcW w:w="6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3 %</w:t>
            </w:r>
          </w:p>
        </w:tc>
        <w:tc>
          <w:tcPr>
            <w:tcW w:w="10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15 %</w:t>
            </w:r>
          </w:p>
        </w:tc>
        <w:tc>
          <w:tcPr>
            <w:tcW w:w="0" w:type="dxa"/>
            <w:vAlign w:val="bottom"/>
          </w:tcPr>
          <w:p>
            <w:pPr>
              <w:spacing w:after="0"/>
              <w:rPr>
                <w:sz w:val="1"/>
                <w:szCs w:val="1"/>
                <w:color w:val="auto"/>
              </w:rPr>
            </w:pPr>
          </w:p>
        </w:tc>
      </w:tr>
      <w:tr>
        <w:trPr>
          <w:trHeight w:val="153"/>
        </w:trPr>
        <w:tc>
          <w:tcPr>
            <w:tcW w:w="3060" w:type="dxa"/>
            <w:vAlign w:val="bottom"/>
            <w:gridSpan w:val="2"/>
          </w:tcPr>
          <w:p>
            <w:pPr>
              <w:spacing w:after="0"/>
              <w:rPr>
                <w:sz w:val="20"/>
                <w:szCs w:val="20"/>
                <w:color w:val="auto"/>
              </w:rPr>
            </w:pPr>
            <w:r>
              <w:rPr>
                <w:rFonts w:ascii="Arial" w:cs="Arial" w:eastAsia="Arial" w:hAnsi="Arial"/>
                <w:sz w:val="12"/>
                <w:szCs w:val="12"/>
                <w:color w:val="auto"/>
              </w:rPr>
              <w:t>Medical Office Buildings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2"/>
                <w:szCs w:val="12"/>
                <w:color w:val="auto"/>
              </w:rPr>
              <w:t>— %</w:t>
            </w:r>
          </w:p>
        </w:tc>
        <w:tc>
          <w:tcPr>
            <w:tcW w:w="1000" w:type="dxa"/>
            <w:vAlign w:val="bottom"/>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53"/>
        </w:trPr>
        <w:tc>
          <w:tcPr>
            <w:tcW w:w="3060" w:type="dxa"/>
            <w:vAlign w:val="bottom"/>
            <w:gridSpan w:val="2"/>
            <w:shd w:val="clear" w:color="auto" w:fill="DBDBDB"/>
          </w:tcPr>
          <w:p>
            <w:pPr>
              <w:spacing w:after="0"/>
              <w:rPr>
                <w:sz w:val="20"/>
                <w:szCs w:val="20"/>
                <w:color w:val="auto"/>
              </w:rPr>
            </w:pPr>
            <w:r>
              <w:rPr>
                <w:rFonts w:ascii="Arial" w:cs="Arial" w:eastAsia="Arial" w:hAnsi="Arial"/>
                <w:sz w:val="12"/>
                <w:szCs w:val="12"/>
                <w:i w:val="1"/>
                <w:iCs w:val="1"/>
                <w:color w:val="auto"/>
              </w:rPr>
              <w:t>Triple-Net Lease:</w:t>
            </w: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60" w:type="dxa"/>
            <w:vAlign w:val="bottom"/>
            <w:gridSpan w:val="2"/>
          </w:tcPr>
          <w:p>
            <w:pPr>
              <w:spacing w:after="0"/>
              <w:rPr>
                <w:sz w:val="20"/>
                <w:szCs w:val="20"/>
                <w:color w:val="auto"/>
              </w:rPr>
            </w:pPr>
            <w:r>
              <w:rPr>
                <w:rFonts w:ascii="Arial" w:cs="Arial" w:eastAsia="Arial" w:hAnsi="Arial"/>
                <w:sz w:val="12"/>
                <w:szCs w:val="12"/>
                <w:color w:val="auto"/>
              </w:rPr>
              <w:t>Senior Housing</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59 %</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2"/>
                <w:szCs w:val="12"/>
                <w:color w:val="auto"/>
              </w:rPr>
              <w:t>— %</w:t>
            </w:r>
          </w:p>
        </w:tc>
        <w:tc>
          <w:tcPr>
            <w:tcW w:w="1000" w:type="dxa"/>
            <w:vAlign w:val="bottom"/>
          </w:tcPr>
          <w:p>
            <w:pPr>
              <w:jc w:val="right"/>
              <w:spacing w:after="0"/>
              <w:rPr>
                <w:sz w:val="20"/>
                <w:szCs w:val="20"/>
                <w:color w:val="auto"/>
              </w:rPr>
            </w:pPr>
            <w:r>
              <w:rPr>
                <w:rFonts w:ascii="Arial" w:cs="Arial" w:eastAsia="Arial" w:hAnsi="Arial"/>
                <w:sz w:val="12"/>
                <w:szCs w:val="12"/>
                <w:color w:val="auto"/>
              </w:rPr>
              <w:t>41 %</w:t>
            </w:r>
          </w:p>
        </w:tc>
        <w:tc>
          <w:tcPr>
            <w:tcW w:w="0" w:type="dxa"/>
            <w:vAlign w:val="bottom"/>
          </w:tcPr>
          <w:p>
            <w:pPr>
              <w:spacing w:after="0"/>
              <w:rPr>
                <w:sz w:val="1"/>
                <w:szCs w:val="1"/>
                <w:color w:val="auto"/>
              </w:rPr>
            </w:pPr>
          </w:p>
        </w:tc>
      </w:tr>
      <w:tr>
        <w:trPr>
          <w:trHeight w:val="153"/>
        </w:trPr>
        <w:tc>
          <w:tcPr>
            <w:tcW w:w="306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Skilled Nursing Facilities</w:t>
            </w: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25 %</w:t>
            </w:r>
          </w:p>
        </w:tc>
        <w:tc>
          <w:tcPr>
            <w:tcW w:w="10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23 %</w:t>
            </w:r>
          </w:p>
        </w:tc>
        <w:tc>
          <w:tcPr>
            <w:tcW w:w="1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52 %</w:t>
            </w:r>
          </w:p>
        </w:tc>
        <w:tc>
          <w:tcPr>
            <w:tcW w:w="0" w:type="dxa"/>
            <w:vAlign w:val="bottom"/>
          </w:tcPr>
          <w:p>
            <w:pPr>
              <w:spacing w:after="0"/>
              <w:rPr>
                <w:sz w:val="1"/>
                <w:szCs w:val="1"/>
                <w:color w:val="auto"/>
              </w:rPr>
            </w:pPr>
          </w:p>
        </w:tc>
      </w:tr>
      <w:tr>
        <w:trPr>
          <w:trHeight w:val="153"/>
        </w:trPr>
        <w:tc>
          <w:tcPr>
            <w:tcW w:w="3060" w:type="dxa"/>
            <w:vAlign w:val="bottom"/>
            <w:tcBorders>
              <w:bottom w:val="single" w:sz="8" w:color="DBDBDB"/>
            </w:tcBorders>
            <w:gridSpan w:val="2"/>
          </w:tcPr>
          <w:p>
            <w:pPr>
              <w:spacing w:after="0"/>
              <w:rPr>
                <w:sz w:val="20"/>
                <w:szCs w:val="20"/>
                <w:color w:val="auto"/>
              </w:rPr>
            </w:pPr>
            <w:r>
              <w:rPr>
                <w:rFonts w:ascii="Arial" w:cs="Arial" w:eastAsia="Arial" w:hAnsi="Arial"/>
                <w:sz w:val="12"/>
                <w:szCs w:val="12"/>
                <w:color w:val="auto"/>
              </w:rPr>
              <w:t>Hospitals</w:t>
            </w:r>
          </w:p>
        </w:tc>
        <w:tc>
          <w:tcPr>
            <w:tcW w:w="800" w:type="dxa"/>
            <w:vAlign w:val="bottom"/>
            <w:tcBorders>
              <w:bottom w:val="single" w:sz="8" w:color="DBDBDB"/>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940" w:type="dxa"/>
            <w:vAlign w:val="bottom"/>
            <w:tcBorders>
              <w:bottom w:val="single" w:sz="8" w:color="DBDBD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34 %</w:t>
            </w:r>
          </w:p>
        </w:tc>
        <w:tc>
          <w:tcPr>
            <w:tcW w:w="100" w:type="dxa"/>
            <w:vAlign w:val="bottom"/>
            <w:tcBorders>
              <w:bottom w:val="single" w:sz="8" w:color="DBDBDB"/>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53 %</w:t>
            </w:r>
          </w:p>
        </w:tc>
        <w:tc>
          <w:tcPr>
            <w:tcW w:w="100" w:type="dxa"/>
            <w:vAlign w:val="bottom"/>
            <w:tcBorders>
              <w:bottom w:val="single" w:sz="8" w:color="DBDBDB"/>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13 %</w:t>
            </w:r>
          </w:p>
        </w:tc>
        <w:tc>
          <w:tcPr>
            <w:tcW w:w="0" w:type="dxa"/>
            <w:vAlign w:val="bottom"/>
          </w:tcPr>
          <w:p>
            <w:pPr>
              <w:spacing w:after="0"/>
              <w:rPr>
                <w:sz w:val="1"/>
                <w:szCs w:val="1"/>
                <w:color w:val="auto"/>
              </w:rPr>
            </w:pPr>
          </w:p>
        </w:tc>
      </w:tr>
      <w:tr>
        <w:trPr>
          <w:trHeight w:val="158"/>
        </w:trPr>
        <w:tc>
          <w:tcPr>
            <w:tcW w:w="30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2"/>
                <w:szCs w:val="12"/>
                <w:b w:val="1"/>
                <w:bCs w:val="1"/>
                <w:color w:val="auto"/>
              </w:rPr>
              <w:t>W.A.</w:t>
            </w:r>
          </w:p>
        </w:tc>
        <w:tc>
          <w:tcPr>
            <w:tcW w:w="800" w:type="dxa"/>
            <w:vAlign w:val="bottom"/>
            <w:tcBorders>
              <w:bottom w:val="single" w:sz="8" w:color="DBDBDB"/>
            </w:tcBorders>
            <w:shd w:val="clear" w:color="auto" w:fill="DBDBDB"/>
          </w:tcPr>
          <w:p>
            <w:pPr>
              <w:spacing w:after="0"/>
              <w:rPr>
                <w:sz w:val="13"/>
                <w:szCs w:val="13"/>
                <w:color w:val="auto"/>
              </w:rPr>
            </w:pPr>
          </w:p>
        </w:tc>
        <w:tc>
          <w:tcPr>
            <w:tcW w:w="10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bottom w:val="single" w:sz="8" w:color="auto"/>
            </w:tcBorders>
            <w:shd w:val="clear" w:color="auto" w:fill="DBDBDB"/>
          </w:tcPr>
          <w:p>
            <w:pPr>
              <w:spacing w:after="0"/>
              <w:rPr>
                <w:sz w:val="13"/>
                <w:szCs w:val="13"/>
                <w:color w:val="auto"/>
              </w:rPr>
            </w:pPr>
          </w:p>
        </w:tc>
        <w:tc>
          <w:tcPr>
            <w:tcW w:w="80" w:type="dxa"/>
            <w:vAlign w:val="bottom"/>
            <w:tcBorders>
              <w:bottom w:val="single" w:sz="8" w:color="auto"/>
            </w:tcBorders>
            <w:shd w:val="clear" w:color="auto" w:fill="DBDBDB"/>
          </w:tcPr>
          <w:p>
            <w:pPr>
              <w:spacing w:after="0"/>
              <w:rPr>
                <w:sz w:val="13"/>
                <w:szCs w:val="13"/>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58 %</w:t>
            </w:r>
          </w:p>
        </w:tc>
        <w:tc>
          <w:tcPr>
            <w:tcW w:w="100" w:type="dxa"/>
            <w:vAlign w:val="bottom"/>
            <w:tcBorders>
              <w:bottom w:val="single" w:sz="8" w:color="DBDBDB"/>
            </w:tcBorders>
            <w:shd w:val="clear" w:color="auto" w:fill="DBDBDB"/>
          </w:tcPr>
          <w:p>
            <w:pPr>
              <w:spacing w:after="0"/>
              <w:rPr>
                <w:sz w:val="13"/>
                <w:szCs w:val="13"/>
                <w:color w:val="auto"/>
              </w:rPr>
            </w:pPr>
          </w:p>
        </w:tc>
        <w:tc>
          <w:tcPr>
            <w:tcW w:w="60" w:type="dxa"/>
            <w:vAlign w:val="bottom"/>
            <w:tcBorders>
              <w:bottom w:val="single" w:sz="8" w:color="auto"/>
            </w:tcBorders>
            <w:shd w:val="clear" w:color="auto" w:fill="DBDBDB"/>
          </w:tcPr>
          <w:p>
            <w:pPr>
              <w:spacing w:after="0"/>
              <w:rPr>
                <w:sz w:val="13"/>
                <w:szCs w:val="13"/>
                <w:color w:val="auto"/>
              </w:rPr>
            </w:pPr>
          </w:p>
        </w:tc>
        <w:tc>
          <w:tcPr>
            <w:tcW w:w="80" w:type="dxa"/>
            <w:vAlign w:val="bottom"/>
            <w:tcBorders>
              <w:bottom w:val="single" w:sz="8" w:color="auto"/>
            </w:tcBorders>
            <w:shd w:val="clear" w:color="auto" w:fill="DBDBDB"/>
          </w:tcPr>
          <w:p>
            <w:pPr>
              <w:spacing w:after="0"/>
              <w:rPr>
                <w:sz w:val="13"/>
                <w:szCs w:val="13"/>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11 %</w:t>
            </w:r>
          </w:p>
        </w:tc>
        <w:tc>
          <w:tcPr>
            <w:tcW w:w="100" w:type="dxa"/>
            <w:vAlign w:val="bottom"/>
            <w:tcBorders>
              <w:bottom w:val="single" w:sz="8" w:color="DBDBDB"/>
            </w:tcBorders>
            <w:shd w:val="clear" w:color="auto" w:fill="DBDBDB"/>
          </w:tcPr>
          <w:p>
            <w:pPr>
              <w:spacing w:after="0"/>
              <w:rPr>
                <w:sz w:val="13"/>
                <w:szCs w:val="13"/>
                <w:color w:val="auto"/>
              </w:rPr>
            </w:pPr>
          </w:p>
        </w:tc>
        <w:tc>
          <w:tcPr>
            <w:tcW w:w="20" w:type="dxa"/>
            <w:vAlign w:val="bottom"/>
            <w:tcBorders>
              <w:bottom w:val="single" w:sz="8" w:color="auto"/>
            </w:tcBorders>
            <w:shd w:val="clear" w:color="auto" w:fill="DBDBDB"/>
          </w:tcPr>
          <w:p>
            <w:pPr>
              <w:spacing w:after="0"/>
              <w:rPr>
                <w:sz w:val="13"/>
                <w:szCs w:val="13"/>
                <w:color w:val="auto"/>
              </w:rPr>
            </w:pPr>
          </w:p>
        </w:tc>
        <w:tc>
          <w:tcPr>
            <w:tcW w:w="8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31 %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34" w:lineRule="exact"/>
        <w:rPr>
          <w:sz w:val="20"/>
          <w:szCs w:val="20"/>
          <w:color w:val="auto"/>
        </w:rPr>
      </w:pPr>
    </w:p>
    <w:p>
      <w:pPr>
        <w:jc w:val="both"/>
        <w:ind w:left="208" w:hanging="208"/>
        <w:spacing w:after="0" w:line="268" w:lineRule="auto"/>
        <w:tabs>
          <w:tab w:leader="none" w:pos="190" w:val="left"/>
        </w:tabs>
        <w:numPr>
          <w:ilvl w:val="0"/>
          <w:numId w:val="28"/>
        </w:numPr>
        <w:rPr>
          <w:rFonts w:ascii="Arial" w:cs="Arial" w:eastAsia="Arial" w:hAnsi="Arial"/>
          <w:sz w:val="8"/>
          <w:szCs w:val="8"/>
          <w:color w:val="424242"/>
        </w:rPr>
      </w:pPr>
      <w:r>
        <w:rPr>
          <w:rFonts w:ascii="Arial" w:cs="Arial" w:eastAsia="Arial" w:hAnsi="Arial"/>
          <w:sz w:val="8"/>
          <w:szCs w:val="8"/>
          <w:color w:val="424242"/>
        </w:rPr>
        <w:t>Represents the ratio of the tenant's/operator's EBITDAR to cash rent payable to the Company's Wellness Infrastructure segment on a trailing twelve month basis and due to timing of availability of data tenants/operators provide information from prior quarter. Refer to Important Notes Regarding Non-GAAP Financial Measures and Definitions pages in this presentation for additional information regarding the use of tenant/operator EBITDAR. Represents leases with EBITDAR coverage in each listed range. Excludes interest income associated with triple-net lease senior housing type and rental income from certain hospital properties.</w:t>
      </w:r>
    </w:p>
    <w:p>
      <w:pPr>
        <w:spacing w:after="0" w:line="6" w:lineRule="exact"/>
        <w:rPr>
          <w:rFonts w:ascii="Arial" w:cs="Arial" w:eastAsia="Arial" w:hAnsi="Arial"/>
          <w:sz w:val="8"/>
          <w:szCs w:val="8"/>
          <w:color w:val="424242"/>
        </w:rPr>
      </w:pPr>
    </w:p>
    <w:p>
      <w:pPr>
        <w:ind w:left="208" w:right="20" w:hanging="208"/>
        <w:spacing w:after="0" w:line="279" w:lineRule="auto"/>
        <w:tabs>
          <w:tab w:leader="none" w:pos="193" w:val="left"/>
        </w:tabs>
        <w:numPr>
          <w:ilvl w:val="0"/>
          <w:numId w:val="28"/>
        </w:numPr>
        <w:rPr>
          <w:rFonts w:ascii="Arial" w:cs="Arial" w:eastAsia="Arial" w:hAnsi="Arial"/>
          <w:sz w:val="8"/>
          <w:szCs w:val="8"/>
          <w:color w:val="424242"/>
        </w:rPr>
      </w:pPr>
      <w:r>
        <w:rPr>
          <w:rFonts w:ascii="Arial" w:cs="Arial" w:eastAsia="Arial" w:hAnsi="Arial"/>
          <w:sz w:val="8"/>
          <w:szCs w:val="8"/>
          <w:color w:val="424242"/>
        </w:rPr>
        <w:t>Revenue mix represents percentage of revenues derived from private, Medicare and Medicaid payor sources and as of the prior quarter due to timing of data availability from tenant/operators. The payor source percentages for the hospital category excludes two operating partners, who do not track or report payor source data and totals approximately one-third of NOI in the hospital category. Overall percentages are weighted by NOI exposure in each category.</w:t>
      </w:r>
    </w:p>
    <w:p>
      <w:pPr>
        <w:spacing w:after="0" w:line="31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23</w:t>
            </w:r>
          </w:p>
        </w:tc>
      </w:tr>
    </w:tbl>
    <w:p>
      <w:pPr>
        <w:sectPr>
          <w:pgSz w:w="11900" w:h="16838" w:orient="portrait"/>
          <w:cols w:equalWidth="0" w:num="1">
            <w:col w:w="11308"/>
          </w:cols>
          <w:pgMar w:left="292" w:top="162" w:right="299" w:bottom="1440" w:gutter="0" w:footer="0" w:header="0"/>
        </w:sectPr>
      </w:pPr>
    </w:p>
    <w:bookmarkStart w:id="38" w:name="page39"/>
    <w:bookmarkEnd w:id="38"/>
    <w:p>
      <w:pPr>
        <w:ind w:left="8"/>
        <w:spacing w:after="0"/>
        <w:rPr>
          <w:sz w:val="20"/>
          <w:szCs w:val="20"/>
          <w:color w:val="auto"/>
        </w:rPr>
      </w:pPr>
      <w:r>
        <w:rPr>
          <w:rFonts w:ascii="Arial" w:cs="Arial" w:eastAsia="Arial" w:hAnsi="Arial"/>
          <w:sz w:val="26"/>
          <w:szCs w:val="26"/>
          <w:color w:val="auto"/>
        </w:rPr>
        <w:t>VIIb. Wellness Infrastructure - Portfolio Overview (cont’d)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78040" cy="22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
        <w:spacing w:after="0"/>
        <w:rPr>
          <w:sz w:val="20"/>
          <w:szCs w:val="20"/>
          <w:color w:val="auto"/>
        </w:rPr>
      </w:pPr>
      <w:r>
        <w:rPr>
          <w:rFonts w:ascii="Arial" w:cs="Arial" w:eastAsia="Arial" w:hAnsi="Arial"/>
          <w:sz w:val="11"/>
          <w:szCs w:val="11"/>
          <w:i w:val="1"/>
          <w:iCs w:val="1"/>
          <w:color w:val="auto"/>
        </w:rPr>
        <w:t>($ in thousands; as of or for the three months ended March 31, 2021, unless otherwise noted)</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003366"/>
        </w:rPr>
        <w:t>Top 10 Geographic Locations by NOI</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right"/>
              <w:ind w:right="261"/>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NOI</w:t>
            </w:r>
          </w:p>
        </w:tc>
        <w:tc>
          <w:tcPr>
            <w:tcW w:w="0" w:type="dxa"/>
            <w:vAlign w:val="bottom"/>
          </w:tcPr>
          <w:p>
            <w:pPr>
              <w:spacing w:after="0"/>
              <w:rPr>
                <w:sz w:val="1"/>
                <w:szCs w:val="1"/>
                <w:color w:val="auto"/>
              </w:rPr>
            </w:pPr>
          </w:p>
        </w:tc>
      </w:tr>
      <w:tr>
        <w:trPr>
          <w:trHeight w:val="143"/>
        </w:trPr>
        <w:tc>
          <w:tcPr>
            <w:tcW w:w="1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116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1"/>
                <w:szCs w:val="11"/>
                <w:b w:val="1"/>
                <w:bCs w:val="1"/>
                <w:color w:val="auto"/>
              </w:rPr>
              <w:t>properties</w:t>
            </w:r>
          </w:p>
        </w:tc>
        <w:tc>
          <w:tcPr>
            <w:tcW w:w="80" w:type="dxa"/>
            <w:vAlign w:val="bottom"/>
            <w:tcBorders>
              <w:bottom w:val="single" w:sz="8" w:color="DBDBDB"/>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2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United Kingdom</w:t>
            </w:r>
          </w:p>
        </w:tc>
        <w:tc>
          <w:tcPr>
            <w:tcW w:w="14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46</w:t>
            </w:r>
          </w:p>
        </w:tc>
        <w:tc>
          <w:tcPr>
            <w:tcW w:w="280" w:type="dxa"/>
            <w:vAlign w:val="bottom"/>
            <w:gridSpan w:val="2"/>
            <w:shd w:val="clear" w:color="auto" w:fill="DBDBDB"/>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11,316</w:t>
            </w:r>
          </w:p>
        </w:tc>
        <w:tc>
          <w:tcPr>
            <w:tcW w:w="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spacing w:after="0"/>
              <w:rPr>
                <w:sz w:val="20"/>
                <w:szCs w:val="20"/>
                <w:color w:val="auto"/>
              </w:rPr>
            </w:pPr>
            <w:r>
              <w:rPr>
                <w:rFonts w:ascii="Arial" w:cs="Arial" w:eastAsia="Arial" w:hAnsi="Arial"/>
                <w:sz w:val="12"/>
                <w:szCs w:val="12"/>
                <w:color w:val="auto"/>
              </w:rPr>
              <w:t>Indiana</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7,412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2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Florida</w:t>
            </w:r>
          </w:p>
        </w:tc>
        <w:tc>
          <w:tcPr>
            <w:tcW w:w="14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25</w:t>
            </w:r>
          </w:p>
        </w:tc>
        <w:tc>
          <w:tcPr>
            <w:tcW w:w="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6,390</w:t>
            </w:r>
          </w:p>
        </w:tc>
        <w:tc>
          <w:tcPr>
            <w:tcW w:w="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spacing w:after="0"/>
              <w:rPr>
                <w:sz w:val="20"/>
                <w:szCs w:val="20"/>
                <w:color w:val="auto"/>
              </w:rPr>
            </w:pPr>
            <w:r>
              <w:rPr>
                <w:rFonts w:ascii="Arial" w:cs="Arial" w:eastAsia="Arial" w:hAnsi="Arial"/>
                <w:sz w:val="12"/>
                <w:szCs w:val="12"/>
                <w:color w:val="auto"/>
              </w:rPr>
              <w:t>Pennsylvania</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5,063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2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Georgia</w:t>
            </w:r>
          </w:p>
        </w:tc>
        <w:tc>
          <w:tcPr>
            <w:tcW w:w="14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20</w:t>
            </w:r>
          </w:p>
        </w:tc>
        <w:tc>
          <w:tcPr>
            <w:tcW w:w="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4,502</w:t>
            </w:r>
          </w:p>
        </w:tc>
        <w:tc>
          <w:tcPr>
            <w:tcW w:w="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spacing w:after="0"/>
              <w:rPr>
                <w:sz w:val="20"/>
                <w:szCs w:val="20"/>
                <w:color w:val="auto"/>
              </w:rPr>
            </w:pPr>
            <w:r>
              <w:rPr>
                <w:rFonts w:ascii="Arial" w:cs="Arial" w:eastAsia="Arial" w:hAnsi="Arial"/>
                <w:sz w:val="12"/>
                <w:szCs w:val="12"/>
                <w:color w:val="auto"/>
              </w:rPr>
              <w:t>Oregon</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3,965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2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Texas</w:t>
            </w:r>
          </w:p>
        </w:tc>
        <w:tc>
          <w:tcPr>
            <w:tcW w:w="14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28</w:t>
            </w:r>
          </w:p>
        </w:tc>
        <w:tc>
          <w:tcPr>
            <w:tcW w:w="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3,436</w:t>
            </w:r>
          </w:p>
        </w:tc>
        <w:tc>
          <w:tcPr>
            <w:tcW w:w="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spacing w:after="0"/>
              <w:rPr>
                <w:sz w:val="20"/>
                <w:szCs w:val="20"/>
                <w:color w:val="auto"/>
              </w:rPr>
            </w:pPr>
            <w:r>
              <w:rPr>
                <w:rFonts w:ascii="Arial" w:cs="Arial" w:eastAsia="Arial" w:hAnsi="Arial"/>
                <w:sz w:val="12"/>
                <w:szCs w:val="12"/>
                <w:color w:val="auto"/>
              </w:rPr>
              <w:t>Ohio</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2,580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2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Illinois</w:t>
            </w:r>
          </w:p>
        </w:tc>
        <w:tc>
          <w:tcPr>
            <w:tcW w:w="14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14</w:t>
            </w:r>
          </w:p>
        </w:tc>
        <w:tc>
          <w:tcPr>
            <w:tcW w:w="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2,304</w:t>
            </w:r>
          </w:p>
        </w:tc>
        <w:tc>
          <w:tcPr>
            <w:tcW w:w="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20" w:type="dxa"/>
            <w:vAlign w:val="bottom"/>
            <w:tcBorders>
              <w:bottom w:val="single" w:sz="8" w:color="DBDBDB"/>
            </w:tcBorders>
            <w:gridSpan w:val="2"/>
          </w:tcPr>
          <w:p>
            <w:pPr>
              <w:spacing w:after="0"/>
              <w:rPr>
                <w:sz w:val="20"/>
                <w:szCs w:val="20"/>
                <w:color w:val="auto"/>
              </w:rPr>
            </w:pPr>
            <w:r>
              <w:rPr>
                <w:rFonts w:ascii="Arial" w:cs="Arial" w:eastAsia="Arial" w:hAnsi="Arial"/>
                <w:sz w:val="12"/>
                <w:szCs w:val="12"/>
                <w:color w:val="auto"/>
              </w:rPr>
              <w:t>Louisiana</w:t>
            </w:r>
          </w:p>
        </w:tc>
        <w:tc>
          <w:tcPr>
            <w:tcW w:w="1440" w:type="dxa"/>
            <w:vAlign w:val="bottom"/>
            <w:tcBorders>
              <w:bottom w:val="single" w:sz="8" w:color="DBDBDB"/>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860" w:type="dxa"/>
            <w:vAlign w:val="bottom"/>
            <w:tcBorders>
              <w:bottom w:val="single" w:sz="8" w:color="DBDBDB"/>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200" w:type="dxa"/>
            <w:vAlign w:val="bottom"/>
            <w:tcBorders>
              <w:bottom w:val="single" w:sz="8" w:color="DBDBDB"/>
            </w:tcBorders>
          </w:tcPr>
          <w:p>
            <w:pPr>
              <w:spacing w:after="0"/>
              <w:rPr>
                <w:sz w:val="13"/>
                <w:szCs w:val="13"/>
                <w:color w:val="auto"/>
              </w:rPr>
            </w:pPr>
          </w:p>
        </w:tc>
        <w:tc>
          <w:tcPr>
            <w:tcW w:w="700" w:type="dxa"/>
            <w:vAlign w:val="bottom"/>
            <w:tcBorders>
              <w:bottom w:val="single" w:sz="8" w:color="DBDBDB"/>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DBDBDB"/>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w:t>
            </w:r>
          </w:p>
        </w:tc>
        <w:tc>
          <w:tcPr>
            <w:tcW w:w="80" w:type="dxa"/>
            <w:vAlign w:val="bottom"/>
            <w:tcBorders>
              <w:bottom w:val="single" w:sz="8" w:color="DBDBDB"/>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2,056</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2"/>
                <w:szCs w:val="12"/>
                <w:b w:val="1"/>
                <w:bCs w:val="1"/>
                <w:color w:val="auto"/>
              </w:rPr>
              <w:t>Total</w:t>
            </w:r>
          </w:p>
        </w:tc>
        <w:tc>
          <w:tcPr>
            <w:tcW w:w="14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200" w:type="dxa"/>
            <w:vAlign w:val="bottom"/>
            <w:tcBorders>
              <w:bottom w:val="single" w:sz="8" w:color="DBDBDB"/>
            </w:tcBorders>
            <w:shd w:val="clear" w:color="auto" w:fill="DBDBDB"/>
          </w:tcPr>
          <w:p>
            <w:pPr>
              <w:spacing w:after="0"/>
              <w:rPr>
                <w:sz w:val="14"/>
                <w:szCs w:val="14"/>
                <w:color w:val="auto"/>
              </w:rPr>
            </w:pPr>
          </w:p>
        </w:tc>
        <w:tc>
          <w:tcPr>
            <w:tcW w:w="700" w:type="dxa"/>
            <w:vAlign w:val="bottom"/>
            <w:tcBorders>
              <w:bottom w:val="single" w:sz="8" w:color="DBDBDB"/>
            </w:tcBorders>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36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480" w:type="dxa"/>
            <w:vAlign w:val="bottom"/>
            <w:tcBorders>
              <w:bottom w:val="single" w:sz="8" w:color="auto"/>
            </w:tcBorders>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241</w:t>
            </w:r>
          </w:p>
        </w:tc>
        <w:tc>
          <w:tcPr>
            <w:tcW w:w="80" w:type="dxa"/>
            <w:vAlign w:val="bottom"/>
            <w:tcBorders>
              <w:bottom w:val="single" w:sz="8" w:color="DBDBDB"/>
            </w:tcBorders>
            <w:shd w:val="clear" w:color="auto" w:fill="DBDBDB"/>
          </w:tcPr>
          <w:p>
            <w:pPr>
              <w:spacing w:after="0"/>
              <w:rPr>
                <w:sz w:val="14"/>
                <w:szCs w:val="14"/>
                <w:color w:val="auto"/>
              </w:rPr>
            </w:pPr>
          </w:p>
        </w:tc>
        <w:tc>
          <w:tcPr>
            <w:tcW w:w="200" w:type="dxa"/>
            <w:vAlign w:val="bottom"/>
            <w:tcBorders>
              <w:bottom w:val="single" w:sz="8" w:color="auto"/>
            </w:tcBorders>
            <w:shd w:val="clear" w:color="auto" w:fill="DBDBDB"/>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80" w:type="dxa"/>
            <w:vAlign w:val="bottom"/>
            <w:tcBorders>
              <w:bottom w:val="single" w:sz="8" w:color="auto"/>
            </w:tcBorders>
            <w:shd w:val="clear" w:color="auto" w:fill="DBDBDB"/>
          </w:tcPr>
          <w:p>
            <w:pPr>
              <w:spacing w:after="0"/>
              <w:rPr>
                <w:sz w:val="14"/>
                <w:szCs w:val="14"/>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49,024</w:t>
            </w:r>
          </w:p>
        </w:tc>
        <w:tc>
          <w:tcPr>
            <w:tcW w:w="20" w:type="dxa"/>
            <w:vAlign w:val="bottom"/>
            <w:tcBorders>
              <w:bottom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446"/>
        </w:trPr>
        <w:tc>
          <w:tcPr>
            <w:tcW w:w="1920" w:type="dxa"/>
            <w:vAlign w:val="bottom"/>
            <w:gridSpan w:val="2"/>
          </w:tcPr>
          <w:p>
            <w:pPr>
              <w:spacing w:after="0"/>
              <w:rPr>
                <w:sz w:val="20"/>
                <w:szCs w:val="20"/>
                <w:color w:val="auto"/>
              </w:rPr>
            </w:pPr>
            <w:r>
              <w:rPr>
                <w:rFonts w:ascii="Arial" w:cs="Arial" w:eastAsia="Arial" w:hAnsi="Arial"/>
                <w:sz w:val="12"/>
                <w:szCs w:val="12"/>
                <w:b w:val="1"/>
                <w:bCs w:val="1"/>
                <w:i w:val="1"/>
                <w:iCs w:val="1"/>
                <w:color w:val="003366"/>
                <w:w w:val="99"/>
              </w:rPr>
              <w:t>Top 10 Operators/Tenants by NOI</w:t>
            </w: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6"/>
              </w:rPr>
              <w:t>Property Type/Primary</w:t>
            </w:r>
          </w:p>
        </w:tc>
        <w:tc>
          <w:tcPr>
            <w:tcW w:w="9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Number of</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4"/>
            <w:vMerge w:val="restart"/>
          </w:tcPr>
          <w:p>
            <w:pPr>
              <w:ind w:left="140"/>
              <w:spacing w:after="0"/>
              <w:rPr>
                <w:sz w:val="20"/>
                <w:szCs w:val="20"/>
                <w:color w:val="auto"/>
              </w:rPr>
            </w:pPr>
            <w:r>
              <w:rPr>
                <w:rFonts w:ascii="Arial" w:cs="Arial" w:eastAsia="Arial" w:hAnsi="Arial"/>
                <w:sz w:val="11"/>
                <w:szCs w:val="11"/>
                <w:b w:val="1"/>
                <w:bCs w:val="1"/>
                <w:color w:val="auto"/>
              </w:rPr>
              <w:t>TTM Lease</w:t>
            </w:r>
          </w:p>
        </w:tc>
        <w:tc>
          <w:tcPr>
            <w:tcW w:w="9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WA Remaining</w:t>
            </w: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right"/>
              <w:ind w:right="301"/>
              <w:spacing w:after="0"/>
              <w:rPr>
                <w:sz w:val="20"/>
                <w:szCs w:val="20"/>
                <w:color w:val="auto"/>
              </w:rPr>
            </w:pPr>
            <w:r>
              <w:rPr>
                <w:rFonts w:ascii="Arial" w:cs="Arial" w:eastAsia="Arial" w:hAnsi="Arial"/>
                <w:sz w:val="11"/>
                <w:szCs w:val="11"/>
                <w:b w:val="1"/>
                <w:bCs w:val="1"/>
                <w:color w:val="auto"/>
              </w:rPr>
              <w:t>NOI</w:t>
            </w:r>
          </w:p>
        </w:tc>
        <w:tc>
          <w:tcPr>
            <w:tcW w:w="80" w:type="dxa"/>
            <w:vAlign w:val="bottom"/>
          </w:tcPr>
          <w:p>
            <w:pPr>
              <w:spacing w:after="0"/>
              <w:rPr>
                <w:sz w:val="9"/>
                <w:szCs w:val="9"/>
                <w:color w:val="auto"/>
              </w:rPr>
            </w:pPr>
          </w:p>
        </w:tc>
        <w:tc>
          <w:tcPr>
            <w:tcW w:w="940" w:type="dxa"/>
            <w:vAlign w:val="bottom"/>
            <w:gridSpan w:val="3"/>
            <w:vMerge w:val="restart"/>
          </w:tcPr>
          <w:p>
            <w:pPr>
              <w:jc w:val="right"/>
              <w:ind w:right="106"/>
              <w:spacing w:after="0"/>
              <w:rPr>
                <w:sz w:val="20"/>
                <w:szCs w:val="20"/>
                <w:color w:val="auto"/>
              </w:rPr>
            </w:pPr>
            <w:r>
              <w:rPr>
                <w:rFonts w:ascii="Arial" w:cs="Arial" w:eastAsia="Arial" w:hAnsi="Arial"/>
                <w:sz w:val="11"/>
                <w:szCs w:val="11"/>
                <w:b w:val="1"/>
                <w:bCs w:val="1"/>
                <w:color w:val="auto"/>
              </w:rPr>
              <w:t>% Occupied</w:t>
            </w:r>
          </w:p>
        </w:tc>
        <w:tc>
          <w:tcPr>
            <w:tcW w:w="100" w:type="dxa"/>
            <w:vAlign w:val="bottom"/>
            <w:vMerge w:val="restart"/>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840" w:type="dxa"/>
            <w:vAlign w:val="bottom"/>
            <w:tcBorders>
              <w:bottom w:val="single" w:sz="8" w:color="auto"/>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Segment</w:t>
            </w:r>
          </w:p>
        </w:tc>
        <w:tc>
          <w:tcPr>
            <w:tcW w:w="100" w:type="dxa"/>
            <w:vAlign w:val="bottom"/>
            <w:tcBorders>
              <w:bottom w:val="single" w:sz="8" w:color="DBDBDB"/>
            </w:tcBorders>
          </w:tcPr>
          <w:p>
            <w:pPr>
              <w:spacing w:after="0"/>
              <w:rPr>
                <w:sz w:val="12"/>
                <w:szCs w:val="12"/>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properties</w:t>
            </w:r>
          </w:p>
        </w:tc>
        <w:tc>
          <w:tcPr>
            <w:tcW w:w="100" w:type="dxa"/>
            <w:vAlign w:val="bottom"/>
            <w:tcBorders>
              <w:bottom w:val="single" w:sz="8" w:color="DBDBDB"/>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940" w:type="dxa"/>
            <w:vAlign w:val="bottom"/>
            <w:tcBorders>
              <w:bottom w:val="single" w:sz="8" w:color="auto"/>
            </w:tcBorders>
            <w:gridSpan w:val="3"/>
            <w:vMerge w:val="continue"/>
          </w:tcPr>
          <w:p>
            <w:pPr>
              <w:spacing w:after="0"/>
              <w:rPr>
                <w:sz w:val="12"/>
                <w:szCs w:val="12"/>
                <w:color w:val="auto"/>
              </w:rPr>
            </w:pPr>
          </w:p>
        </w:tc>
        <w:tc>
          <w:tcPr>
            <w:tcW w:w="100" w:type="dxa"/>
            <w:vAlign w:val="bottom"/>
            <w:tcBorders>
              <w:bottom w:val="single" w:sz="8" w:color="DBDBDB"/>
            </w:tcBorders>
            <w:vMerge w:val="continue"/>
          </w:tcPr>
          <w:p>
            <w:pPr>
              <w:spacing w:after="0"/>
              <w:rPr>
                <w:sz w:val="12"/>
                <w:szCs w:val="12"/>
                <w:color w:val="auto"/>
              </w:rPr>
            </w:pPr>
          </w:p>
        </w:tc>
        <w:tc>
          <w:tcPr>
            <w:tcW w:w="8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Coverage</w:t>
            </w:r>
          </w:p>
        </w:tc>
        <w:tc>
          <w:tcPr>
            <w:tcW w:w="80" w:type="dxa"/>
            <w:vAlign w:val="bottom"/>
            <w:tcBorders>
              <w:bottom w:val="single" w:sz="8" w:color="DBDBDB"/>
            </w:tcBorders>
          </w:tcPr>
          <w:p>
            <w:pPr>
              <w:spacing w:after="0"/>
              <w:rPr>
                <w:sz w:val="12"/>
                <w:szCs w:val="12"/>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b w:val="1"/>
                <w:bCs w:val="1"/>
                <w:color w:val="auto"/>
              </w:rPr>
              <w:t>Lease Term</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2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Caring Homes (U.K.)</w:t>
            </w:r>
          </w:p>
        </w:tc>
        <w:tc>
          <w:tcPr>
            <w:tcW w:w="1540" w:type="dxa"/>
            <w:vAlign w:val="bottom"/>
            <w:gridSpan w:val="2"/>
            <w:shd w:val="clear" w:color="auto" w:fill="DBDBDB"/>
          </w:tcPr>
          <w:p>
            <w:pPr>
              <w:jc w:val="center"/>
              <w:ind w:right="80"/>
              <w:spacing w:after="0"/>
              <w:rPr>
                <w:sz w:val="20"/>
                <w:szCs w:val="20"/>
                <w:color w:val="auto"/>
              </w:rPr>
            </w:pPr>
            <w:r>
              <w:rPr>
                <w:rFonts w:ascii="Arial" w:cs="Arial" w:eastAsia="Arial" w:hAnsi="Arial"/>
                <w:sz w:val="12"/>
                <w:szCs w:val="12"/>
                <w:color w:val="auto"/>
                <w:w w:val="99"/>
              </w:rPr>
              <w:t>Sr. Housing / NNN</w:t>
            </w:r>
          </w:p>
        </w:tc>
        <w:tc>
          <w:tcPr>
            <w:tcW w:w="8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46</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11,316</w:t>
            </w:r>
          </w:p>
        </w:tc>
        <w:tc>
          <w:tcPr>
            <w:tcW w:w="1020" w:type="dxa"/>
            <w:vAlign w:val="bottom"/>
            <w:gridSpan w:val="4"/>
            <w:shd w:val="clear" w:color="auto" w:fill="DBDBDB"/>
          </w:tcPr>
          <w:p>
            <w:pPr>
              <w:jc w:val="right"/>
              <w:spacing w:after="0"/>
              <w:rPr>
                <w:sz w:val="20"/>
                <w:szCs w:val="20"/>
                <w:color w:val="auto"/>
              </w:rPr>
            </w:pPr>
            <w:r>
              <w:rPr>
                <w:rFonts w:ascii="Arial" w:cs="Arial" w:eastAsia="Arial" w:hAnsi="Arial"/>
                <w:sz w:val="12"/>
                <w:szCs w:val="12"/>
                <w:color w:val="auto"/>
              </w:rPr>
              <w:t>67.9 %</w:t>
            </w:r>
          </w:p>
        </w:tc>
        <w:tc>
          <w:tcPr>
            <w:tcW w:w="10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360" w:type="dxa"/>
            <w:vAlign w:val="bottom"/>
            <w:gridSpan w:val="3"/>
            <w:shd w:val="clear" w:color="auto" w:fill="DBDBDB"/>
          </w:tcPr>
          <w:p>
            <w:pPr>
              <w:jc w:val="right"/>
              <w:ind w:right="100"/>
              <w:spacing w:after="0"/>
              <w:rPr>
                <w:sz w:val="20"/>
                <w:szCs w:val="20"/>
                <w:color w:val="auto"/>
              </w:rPr>
            </w:pPr>
            <w:r>
              <w:rPr>
                <w:rFonts w:ascii="Arial" w:cs="Arial" w:eastAsia="Arial" w:hAnsi="Arial"/>
                <w:sz w:val="12"/>
                <w:szCs w:val="12"/>
                <w:color w:val="auto"/>
              </w:rPr>
              <w:t>0.9x</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 yrs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spacing w:after="0"/>
              <w:rPr>
                <w:sz w:val="20"/>
                <w:szCs w:val="20"/>
                <w:color w:val="auto"/>
              </w:rPr>
            </w:pPr>
            <w:r>
              <w:rPr>
                <w:rFonts w:ascii="Arial" w:cs="Arial" w:eastAsia="Arial" w:hAnsi="Arial"/>
                <w:sz w:val="12"/>
                <w:szCs w:val="12"/>
                <w:color w:val="auto"/>
              </w:rPr>
              <w:t>Senior Lifestyle</w:t>
            </w:r>
          </w:p>
        </w:tc>
        <w:tc>
          <w:tcPr>
            <w:tcW w:w="1540" w:type="dxa"/>
            <w:vAlign w:val="bottom"/>
            <w:gridSpan w:val="2"/>
          </w:tcPr>
          <w:p>
            <w:pPr>
              <w:jc w:val="center"/>
              <w:ind w:right="80"/>
              <w:spacing w:after="0"/>
              <w:rPr>
                <w:sz w:val="20"/>
                <w:szCs w:val="20"/>
                <w:color w:val="auto"/>
              </w:rPr>
            </w:pPr>
            <w:r>
              <w:rPr>
                <w:rFonts w:ascii="Arial" w:cs="Arial" w:eastAsia="Arial" w:hAnsi="Arial"/>
                <w:sz w:val="12"/>
                <w:szCs w:val="12"/>
                <w:color w:val="auto"/>
              </w:rPr>
              <w:t>Sr. Housing / RIDEA</w:t>
            </w: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7,479</w:t>
            </w:r>
          </w:p>
        </w:tc>
        <w:tc>
          <w:tcPr>
            <w:tcW w:w="1020" w:type="dxa"/>
            <w:vAlign w:val="bottom"/>
            <w:gridSpan w:val="4"/>
          </w:tcPr>
          <w:p>
            <w:pPr>
              <w:jc w:val="right"/>
              <w:spacing w:after="0"/>
              <w:rPr>
                <w:sz w:val="20"/>
                <w:szCs w:val="20"/>
                <w:color w:val="auto"/>
              </w:rPr>
            </w:pPr>
            <w:r>
              <w:rPr>
                <w:rFonts w:ascii="Arial" w:cs="Arial" w:eastAsia="Arial" w:hAnsi="Arial"/>
                <w:sz w:val="12"/>
                <w:szCs w:val="12"/>
                <w:color w:val="auto"/>
              </w:rPr>
              <w:t>68.8 %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2"/>
                <w:szCs w:val="12"/>
                <w:color w:val="auto"/>
              </w:rPr>
              <w:t>N/A</w:t>
            </w: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3"/>
        </w:trPr>
        <w:tc>
          <w:tcPr>
            <w:tcW w:w="192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Sentosa</w:t>
            </w:r>
          </w:p>
        </w:tc>
        <w:tc>
          <w:tcPr>
            <w:tcW w:w="1540" w:type="dxa"/>
            <w:vAlign w:val="bottom"/>
            <w:gridSpan w:val="2"/>
            <w:shd w:val="clear" w:color="auto" w:fill="DBDBDB"/>
          </w:tcPr>
          <w:p>
            <w:pPr>
              <w:jc w:val="center"/>
              <w:ind w:right="100"/>
              <w:spacing w:after="0"/>
              <w:rPr>
                <w:sz w:val="20"/>
                <w:szCs w:val="20"/>
                <w:color w:val="auto"/>
              </w:rPr>
            </w:pPr>
            <w:r>
              <w:rPr>
                <w:rFonts w:ascii="Arial" w:cs="Arial" w:eastAsia="Arial" w:hAnsi="Arial"/>
                <w:sz w:val="12"/>
                <w:szCs w:val="12"/>
                <w:color w:val="auto"/>
                <w:w w:val="99"/>
              </w:rPr>
              <w:t>SNF / NNN</w:t>
            </w:r>
          </w:p>
        </w:tc>
        <w:tc>
          <w:tcPr>
            <w:tcW w:w="8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8</w:t>
            </w: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7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5,063</w:t>
            </w:r>
          </w:p>
        </w:tc>
        <w:tc>
          <w:tcPr>
            <w:tcW w:w="1020" w:type="dxa"/>
            <w:vAlign w:val="bottom"/>
            <w:gridSpan w:val="4"/>
            <w:shd w:val="clear" w:color="auto" w:fill="DBDBDB"/>
          </w:tcPr>
          <w:p>
            <w:pPr>
              <w:jc w:val="right"/>
              <w:spacing w:after="0"/>
              <w:rPr>
                <w:sz w:val="20"/>
                <w:szCs w:val="20"/>
                <w:color w:val="auto"/>
              </w:rPr>
            </w:pPr>
            <w:r>
              <w:rPr>
                <w:rFonts w:ascii="Arial" w:cs="Arial" w:eastAsia="Arial" w:hAnsi="Arial"/>
                <w:sz w:val="12"/>
                <w:szCs w:val="12"/>
                <w:color w:val="auto"/>
              </w:rPr>
              <w:t>68.3 %</w:t>
            </w: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360" w:type="dxa"/>
            <w:vAlign w:val="bottom"/>
            <w:gridSpan w:val="3"/>
            <w:shd w:val="clear" w:color="auto" w:fill="DBDBDB"/>
          </w:tcPr>
          <w:p>
            <w:pPr>
              <w:jc w:val="right"/>
              <w:ind w:right="100"/>
              <w:spacing w:after="0"/>
              <w:rPr>
                <w:sz w:val="20"/>
                <w:szCs w:val="20"/>
                <w:color w:val="auto"/>
              </w:rPr>
            </w:pPr>
            <w:r>
              <w:rPr>
                <w:rFonts w:ascii="Arial" w:cs="Arial" w:eastAsia="Arial" w:hAnsi="Arial"/>
                <w:sz w:val="12"/>
                <w:szCs w:val="12"/>
                <w:color w:val="auto"/>
              </w:rPr>
              <w:t>0.4x</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 yrs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spacing w:after="0"/>
              <w:rPr>
                <w:sz w:val="20"/>
                <w:szCs w:val="20"/>
                <w:color w:val="auto"/>
              </w:rPr>
            </w:pPr>
            <w:r>
              <w:rPr>
                <w:rFonts w:ascii="Arial" w:cs="Arial" w:eastAsia="Arial" w:hAnsi="Arial"/>
                <w:sz w:val="12"/>
                <w:szCs w:val="12"/>
                <w:color w:val="auto"/>
              </w:rPr>
              <w:t>Wellington Healthcare</w:t>
            </w: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SNF / NNN</w:t>
            </w: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4,008</w:t>
            </w:r>
          </w:p>
        </w:tc>
        <w:tc>
          <w:tcPr>
            <w:tcW w:w="1020" w:type="dxa"/>
            <w:vAlign w:val="bottom"/>
            <w:gridSpan w:val="4"/>
          </w:tcPr>
          <w:p>
            <w:pPr>
              <w:jc w:val="right"/>
              <w:spacing w:after="0"/>
              <w:rPr>
                <w:sz w:val="20"/>
                <w:szCs w:val="20"/>
                <w:color w:val="auto"/>
              </w:rPr>
            </w:pPr>
            <w:r>
              <w:rPr>
                <w:rFonts w:ascii="Arial" w:cs="Arial" w:eastAsia="Arial" w:hAnsi="Arial"/>
                <w:sz w:val="12"/>
                <w:szCs w:val="12"/>
                <w:color w:val="auto"/>
              </w:rPr>
              <w:t>75.9 %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2"/>
                <w:szCs w:val="12"/>
                <w:color w:val="auto"/>
              </w:rPr>
              <w:t>1.1x</w:t>
            </w: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6 yrs</w:t>
            </w:r>
          </w:p>
        </w:tc>
        <w:tc>
          <w:tcPr>
            <w:tcW w:w="0" w:type="dxa"/>
            <w:vAlign w:val="bottom"/>
          </w:tcPr>
          <w:p>
            <w:pPr>
              <w:spacing w:after="0"/>
              <w:rPr>
                <w:sz w:val="1"/>
                <w:szCs w:val="1"/>
                <w:color w:val="auto"/>
              </w:rPr>
            </w:pPr>
          </w:p>
        </w:tc>
      </w:tr>
      <w:tr>
        <w:trPr>
          <w:trHeight w:val="153"/>
        </w:trPr>
        <w:tc>
          <w:tcPr>
            <w:tcW w:w="192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Millers</w:t>
            </w:r>
          </w:p>
        </w:tc>
        <w:tc>
          <w:tcPr>
            <w:tcW w:w="1540" w:type="dxa"/>
            <w:vAlign w:val="bottom"/>
            <w:gridSpan w:val="2"/>
            <w:shd w:val="clear" w:color="auto" w:fill="DBDBDB"/>
          </w:tcPr>
          <w:p>
            <w:pPr>
              <w:jc w:val="center"/>
              <w:ind w:right="100"/>
              <w:spacing w:after="0"/>
              <w:rPr>
                <w:sz w:val="20"/>
                <w:szCs w:val="20"/>
                <w:color w:val="auto"/>
              </w:rPr>
            </w:pPr>
            <w:r>
              <w:rPr>
                <w:rFonts w:ascii="Arial" w:cs="Arial" w:eastAsia="Arial" w:hAnsi="Arial"/>
                <w:sz w:val="12"/>
                <w:szCs w:val="12"/>
                <w:color w:val="auto"/>
                <w:w w:val="99"/>
              </w:rPr>
              <w:t>SNF / NNN</w:t>
            </w:r>
          </w:p>
        </w:tc>
        <w:tc>
          <w:tcPr>
            <w:tcW w:w="8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28</w:t>
            </w: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7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3,990</w:t>
            </w:r>
          </w:p>
        </w:tc>
        <w:tc>
          <w:tcPr>
            <w:tcW w:w="1020" w:type="dxa"/>
            <w:vAlign w:val="bottom"/>
            <w:gridSpan w:val="4"/>
            <w:shd w:val="clear" w:color="auto" w:fill="DBDBDB"/>
          </w:tcPr>
          <w:p>
            <w:pPr>
              <w:jc w:val="right"/>
              <w:spacing w:after="0"/>
              <w:rPr>
                <w:sz w:val="20"/>
                <w:szCs w:val="20"/>
                <w:color w:val="auto"/>
              </w:rPr>
            </w:pPr>
            <w:r>
              <w:rPr>
                <w:rFonts w:ascii="Arial" w:cs="Arial" w:eastAsia="Arial" w:hAnsi="Arial"/>
                <w:sz w:val="12"/>
                <w:szCs w:val="12"/>
                <w:color w:val="auto"/>
              </w:rPr>
              <w:t>58.3 %</w:t>
            </w: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360" w:type="dxa"/>
            <w:vAlign w:val="bottom"/>
            <w:gridSpan w:val="3"/>
            <w:shd w:val="clear" w:color="auto" w:fill="DBDBDB"/>
          </w:tcPr>
          <w:p>
            <w:pPr>
              <w:jc w:val="right"/>
              <w:ind w:right="100"/>
              <w:spacing w:after="0"/>
              <w:rPr>
                <w:sz w:val="20"/>
                <w:szCs w:val="20"/>
                <w:color w:val="auto"/>
              </w:rPr>
            </w:pPr>
            <w:r>
              <w:rPr>
                <w:rFonts w:ascii="Arial" w:cs="Arial" w:eastAsia="Arial" w:hAnsi="Arial"/>
                <w:sz w:val="12"/>
                <w:szCs w:val="12"/>
                <w:color w:val="auto"/>
              </w:rPr>
              <w:t>2.1x</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spacing w:after="0"/>
              <w:rPr>
                <w:sz w:val="20"/>
                <w:szCs w:val="20"/>
                <w:color w:val="auto"/>
              </w:rPr>
            </w:pPr>
            <w:r>
              <w:rPr>
                <w:rFonts w:ascii="Arial" w:cs="Arial" w:eastAsia="Arial" w:hAnsi="Arial"/>
                <w:sz w:val="12"/>
                <w:szCs w:val="12"/>
                <w:color w:val="auto"/>
              </w:rPr>
              <w:t>Citadel Care Centers, LLC</w:t>
            </w: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SNF / NNN</w:t>
            </w: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3,026</w:t>
            </w:r>
          </w:p>
        </w:tc>
        <w:tc>
          <w:tcPr>
            <w:tcW w:w="1020" w:type="dxa"/>
            <w:vAlign w:val="bottom"/>
            <w:gridSpan w:val="4"/>
          </w:tcPr>
          <w:p>
            <w:pPr>
              <w:jc w:val="right"/>
              <w:spacing w:after="0"/>
              <w:rPr>
                <w:sz w:val="20"/>
                <w:szCs w:val="20"/>
                <w:color w:val="auto"/>
              </w:rPr>
            </w:pPr>
            <w:r>
              <w:rPr>
                <w:rFonts w:ascii="Arial" w:cs="Arial" w:eastAsia="Arial" w:hAnsi="Arial"/>
                <w:sz w:val="12"/>
                <w:szCs w:val="12"/>
                <w:color w:val="auto"/>
              </w:rPr>
              <w:t>59.8 %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2"/>
                <w:szCs w:val="12"/>
                <w:color w:val="auto"/>
              </w:rPr>
              <w:t>0.3x</w:t>
            </w: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3 yrs</w:t>
            </w:r>
          </w:p>
        </w:tc>
        <w:tc>
          <w:tcPr>
            <w:tcW w:w="0" w:type="dxa"/>
            <w:vAlign w:val="bottom"/>
          </w:tcPr>
          <w:p>
            <w:pPr>
              <w:spacing w:after="0"/>
              <w:rPr>
                <w:sz w:val="1"/>
                <w:szCs w:val="1"/>
                <w:color w:val="auto"/>
              </w:rPr>
            </w:pPr>
          </w:p>
        </w:tc>
      </w:tr>
      <w:tr>
        <w:trPr>
          <w:trHeight w:val="153"/>
        </w:trPr>
        <w:tc>
          <w:tcPr>
            <w:tcW w:w="192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Consulate</w:t>
            </w:r>
          </w:p>
        </w:tc>
        <w:tc>
          <w:tcPr>
            <w:tcW w:w="1540" w:type="dxa"/>
            <w:vAlign w:val="bottom"/>
            <w:gridSpan w:val="2"/>
            <w:shd w:val="clear" w:color="auto" w:fill="DBDBDB"/>
          </w:tcPr>
          <w:p>
            <w:pPr>
              <w:jc w:val="center"/>
              <w:ind w:right="100"/>
              <w:spacing w:after="0"/>
              <w:rPr>
                <w:sz w:val="20"/>
                <w:szCs w:val="20"/>
                <w:color w:val="auto"/>
              </w:rPr>
            </w:pPr>
            <w:r>
              <w:rPr>
                <w:rFonts w:ascii="Arial" w:cs="Arial" w:eastAsia="Arial" w:hAnsi="Arial"/>
                <w:sz w:val="12"/>
                <w:szCs w:val="12"/>
                <w:color w:val="auto"/>
                <w:w w:val="99"/>
              </w:rPr>
              <w:t>SNF / NNN</w:t>
            </w:r>
          </w:p>
        </w:tc>
        <w:tc>
          <w:tcPr>
            <w:tcW w:w="8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10</w:t>
            </w: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7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2,678</w:t>
            </w:r>
          </w:p>
        </w:tc>
        <w:tc>
          <w:tcPr>
            <w:tcW w:w="1020" w:type="dxa"/>
            <w:vAlign w:val="bottom"/>
            <w:gridSpan w:val="4"/>
            <w:shd w:val="clear" w:color="auto" w:fill="DBDBDB"/>
          </w:tcPr>
          <w:p>
            <w:pPr>
              <w:jc w:val="right"/>
              <w:spacing w:after="0"/>
              <w:rPr>
                <w:sz w:val="20"/>
                <w:szCs w:val="20"/>
                <w:color w:val="auto"/>
              </w:rPr>
            </w:pPr>
            <w:r>
              <w:rPr>
                <w:rFonts w:ascii="Arial" w:cs="Arial" w:eastAsia="Arial" w:hAnsi="Arial"/>
                <w:sz w:val="12"/>
                <w:szCs w:val="12"/>
                <w:color w:val="auto"/>
              </w:rPr>
              <w:t>79.2 %</w:t>
            </w: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360" w:type="dxa"/>
            <w:vAlign w:val="bottom"/>
            <w:gridSpan w:val="3"/>
            <w:shd w:val="clear" w:color="auto" w:fill="DBDBDB"/>
          </w:tcPr>
          <w:p>
            <w:pPr>
              <w:jc w:val="right"/>
              <w:ind w:right="100"/>
              <w:spacing w:after="0"/>
              <w:rPr>
                <w:sz w:val="20"/>
                <w:szCs w:val="20"/>
                <w:color w:val="auto"/>
              </w:rPr>
            </w:pPr>
            <w:r>
              <w:rPr>
                <w:rFonts w:ascii="Arial" w:cs="Arial" w:eastAsia="Arial" w:hAnsi="Arial"/>
                <w:sz w:val="12"/>
                <w:szCs w:val="12"/>
                <w:color w:val="auto"/>
              </w:rPr>
              <w:t>1.0x</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 yrs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920" w:type="dxa"/>
            <w:vAlign w:val="bottom"/>
            <w:gridSpan w:val="2"/>
            <w:vMerge w:val="restart"/>
          </w:tcPr>
          <w:p>
            <w:pPr>
              <w:spacing w:after="0"/>
              <w:rPr>
                <w:sz w:val="20"/>
                <w:szCs w:val="20"/>
                <w:color w:val="auto"/>
              </w:rPr>
            </w:pPr>
            <w:r>
              <w:rPr>
                <w:rFonts w:ascii="Arial" w:cs="Arial" w:eastAsia="Arial" w:hAnsi="Arial"/>
                <w:sz w:val="12"/>
                <w:szCs w:val="12"/>
                <w:color w:val="auto"/>
              </w:rPr>
              <w:t>Frontier</w:t>
            </w:r>
            <w:r>
              <w:rPr>
                <w:rFonts w:ascii="Arial" w:cs="Arial" w:eastAsia="Arial" w:hAnsi="Arial"/>
                <w:sz w:val="15"/>
                <w:szCs w:val="15"/>
                <w:color w:val="auto"/>
                <w:vertAlign w:val="superscript"/>
              </w:rPr>
              <w:t>(1)</w:t>
            </w:r>
          </w:p>
        </w:tc>
        <w:tc>
          <w:tcPr>
            <w:tcW w:w="1540" w:type="dxa"/>
            <w:vAlign w:val="bottom"/>
            <w:gridSpan w:val="2"/>
          </w:tcPr>
          <w:p>
            <w:pPr>
              <w:jc w:val="center"/>
              <w:ind w:right="80"/>
              <w:spacing w:after="0" w:line="126" w:lineRule="exact"/>
              <w:rPr>
                <w:sz w:val="20"/>
                <w:szCs w:val="20"/>
                <w:color w:val="auto"/>
              </w:rPr>
            </w:pPr>
            <w:r>
              <w:rPr>
                <w:rFonts w:ascii="Arial" w:cs="Arial" w:eastAsia="Arial" w:hAnsi="Arial"/>
                <w:sz w:val="12"/>
                <w:szCs w:val="12"/>
                <w:color w:val="auto"/>
              </w:rPr>
              <w:t>Sr. Housing / NNN /</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92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2"/>
                <w:szCs w:val="12"/>
                <w:color w:val="auto"/>
              </w:rPr>
              <w:t>RIDEA</w:t>
            </w: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2,623</w:t>
            </w:r>
          </w:p>
        </w:tc>
        <w:tc>
          <w:tcPr>
            <w:tcW w:w="1020" w:type="dxa"/>
            <w:vAlign w:val="bottom"/>
            <w:gridSpan w:val="4"/>
          </w:tcPr>
          <w:p>
            <w:pPr>
              <w:jc w:val="right"/>
              <w:spacing w:after="0"/>
              <w:rPr>
                <w:sz w:val="20"/>
                <w:szCs w:val="20"/>
                <w:color w:val="auto"/>
              </w:rPr>
            </w:pPr>
            <w:r>
              <w:rPr>
                <w:rFonts w:ascii="Arial" w:cs="Arial" w:eastAsia="Arial" w:hAnsi="Arial"/>
                <w:sz w:val="12"/>
                <w:szCs w:val="12"/>
                <w:color w:val="auto"/>
              </w:rPr>
              <w:t>91.2 %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2"/>
                <w:szCs w:val="12"/>
                <w:color w:val="auto"/>
              </w:rPr>
              <w:t>1.1x</w:t>
            </w: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2 yrs</w:t>
            </w:r>
          </w:p>
        </w:tc>
        <w:tc>
          <w:tcPr>
            <w:tcW w:w="0" w:type="dxa"/>
            <w:vAlign w:val="bottom"/>
          </w:tcPr>
          <w:p>
            <w:pPr>
              <w:spacing w:after="0"/>
              <w:rPr>
                <w:sz w:val="1"/>
                <w:szCs w:val="1"/>
                <w:color w:val="auto"/>
              </w:rPr>
            </w:pPr>
          </w:p>
        </w:tc>
      </w:tr>
      <w:tr>
        <w:trPr>
          <w:trHeight w:val="153"/>
        </w:trPr>
        <w:tc>
          <w:tcPr>
            <w:tcW w:w="192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Landmark</w:t>
            </w:r>
          </w:p>
        </w:tc>
        <w:tc>
          <w:tcPr>
            <w:tcW w:w="1540" w:type="dxa"/>
            <w:vAlign w:val="bottom"/>
            <w:gridSpan w:val="2"/>
            <w:shd w:val="clear" w:color="auto" w:fill="DBDBDB"/>
          </w:tcPr>
          <w:p>
            <w:pPr>
              <w:jc w:val="center"/>
              <w:ind w:right="80"/>
              <w:spacing w:after="0"/>
              <w:rPr>
                <w:sz w:val="20"/>
                <w:szCs w:val="20"/>
                <w:color w:val="auto"/>
              </w:rPr>
            </w:pPr>
            <w:r>
              <w:rPr>
                <w:rFonts w:ascii="Arial" w:cs="Arial" w:eastAsia="Arial" w:hAnsi="Arial"/>
                <w:sz w:val="12"/>
                <w:szCs w:val="12"/>
                <w:color w:val="auto"/>
                <w:w w:val="96"/>
              </w:rPr>
              <w:t>Hospital</w:t>
            </w:r>
          </w:p>
        </w:tc>
        <w:tc>
          <w:tcPr>
            <w:tcW w:w="86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7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1,759</w:t>
            </w:r>
          </w:p>
        </w:tc>
        <w:tc>
          <w:tcPr>
            <w:tcW w:w="1020" w:type="dxa"/>
            <w:vAlign w:val="bottom"/>
            <w:gridSpan w:val="4"/>
            <w:shd w:val="clear" w:color="auto" w:fill="DBDBDB"/>
          </w:tcPr>
          <w:p>
            <w:pPr>
              <w:jc w:val="right"/>
              <w:spacing w:after="0"/>
              <w:rPr>
                <w:sz w:val="20"/>
                <w:szCs w:val="20"/>
                <w:color w:val="auto"/>
              </w:rPr>
            </w:pPr>
            <w:r>
              <w:rPr>
                <w:rFonts w:ascii="Arial" w:cs="Arial" w:eastAsia="Arial" w:hAnsi="Arial"/>
                <w:sz w:val="12"/>
                <w:szCs w:val="12"/>
                <w:color w:val="auto"/>
              </w:rPr>
              <w:t>68.2 %</w:t>
            </w:r>
          </w:p>
        </w:tc>
        <w:tc>
          <w:tcPr>
            <w:tcW w:w="10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360" w:type="dxa"/>
            <w:vAlign w:val="bottom"/>
            <w:gridSpan w:val="3"/>
            <w:shd w:val="clear" w:color="auto" w:fill="DBDBDB"/>
          </w:tcPr>
          <w:p>
            <w:pPr>
              <w:jc w:val="right"/>
              <w:ind w:right="100"/>
              <w:spacing w:after="0"/>
              <w:rPr>
                <w:sz w:val="20"/>
                <w:szCs w:val="20"/>
                <w:color w:val="auto"/>
              </w:rPr>
            </w:pPr>
            <w:r>
              <w:rPr>
                <w:rFonts w:ascii="Arial" w:cs="Arial" w:eastAsia="Arial" w:hAnsi="Arial"/>
                <w:sz w:val="12"/>
                <w:szCs w:val="12"/>
                <w:color w:val="auto"/>
              </w:rPr>
              <w:t>4.8x</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 yrs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spacing w:after="0"/>
              <w:rPr>
                <w:sz w:val="20"/>
                <w:szCs w:val="20"/>
                <w:color w:val="auto"/>
              </w:rPr>
            </w:pPr>
            <w:r>
              <w:rPr>
                <w:rFonts w:ascii="Arial" w:cs="Arial" w:eastAsia="Arial" w:hAnsi="Arial"/>
                <w:sz w:val="12"/>
                <w:szCs w:val="12"/>
                <w:color w:val="auto"/>
              </w:rPr>
              <w:t>WW Healthcare</w:t>
            </w: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SNF / NNN</w:t>
            </w: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1,347</w:t>
            </w:r>
          </w:p>
        </w:tc>
        <w:tc>
          <w:tcPr>
            <w:tcW w:w="1020" w:type="dxa"/>
            <w:vAlign w:val="bottom"/>
            <w:gridSpan w:val="4"/>
          </w:tcPr>
          <w:p>
            <w:pPr>
              <w:jc w:val="right"/>
              <w:spacing w:after="0"/>
              <w:rPr>
                <w:sz w:val="20"/>
                <w:szCs w:val="20"/>
                <w:color w:val="auto"/>
              </w:rPr>
            </w:pPr>
            <w:r>
              <w:rPr>
                <w:rFonts w:ascii="Arial" w:cs="Arial" w:eastAsia="Arial" w:hAnsi="Arial"/>
                <w:sz w:val="12"/>
                <w:szCs w:val="12"/>
                <w:color w:val="auto"/>
              </w:rPr>
              <w:t>63.7 %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2"/>
                <w:szCs w:val="12"/>
                <w:color w:val="auto"/>
              </w:rPr>
              <w:t>1.4x</w:t>
            </w: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9 yrs</w:t>
            </w:r>
          </w:p>
        </w:tc>
        <w:tc>
          <w:tcPr>
            <w:tcW w:w="0" w:type="dxa"/>
            <w:vAlign w:val="bottom"/>
          </w:tcPr>
          <w:p>
            <w:pPr>
              <w:spacing w:after="0"/>
              <w:rPr>
                <w:sz w:val="1"/>
                <w:szCs w:val="1"/>
                <w:color w:val="auto"/>
              </w:rPr>
            </w:pPr>
          </w:p>
        </w:tc>
      </w:tr>
      <w:tr>
        <w:trPr>
          <w:trHeight w:val="158"/>
        </w:trPr>
        <w:tc>
          <w:tcPr>
            <w:tcW w:w="1920" w:type="dxa"/>
            <w:vAlign w:val="bottom"/>
            <w:tcBorders>
              <w:top w:val="single" w:sz="8" w:color="DBDBDB"/>
              <w:bottom w:val="single" w:sz="8" w:color="DBDBDB"/>
            </w:tcBorders>
            <w:gridSpan w:val="2"/>
            <w:shd w:val="clear" w:color="auto" w:fill="DBDBDB"/>
          </w:tcPr>
          <w:p>
            <w:pPr>
              <w:ind w:left="140"/>
              <w:spacing w:after="0"/>
              <w:rPr>
                <w:sz w:val="20"/>
                <w:szCs w:val="20"/>
                <w:color w:val="auto"/>
              </w:rPr>
            </w:pPr>
            <w:r>
              <w:rPr>
                <w:rFonts w:ascii="Arial" w:cs="Arial" w:eastAsia="Arial" w:hAnsi="Arial"/>
                <w:sz w:val="12"/>
                <w:szCs w:val="12"/>
                <w:b w:val="1"/>
                <w:bCs w:val="1"/>
                <w:color w:val="auto"/>
              </w:rPr>
              <w:t>Total</w:t>
            </w:r>
          </w:p>
        </w:tc>
        <w:tc>
          <w:tcPr>
            <w:tcW w:w="1440" w:type="dxa"/>
            <w:vAlign w:val="bottom"/>
            <w:tcBorders>
              <w:top w:val="single" w:sz="8" w:color="DBDBDB"/>
              <w:bottom w:val="single" w:sz="8" w:color="DBDBDB"/>
            </w:tcBorders>
            <w:shd w:val="clear" w:color="auto" w:fill="DBDBDB"/>
          </w:tcPr>
          <w:p>
            <w:pPr>
              <w:spacing w:after="0"/>
              <w:rPr>
                <w:sz w:val="13"/>
                <w:szCs w:val="13"/>
                <w:color w:val="auto"/>
              </w:rPr>
            </w:pP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86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173</w:t>
            </w: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200" w:type="dxa"/>
            <w:vAlign w:val="bottom"/>
            <w:tcBorders>
              <w:top w:val="single" w:sz="8" w:color="auto"/>
              <w:bottom w:val="single" w:sz="8" w:color="auto"/>
            </w:tcBorders>
            <w:shd w:val="clear" w:color="auto" w:fill="DBDBDB"/>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b w:val="1"/>
                <w:bCs w:val="1"/>
                <w:color w:val="auto"/>
              </w:rPr>
              <w:t>43,289</w:t>
            </w:r>
          </w:p>
        </w:tc>
        <w:tc>
          <w:tcPr>
            <w:tcW w:w="80" w:type="dxa"/>
            <w:vAlign w:val="bottom"/>
            <w:tcBorders>
              <w:top w:val="single" w:sz="8" w:color="DBDBDB"/>
              <w:bottom w:val="single" w:sz="8" w:color="DBDBDB"/>
            </w:tcBorders>
            <w:shd w:val="clear" w:color="auto" w:fill="DBDBDB"/>
          </w:tcPr>
          <w:p>
            <w:pPr>
              <w:spacing w:after="0"/>
              <w:rPr>
                <w:sz w:val="13"/>
                <w:szCs w:val="13"/>
                <w:color w:val="auto"/>
              </w:rPr>
            </w:pPr>
          </w:p>
        </w:tc>
        <w:tc>
          <w:tcPr>
            <w:tcW w:w="360" w:type="dxa"/>
            <w:vAlign w:val="bottom"/>
            <w:tcBorders>
              <w:top w:val="single" w:sz="8" w:color="DBDBDB"/>
              <w:bottom w:val="single" w:sz="8" w:color="DBDBDB"/>
            </w:tcBorders>
            <w:shd w:val="clear" w:color="auto" w:fill="DBDBDB"/>
          </w:tcPr>
          <w:p>
            <w:pPr>
              <w:spacing w:after="0"/>
              <w:rPr>
                <w:sz w:val="13"/>
                <w:szCs w:val="13"/>
                <w:color w:val="auto"/>
              </w:rPr>
            </w:pP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480" w:type="dxa"/>
            <w:vAlign w:val="bottom"/>
            <w:tcBorders>
              <w:top w:val="single" w:sz="8" w:color="DBDBDB"/>
              <w:bottom w:val="single" w:sz="8" w:color="DBDBDB"/>
            </w:tcBorders>
            <w:shd w:val="clear" w:color="auto" w:fill="DBDBDB"/>
          </w:tcPr>
          <w:p>
            <w:pPr>
              <w:spacing w:after="0"/>
              <w:rPr>
                <w:sz w:val="13"/>
                <w:szCs w:val="13"/>
                <w:color w:val="auto"/>
              </w:rPr>
            </w:pP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580" w:type="dxa"/>
            <w:vAlign w:val="bottom"/>
            <w:tcBorders>
              <w:top w:val="single" w:sz="8" w:color="DBDBDB"/>
              <w:bottom w:val="single" w:sz="8" w:color="DBDBDB"/>
            </w:tcBorders>
            <w:shd w:val="clear" w:color="auto" w:fill="DBDBDB"/>
          </w:tcPr>
          <w:p>
            <w:pPr>
              <w:spacing w:after="0"/>
              <w:rPr>
                <w:sz w:val="13"/>
                <w:szCs w:val="13"/>
                <w:color w:val="auto"/>
              </w:rPr>
            </w:pPr>
          </w:p>
        </w:tc>
        <w:tc>
          <w:tcPr>
            <w:tcW w:w="80" w:type="dxa"/>
            <w:vAlign w:val="bottom"/>
            <w:tcBorders>
              <w:top w:val="single" w:sz="8" w:color="DBDBDB"/>
              <w:bottom w:val="single" w:sz="8" w:color="DBDBDB"/>
            </w:tcBorders>
            <w:shd w:val="clear" w:color="auto" w:fill="DBDBDB"/>
          </w:tcPr>
          <w:p>
            <w:pPr>
              <w:spacing w:after="0"/>
              <w:rPr>
                <w:sz w:val="13"/>
                <w:szCs w:val="13"/>
                <w:color w:val="auto"/>
              </w:rPr>
            </w:pPr>
          </w:p>
        </w:tc>
        <w:tc>
          <w:tcPr>
            <w:tcW w:w="200" w:type="dxa"/>
            <w:vAlign w:val="bottom"/>
            <w:tcBorders>
              <w:top w:val="single" w:sz="8" w:color="DBDBDB"/>
              <w:bottom w:val="single" w:sz="8" w:color="DBDBDB"/>
            </w:tcBorders>
            <w:shd w:val="clear" w:color="auto" w:fill="DBDBDB"/>
          </w:tcPr>
          <w:p>
            <w:pPr>
              <w:spacing w:after="0"/>
              <w:rPr>
                <w:sz w:val="13"/>
                <w:szCs w:val="13"/>
                <w:color w:val="auto"/>
              </w:rPr>
            </w:pPr>
          </w:p>
        </w:tc>
        <w:tc>
          <w:tcPr>
            <w:tcW w:w="80" w:type="dxa"/>
            <w:vAlign w:val="bottom"/>
            <w:tcBorders>
              <w:top w:val="single" w:sz="8" w:color="DBDBDB"/>
              <w:bottom w:val="single" w:sz="8" w:color="DBDBDB"/>
            </w:tcBorders>
            <w:shd w:val="clear" w:color="auto" w:fill="DBDBDB"/>
          </w:tcPr>
          <w:p>
            <w:pPr>
              <w:spacing w:after="0"/>
              <w:rPr>
                <w:sz w:val="13"/>
                <w:szCs w:val="13"/>
                <w:color w:val="auto"/>
              </w:rPr>
            </w:pPr>
          </w:p>
        </w:tc>
        <w:tc>
          <w:tcPr>
            <w:tcW w:w="90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8" w:hanging="188"/>
        <w:spacing w:after="0"/>
        <w:tabs>
          <w:tab w:leader="none" w:pos="188" w:val="left"/>
        </w:tabs>
        <w:numPr>
          <w:ilvl w:val="0"/>
          <w:numId w:val="29"/>
        </w:numPr>
        <w:rPr>
          <w:rFonts w:ascii="Arial" w:cs="Arial" w:eastAsia="Arial" w:hAnsi="Arial"/>
          <w:sz w:val="8"/>
          <w:szCs w:val="8"/>
          <w:color w:val="424242"/>
        </w:rPr>
      </w:pPr>
      <w:r>
        <w:rPr>
          <w:rFonts w:ascii="Arial" w:cs="Arial" w:eastAsia="Arial" w:hAnsi="Arial"/>
          <w:sz w:val="8"/>
          <w:szCs w:val="8"/>
          <w:color w:val="424242"/>
        </w:rPr>
        <w:t>NNN primary segment operating metrics presented, RIDEA segment % occupied was 72.4%.</w:t>
      </w:r>
    </w:p>
    <w:p>
      <w:pPr>
        <w:spacing w:after="0" w:line="34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24</w:t>
            </w:r>
          </w:p>
        </w:tc>
      </w:tr>
    </w:tbl>
    <w:p>
      <w:pPr>
        <w:sectPr>
          <w:pgSz w:w="11900" w:h="16838" w:orient="portrait"/>
          <w:cols w:equalWidth="0" w:num="1">
            <w:col w:w="11308"/>
          </w:cols>
          <w:pgMar w:left="292" w:top="162" w:right="299" w:bottom="1440" w:gutter="0" w:footer="0" w:header="0"/>
        </w:sectPr>
      </w:pPr>
    </w:p>
    <w:bookmarkStart w:id="39" w:name="page40"/>
    <w:bookmarkEnd w:id="39"/>
    <w:p>
      <w:pPr>
        <w:ind w:left="8"/>
        <w:spacing w:after="0"/>
        <w:rPr>
          <w:sz w:val="20"/>
          <w:szCs w:val="20"/>
          <w:color w:val="auto"/>
        </w:rPr>
      </w:pPr>
      <w:r>
        <w:rPr>
          <w:rFonts w:ascii="Arial" w:cs="Arial" w:eastAsia="Arial" w:hAnsi="Arial"/>
          <w:sz w:val="26"/>
          <w:szCs w:val="26"/>
          <w:color w:val="auto"/>
        </w:rPr>
        <w:t>VIIb. Wellness Infrastructure - Other</w:t>
      </w:r>
      <w:r>
        <w:rPr>
          <w:rFonts w:ascii="Arial" w:cs="Arial" w:eastAsia="Arial" w:hAnsi="Arial"/>
          <w:sz w:val="34"/>
          <w:szCs w:val="3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178040" cy="22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7860" w:type="dxa"/>
            <w:vAlign w:val="bottom"/>
            <w:gridSpan w:val="2"/>
            <w:vMerge w:val="restart"/>
          </w:tcPr>
          <w:p>
            <w:pPr>
              <w:spacing w:after="0"/>
              <w:rPr>
                <w:sz w:val="20"/>
                <w:szCs w:val="20"/>
                <w:color w:val="auto"/>
              </w:rPr>
            </w:pPr>
            <w:r>
              <w:rPr>
                <w:rFonts w:ascii="Arial" w:cs="Arial" w:eastAsia="Arial" w:hAnsi="Arial"/>
                <w:sz w:val="11"/>
                <w:szCs w:val="11"/>
                <w:i w:val="1"/>
                <w:iCs w:val="1"/>
                <w:color w:val="auto"/>
              </w:rPr>
              <w:t>($ in thousand, as of March 31, 2021, unless otherwise noted)</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Consolidated amount</w:t>
            </w:r>
          </w:p>
        </w:tc>
        <w:tc>
          <w:tcPr>
            <w:tcW w:w="80" w:type="dxa"/>
            <w:vAlign w:val="bottom"/>
          </w:tcPr>
          <w:p>
            <w:pPr>
              <w:spacing w:after="0"/>
              <w:rPr>
                <w:sz w:val="10"/>
                <w:szCs w:val="10"/>
                <w:color w:val="auto"/>
              </w:rPr>
            </w:pPr>
          </w:p>
        </w:tc>
        <w:tc>
          <w:tcPr>
            <w:tcW w:w="1720" w:type="dxa"/>
            <w:vAlign w:val="bottom"/>
          </w:tcPr>
          <w:p>
            <w:pPr>
              <w:jc w:val="right"/>
              <w:ind w:right="42"/>
              <w:spacing w:after="0"/>
              <w:rPr>
                <w:sz w:val="20"/>
                <w:szCs w:val="20"/>
                <w:color w:val="auto"/>
              </w:rPr>
            </w:pPr>
            <w:r>
              <w:rPr>
                <w:rFonts w:ascii="Arial" w:cs="Arial" w:eastAsia="Arial" w:hAnsi="Arial"/>
                <w:sz w:val="11"/>
                <w:szCs w:val="11"/>
                <w:b w:val="1"/>
                <w:bCs w:val="1"/>
                <w:color w:val="auto"/>
                <w:w w:val="96"/>
              </w:rPr>
              <w:t>CLNY OP share of consolidated</w:t>
            </w:r>
          </w:p>
        </w:tc>
        <w:tc>
          <w:tcPr>
            <w:tcW w:w="0" w:type="dxa"/>
            <w:vAlign w:val="bottom"/>
          </w:tcPr>
          <w:p>
            <w:pPr>
              <w:spacing w:after="0"/>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right"/>
              <w:ind w:right="642"/>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43"/>
        </w:trPr>
        <w:tc>
          <w:tcPr>
            <w:tcW w:w="7860" w:type="dxa"/>
            <w:vAlign w:val="bottom"/>
            <w:tcBorders>
              <w:top w:val="single" w:sz="8" w:color="DBDBDB"/>
            </w:tcBorders>
            <w:gridSpan w:val="2"/>
            <w:shd w:val="clear" w:color="auto" w:fill="DBDBDB"/>
          </w:tcPr>
          <w:p>
            <w:pPr>
              <w:ind w:left="140"/>
              <w:spacing w:after="0"/>
              <w:rPr>
                <w:sz w:val="20"/>
                <w:szCs w:val="20"/>
                <w:color w:val="auto"/>
              </w:rPr>
            </w:pPr>
            <w:r>
              <w:rPr>
                <w:rFonts w:ascii="Arial" w:cs="Arial" w:eastAsia="Arial" w:hAnsi="Arial"/>
                <w:sz w:val="12"/>
                <w:szCs w:val="12"/>
                <w:color w:val="auto"/>
              </w:rPr>
              <w:t>N-Star CDO bonds</w:t>
            </w: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36,434</w:t>
            </w:r>
          </w:p>
        </w:tc>
        <w:tc>
          <w:tcPr>
            <w:tcW w:w="80" w:type="dxa"/>
            <w:vAlign w:val="bottom"/>
            <w:tcBorders>
              <w:top w:val="single" w:sz="8" w:color="DBDBDB"/>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720" w:type="dxa"/>
            <w:vAlign w:val="bottom"/>
            <w:tcBorders>
              <w:top w:val="single" w:sz="8" w:color="auto"/>
            </w:tcBorders>
            <w:shd w:val="clear" w:color="auto" w:fill="DBDBDB"/>
          </w:tcPr>
          <w:p>
            <w:pPr>
              <w:jc w:val="right"/>
              <w:ind w:right="2"/>
              <w:spacing w:after="0"/>
              <w:rPr>
                <w:sz w:val="20"/>
                <w:szCs w:val="20"/>
                <w:color w:val="auto"/>
              </w:rPr>
            </w:pPr>
            <w:r>
              <w:rPr>
                <w:rFonts w:ascii="Arial" w:cs="Arial" w:eastAsia="Arial" w:hAnsi="Arial"/>
                <w:sz w:val="12"/>
                <w:szCs w:val="12"/>
                <w:color w:val="auto"/>
              </w:rPr>
              <w:t>36,434</w:t>
            </w:r>
          </w:p>
        </w:tc>
        <w:tc>
          <w:tcPr>
            <w:tcW w:w="0" w:type="dxa"/>
            <w:vAlign w:val="bottom"/>
          </w:tcPr>
          <w:p>
            <w:pPr>
              <w:spacing w:after="0"/>
              <w:rPr>
                <w:sz w:val="1"/>
                <w:szCs w:val="1"/>
                <w:color w:val="auto"/>
              </w:rPr>
            </w:pPr>
          </w:p>
        </w:tc>
      </w:tr>
      <w:tr>
        <w:trPr>
          <w:trHeight w:val="125"/>
        </w:trPr>
        <w:tc>
          <w:tcPr>
            <w:tcW w:w="7860" w:type="dxa"/>
            <w:vAlign w:val="bottom"/>
            <w:gridSpan w:val="2"/>
          </w:tcPr>
          <w:p>
            <w:pPr>
              <w:ind w:left="140"/>
              <w:spacing w:after="0" w:line="126" w:lineRule="exact"/>
              <w:rPr>
                <w:sz w:val="20"/>
                <w:szCs w:val="20"/>
                <w:color w:val="auto"/>
              </w:rPr>
            </w:pPr>
            <w:r>
              <w:rPr>
                <w:rFonts w:ascii="Arial" w:cs="Arial" w:eastAsia="Arial" w:hAnsi="Arial"/>
                <w:sz w:val="12"/>
                <w:szCs w:val="12"/>
                <w:color w:val="auto"/>
              </w:rPr>
              <w:t>Management contract and equity interests in NorthStar Healthcare Income (NHI), equity investment in American Healthcare Investors, a</w:t>
            </w: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7860" w:type="dxa"/>
            <w:vAlign w:val="bottom"/>
            <w:gridSpan w:val="2"/>
          </w:tcPr>
          <w:p>
            <w:pPr>
              <w:ind w:left="140"/>
              <w:spacing w:after="0"/>
              <w:rPr>
                <w:sz w:val="20"/>
                <w:szCs w:val="20"/>
                <w:color w:val="auto"/>
              </w:rPr>
            </w:pPr>
            <w:r>
              <w:rPr>
                <w:rFonts w:ascii="Arial" w:cs="Arial" w:eastAsia="Arial" w:hAnsi="Arial"/>
                <w:sz w:val="12"/>
                <w:szCs w:val="12"/>
                <w:color w:val="auto"/>
              </w:rPr>
              <w:t>healthcare asset manager, and the outstanding balance of a line of credit to NHI</w:t>
            </w:r>
          </w:p>
        </w:tc>
        <w:tc>
          <w:tcPr>
            <w:tcW w:w="100" w:type="dxa"/>
            <w:vAlign w:val="bottom"/>
          </w:tcPr>
          <w:p>
            <w:pPr>
              <w:spacing w:after="0"/>
              <w:rPr>
                <w:sz w:val="12"/>
                <w:szCs w:val="12"/>
                <w:color w:val="auto"/>
              </w:rPr>
            </w:pPr>
          </w:p>
        </w:tc>
        <w:tc>
          <w:tcPr>
            <w:tcW w:w="1240" w:type="dxa"/>
            <w:vAlign w:val="bottom"/>
          </w:tcPr>
          <w:p>
            <w:pPr>
              <w:jc w:val="right"/>
              <w:ind w:right="1"/>
              <w:spacing w:after="0"/>
              <w:rPr>
                <w:sz w:val="20"/>
                <w:szCs w:val="20"/>
                <w:color w:val="auto"/>
              </w:rPr>
            </w:pPr>
            <w:r>
              <w:rPr>
                <w:rFonts w:ascii="Arial" w:cs="Arial" w:eastAsia="Arial" w:hAnsi="Arial"/>
                <w:sz w:val="12"/>
                <w:szCs w:val="12"/>
                <w:color w:val="auto"/>
              </w:rPr>
              <w:t>61,352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jc w:val="right"/>
              <w:ind w:right="2"/>
              <w:spacing w:after="0"/>
              <w:rPr>
                <w:sz w:val="20"/>
                <w:szCs w:val="20"/>
                <w:color w:val="auto"/>
              </w:rPr>
            </w:pPr>
            <w:r>
              <w:rPr>
                <w:rFonts w:ascii="Arial" w:cs="Arial" w:eastAsia="Arial" w:hAnsi="Arial"/>
                <w:sz w:val="12"/>
                <w:szCs w:val="12"/>
                <w:color w:val="auto"/>
              </w:rPr>
              <w:t>61,352</w:t>
            </w:r>
          </w:p>
        </w:tc>
        <w:tc>
          <w:tcPr>
            <w:tcW w:w="0" w:type="dxa"/>
            <w:vAlign w:val="bottom"/>
          </w:tcPr>
          <w:p>
            <w:pPr>
              <w:spacing w:after="0"/>
              <w:rPr>
                <w:sz w:val="1"/>
                <w:szCs w:val="1"/>
                <w:color w:val="auto"/>
              </w:rPr>
            </w:pPr>
          </w:p>
        </w:tc>
      </w:tr>
      <w:tr>
        <w:trPr>
          <w:trHeight w:val="153"/>
        </w:trPr>
        <w:tc>
          <w:tcPr>
            <w:tcW w:w="7860" w:type="dxa"/>
            <w:vAlign w:val="bottom"/>
            <w:gridSpan w:val="2"/>
            <w:shd w:val="clear" w:color="auto" w:fill="DBDBDB"/>
          </w:tcPr>
          <w:p>
            <w:pPr>
              <w:ind w:left="140"/>
              <w:spacing w:after="0"/>
              <w:rPr>
                <w:sz w:val="20"/>
                <w:szCs w:val="20"/>
                <w:color w:val="auto"/>
              </w:rPr>
            </w:pPr>
            <w:r>
              <w:rPr>
                <w:rFonts w:ascii="Arial" w:cs="Arial" w:eastAsia="Arial" w:hAnsi="Arial"/>
                <w:sz w:val="12"/>
                <w:szCs w:val="12"/>
                <w:color w:val="auto"/>
              </w:rPr>
              <w:t>Other</w:t>
            </w:r>
          </w:p>
        </w:tc>
        <w:tc>
          <w:tcPr>
            <w:tcW w:w="10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3,742</w:t>
            </w: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7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3,742</w:t>
            </w:r>
          </w:p>
        </w:tc>
        <w:tc>
          <w:tcPr>
            <w:tcW w:w="0" w:type="dxa"/>
            <w:vAlign w:val="bottom"/>
          </w:tcPr>
          <w:p>
            <w:pPr>
              <w:spacing w:after="0"/>
              <w:rPr>
                <w:sz w:val="1"/>
                <w:szCs w:val="1"/>
                <w:color w:val="auto"/>
              </w:rPr>
            </w:pPr>
          </w:p>
        </w:tc>
      </w:tr>
      <w:tr>
        <w:trPr>
          <w:trHeight w:val="148"/>
        </w:trPr>
        <w:tc>
          <w:tcPr>
            <w:tcW w:w="78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Net carrying value</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101,528</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7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101,528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6" w:lineRule="exact"/>
        <w:rPr>
          <w:sz w:val="20"/>
          <w:szCs w:val="20"/>
          <w:color w:val="auto"/>
        </w:rPr>
      </w:pPr>
    </w:p>
    <w:p>
      <w:pPr>
        <w:ind w:left="208" w:right="200" w:hanging="208"/>
        <w:spacing w:after="0" w:line="268" w:lineRule="auto"/>
        <w:tabs>
          <w:tab w:leader="none" w:pos="188" w:val="left"/>
        </w:tabs>
        <w:numPr>
          <w:ilvl w:val="0"/>
          <w:numId w:val="30"/>
        </w:numPr>
        <w:rPr>
          <w:rFonts w:ascii="Arial" w:cs="Arial" w:eastAsia="Arial" w:hAnsi="Arial"/>
          <w:sz w:val="8"/>
          <w:szCs w:val="8"/>
          <w:color w:val="424242"/>
        </w:rPr>
      </w:pPr>
      <w:r>
        <w:rPr>
          <w:rFonts w:ascii="Arial" w:cs="Arial" w:eastAsia="Arial" w:hAnsi="Arial"/>
          <w:sz w:val="8"/>
          <w:szCs w:val="8"/>
          <w:color w:val="424242"/>
        </w:rPr>
        <w:t>In connection with accelerating the monetization of substantially all of the assets in the Company's Other segment in the first quarter of 2021, the Company reorganized its Wellness Infrastructure segment to retrospectively include other healthcare related assets and obligations. These assets encompass the Company's management contract and equity interests in NorthStar Healthcare Income, equity investment in a healthcare asset manager, and N-Star CDO bonds collateralized largely by certain debt and preferred equity within the capital structure of Wellness Infrastructure, all of which previously resided in the Other segment.</w:t>
      </w: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25</w:t>
            </w:r>
          </w:p>
        </w:tc>
      </w:tr>
    </w:tbl>
    <w:p>
      <w:pPr>
        <w:sectPr>
          <w:pgSz w:w="11900" w:h="16838" w:orient="portrait"/>
          <w:cols w:equalWidth="0" w:num="1">
            <w:col w:w="11308"/>
          </w:cols>
          <w:pgMar w:left="292" w:top="155" w:right="299" w:bottom="1440" w:gutter="0" w:footer="0" w:header="0"/>
        </w:sectPr>
      </w:pPr>
    </w:p>
    <w:bookmarkStart w:id="40" w:name="page41"/>
    <w:bookmarkEnd w:id="40"/>
    <w:p>
      <w:pPr>
        <w:ind w:left="8"/>
        <w:spacing w:after="0"/>
        <w:rPr>
          <w:sz w:val="20"/>
          <w:szCs w:val="20"/>
          <w:color w:val="auto"/>
        </w:rPr>
      </w:pPr>
      <w:r>
        <w:rPr>
          <w:rFonts w:ascii="Arial" w:cs="Arial" w:eastAsia="Arial" w:hAnsi="Arial"/>
          <w:sz w:val="29"/>
          <w:szCs w:val="29"/>
          <w:color w:val="auto"/>
        </w:rPr>
        <w:t>VIIIa. Other Equity and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tbl>
      <w:tblPr>
        <w:tblLayout w:type="fixed"/>
        <w:tblInd w:w="8" w:type="dxa"/>
        <w:tblCellMar>
          <w:top w:w="0" w:type="dxa"/>
          <w:left w:w="0" w:type="dxa"/>
          <w:bottom w:w="0" w:type="dxa"/>
          <w:right w:w="0" w:type="dxa"/>
        </w:tblCellMar>
      </w:tblPr>
      <w:tr>
        <w:trPr>
          <w:trHeight w:val="133"/>
        </w:trPr>
        <w:tc>
          <w:tcPr>
            <w:tcW w:w="22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jc w:val="center"/>
              <w:ind w:right="5"/>
              <w:spacing w:after="0"/>
              <w:rPr>
                <w:sz w:val="20"/>
                <w:szCs w:val="20"/>
                <w:color w:val="auto"/>
              </w:rPr>
            </w:pPr>
            <w:r>
              <w:rPr>
                <w:rFonts w:ascii="Arial" w:cs="Arial" w:eastAsia="Arial" w:hAnsi="Arial"/>
                <w:sz w:val="10"/>
                <w:szCs w:val="10"/>
                <w:b w:val="1"/>
                <w:bCs w:val="1"/>
                <w:color w:val="auto"/>
              </w:rPr>
              <w:t>CLNY OP Share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80" w:type="dxa"/>
            <w:vAlign w:val="bottom"/>
            <w:gridSpan w:val="5"/>
          </w:tcPr>
          <w:p>
            <w:pPr>
              <w:jc w:val="center"/>
              <w:ind w:right="220"/>
              <w:spacing w:after="0"/>
              <w:rPr>
                <w:sz w:val="20"/>
                <w:szCs w:val="20"/>
                <w:color w:val="auto"/>
              </w:rPr>
            </w:pPr>
            <w:r>
              <w:rPr>
                <w:rFonts w:ascii="Arial" w:cs="Arial" w:eastAsia="Arial" w:hAnsi="Arial"/>
                <w:sz w:val="10"/>
                <w:szCs w:val="10"/>
                <w:b w:val="1"/>
                <w:bCs w:val="1"/>
                <w:color w:val="auto"/>
              </w:rPr>
              <w:t>Depreciated Carrying Value</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20"/>
                <w:szCs w:val="20"/>
                <w:color w:val="auto"/>
              </w:rPr>
            </w:pPr>
            <w:r>
              <w:rPr>
                <w:rFonts w:ascii="Arial" w:cs="Arial" w:eastAsia="Arial" w:hAnsi="Arial"/>
                <w:sz w:val="8"/>
                <w:szCs w:val="8"/>
                <w:i w:val="1"/>
                <w:iCs w:val="1"/>
                <w:color w:val="auto"/>
              </w:rPr>
              <w:t>($ in millions)</w:t>
            </w:r>
          </w:p>
        </w:tc>
        <w:tc>
          <w:tcPr>
            <w:tcW w:w="19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45"/>
              <w:spacing w:after="0"/>
              <w:rPr>
                <w:sz w:val="20"/>
                <w:szCs w:val="20"/>
                <w:color w:val="auto"/>
              </w:rPr>
            </w:pPr>
            <w:r>
              <w:rPr>
                <w:rFonts w:ascii="Arial" w:cs="Arial" w:eastAsia="Arial" w:hAnsi="Arial"/>
                <w:sz w:val="10"/>
                <w:szCs w:val="10"/>
                <w:b w:val="1"/>
                <w:bCs w:val="1"/>
                <w:color w:val="auto"/>
                <w:w w:val="98"/>
              </w:rPr>
              <w:t>3/31/2021</w:t>
            </w: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80" w:type="dxa"/>
            <w:vAlign w:val="bottom"/>
            <w:vMerge w:val="restart"/>
          </w:tcPr>
          <w:p>
            <w:pPr>
              <w:spacing w:after="0"/>
              <w:rPr>
                <w:sz w:val="20"/>
                <w:szCs w:val="20"/>
                <w:color w:val="auto"/>
              </w:rPr>
            </w:pPr>
            <w:r>
              <w:rPr>
                <w:rFonts w:ascii="Arial" w:cs="Arial" w:eastAsia="Arial" w:hAnsi="Arial"/>
                <w:sz w:val="10"/>
                <w:szCs w:val="10"/>
                <w:b w:val="1"/>
                <w:bCs w:val="1"/>
                <w:color w:val="auto"/>
              </w:rPr>
              <w:t>Investment</w:t>
            </w:r>
          </w:p>
        </w:tc>
        <w:tc>
          <w:tcPr>
            <w:tcW w:w="1960" w:type="dxa"/>
            <w:vAlign w:val="bottom"/>
            <w:vMerge w:val="restart"/>
          </w:tcPr>
          <w:p>
            <w:pPr>
              <w:jc w:val="center"/>
              <w:ind w:left="125"/>
              <w:spacing w:after="0"/>
              <w:rPr>
                <w:sz w:val="20"/>
                <w:szCs w:val="20"/>
                <w:color w:val="auto"/>
              </w:rPr>
            </w:pPr>
            <w:r>
              <w:rPr>
                <w:rFonts w:ascii="Arial" w:cs="Arial" w:eastAsia="Arial" w:hAnsi="Arial"/>
                <w:sz w:val="10"/>
                <w:szCs w:val="10"/>
                <w:b w:val="1"/>
                <w:bCs w:val="1"/>
                <w:color w:val="auto"/>
                <w:w w:val="98"/>
              </w:rPr>
              <w:t>Investment Type</w:t>
            </w:r>
          </w:p>
        </w:tc>
        <w:tc>
          <w:tcPr>
            <w:tcW w:w="1960" w:type="dxa"/>
            <w:vAlign w:val="bottom"/>
            <w:vMerge w:val="restart"/>
          </w:tcPr>
          <w:p>
            <w:pPr>
              <w:jc w:val="center"/>
              <w:ind w:right="185"/>
              <w:spacing w:after="0"/>
              <w:rPr>
                <w:sz w:val="20"/>
                <w:szCs w:val="20"/>
                <w:color w:val="auto"/>
              </w:rPr>
            </w:pPr>
            <w:r>
              <w:rPr>
                <w:rFonts w:ascii="Arial" w:cs="Arial" w:eastAsia="Arial" w:hAnsi="Arial"/>
                <w:sz w:val="10"/>
                <w:szCs w:val="10"/>
                <w:b w:val="1"/>
                <w:bCs w:val="1"/>
                <w:color w:val="auto"/>
              </w:rPr>
              <w:t>Property Type</w:t>
            </w:r>
          </w:p>
        </w:tc>
        <w:tc>
          <w:tcPr>
            <w:tcW w:w="15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Geography</w:t>
            </w:r>
          </w:p>
        </w:tc>
        <w:tc>
          <w:tcPr>
            <w:tcW w:w="1060" w:type="dxa"/>
            <w:vAlign w:val="bottom"/>
          </w:tcPr>
          <w:p>
            <w:pPr>
              <w:jc w:val="center"/>
              <w:ind w:left="147"/>
              <w:spacing w:after="0" w:line="94" w:lineRule="exact"/>
              <w:rPr>
                <w:sz w:val="20"/>
                <w:szCs w:val="20"/>
                <w:color w:val="auto"/>
              </w:rPr>
            </w:pPr>
            <w:r>
              <w:rPr>
                <w:rFonts w:ascii="Arial" w:cs="Arial" w:eastAsia="Arial" w:hAnsi="Arial"/>
                <w:sz w:val="10"/>
                <w:szCs w:val="10"/>
                <w:b w:val="1"/>
                <w:bCs w:val="1"/>
                <w:color w:val="auto"/>
              </w:rPr>
              <w:t>CLNY Ownership</w:t>
            </w:r>
          </w:p>
        </w:tc>
        <w:tc>
          <w:tcPr>
            <w:tcW w:w="140" w:type="dxa"/>
            <w:vAlign w:val="bottom"/>
          </w:tcPr>
          <w:p>
            <w:pPr>
              <w:spacing w:after="0"/>
              <w:rPr>
                <w:sz w:val="8"/>
                <w:szCs w:val="8"/>
                <w:color w:val="auto"/>
              </w:rPr>
            </w:pPr>
          </w:p>
        </w:tc>
        <w:tc>
          <w:tcPr>
            <w:tcW w:w="660" w:type="dxa"/>
            <w:vAlign w:val="bottom"/>
            <w:vMerge w:val="restart"/>
          </w:tcPr>
          <w:p>
            <w:pPr>
              <w:jc w:val="right"/>
              <w:ind w:right="125"/>
              <w:spacing w:after="0"/>
              <w:rPr>
                <w:sz w:val="20"/>
                <w:szCs w:val="20"/>
                <w:color w:val="auto"/>
              </w:rPr>
            </w:pPr>
            <w:r>
              <w:rPr>
                <w:rFonts w:ascii="Arial" w:cs="Arial" w:eastAsia="Arial" w:hAnsi="Arial"/>
                <w:sz w:val="10"/>
                <w:szCs w:val="10"/>
                <w:b w:val="1"/>
                <w:bCs w:val="1"/>
                <w:color w:val="auto"/>
              </w:rPr>
              <w:t>Assets</w:t>
            </w:r>
            <w:r>
              <w:rPr>
                <w:rFonts w:ascii="Arial" w:cs="Arial" w:eastAsia="Arial" w:hAnsi="Arial"/>
                <w:sz w:val="13"/>
                <w:szCs w:val="13"/>
                <w:b w:val="1"/>
                <w:bCs w:val="1"/>
                <w:color w:val="auto"/>
                <w:vertAlign w:val="superscript"/>
              </w:rPr>
              <w:t>(2)</w:t>
            </w:r>
          </w:p>
        </w:tc>
        <w:tc>
          <w:tcPr>
            <w:tcW w:w="140" w:type="dxa"/>
            <w:vAlign w:val="bottom"/>
          </w:tcPr>
          <w:p>
            <w:pPr>
              <w:spacing w:after="0"/>
              <w:rPr>
                <w:sz w:val="8"/>
                <w:szCs w:val="8"/>
                <w:color w:val="auto"/>
              </w:rPr>
            </w:pPr>
          </w:p>
        </w:tc>
        <w:tc>
          <w:tcPr>
            <w:tcW w:w="760" w:type="dxa"/>
            <w:vAlign w:val="bottom"/>
            <w:vMerge w:val="restart"/>
          </w:tcPr>
          <w:p>
            <w:pPr>
              <w:jc w:val="center"/>
              <w:ind w:right="145"/>
              <w:spacing w:after="0"/>
              <w:rPr>
                <w:sz w:val="20"/>
                <w:szCs w:val="20"/>
                <w:color w:val="auto"/>
              </w:rPr>
            </w:pPr>
            <w:r>
              <w:rPr>
                <w:rFonts w:ascii="Arial" w:cs="Arial" w:eastAsia="Arial" w:hAnsi="Arial"/>
                <w:sz w:val="10"/>
                <w:szCs w:val="10"/>
                <w:b w:val="1"/>
                <w:bCs w:val="1"/>
                <w:color w:val="auto"/>
                <w:w w:val="92"/>
              </w:rPr>
              <w:t>Equity</w:t>
            </w:r>
            <w:r>
              <w:rPr>
                <w:rFonts w:ascii="Arial" w:cs="Arial" w:eastAsia="Arial" w:hAnsi="Arial"/>
                <w:sz w:val="13"/>
                <w:szCs w:val="13"/>
                <w:b w:val="1"/>
                <w:bCs w:val="1"/>
                <w:color w:val="auto"/>
                <w:w w:val="92"/>
                <w:vertAlign w:val="superscript"/>
              </w:rPr>
              <w:t>(2)(3)</w:t>
            </w:r>
          </w:p>
        </w:tc>
        <w:tc>
          <w:tcPr>
            <w:tcW w:w="740" w:type="dxa"/>
            <w:vAlign w:val="bottom"/>
          </w:tcPr>
          <w:p>
            <w:pPr>
              <w:jc w:val="center"/>
              <w:ind w:right="5"/>
              <w:spacing w:after="0" w:line="94" w:lineRule="exact"/>
              <w:rPr>
                <w:sz w:val="20"/>
                <w:szCs w:val="20"/>
                <w:color w:val="auto"/>
              </w:rPr>
            </w:pPr>
            <w:r>
              <w:rPr>
                <w:rFonts w:ascii="Arial" w:cs="Arial" w:eastAsia="Arial" w:hAnsi="Arial"/>
                <w:sz w:val="10"/>
                <w:szCs w:val="10"/>
                <w:b w:val="1"/>
                <w:bCs w:val="1"/>
                <w:color w:val="auto"/>
              </w:rPr>
              <w:t>% of Total</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80" w:type="dxa"/>
            <w:vAlign w:val="bottom"/>
            <w:vMerge w:val="continue"/>
          </w:tcPr>
          <w:p>
            <w:pPr>
              <w:spacing w:after="0"/>
              <w:rPr>
                <w:sz w:val="11"/>
                <w:szCs w:val="11"/>
                <w:color w:val="auto"/>
              </w:rPr>
            </w:pPr>
          </w:p>
        </w:tc>
        <w:tc>
          <w:tcPr>
            <w:tcW w:w="1960" w:type="dxa"/>
            <w:vAlign w:val="bottom"/>
            <w:vMerge w:val="continue"/>
          </w:tcPr>
          <w:p>
            <w:pPr>
              <w:spacing w:after="0"/>
              <w:rPr>
                <w:sz w:val="11"/>
                <w:szCs w:val="11"/>
                <w:color w:val="auto"/>
              </w:rPr>
            </w:pPr>
          </w:p>
        </w:tc>
        <w:tc>
          <w:tcPr>
            <w:tcW w:w="196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060" w:type="dxa"/>
            <w:vAlign w:val="bottom"/>
          </w:tcPr>
          <w:p>
            <w:pPr>
              <w:jc w:val="center"/>
              <w:ind w:left="127"/>
              <w:spacing w:after="0" w:line="135" w:lineRule="exact"/>
              <w:rPr>
                <w:sz w:val="20"/>
                <w:szCs w:val="20"/>
                <w:color w:val="auto"/>
              </w:rPr>
            </w:pPr>
            <w:r>
              <w:rPr>
                <w:rFonts w:ascii="Arial" w:cs="Arial" w:eastAsia="Arial" w:hAnsi="Arial"/>
                <w:sz w:val="15"/>
                <w:szCs w:val="15"/>
                <w:b w:val="1"/>
                <w:bCs w:val="1"/>
                <w:color w:val="auto"/>
                <w:w w:val="98"/>
                <w:vertAlign w:val="subscript"/>
              </w:rPr>
              <w:t>%</w:t>
            </w:r>
            <w:r>
              <w:rPr>
                <w:rFonts w:ascii="Arial" w:cs="Arial" w:eastAsia="Arial" w:hAnsi="Arial"/>
                <w:sz w:val="6"/>
                <w:szCs w:val="6"/>
                <w:b w:val="1"/>
                <w:bCs w:val="1"/>
                <w:color w:val="auto"/>
                <w:w w:val="98"/>
              </w:rPr>
              <w:t>(1)</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04"/>
        </w:trPr>
        <w:tc>
          <w:tcPr>
            <w:tcW w:w="2280" w:type="dxa"/>
            <w:vAlign w:val="bottom"/>
            <w:tcBorders>
              <w:top w:val="single" w:sz="8" w:color="auto"/>
            </w:tcBorders>
            <w:shd w:val="clear" w:color="auto" w:fill="DBDBDB"/>
          </w:tcPr>
          <w:p>
            <w:pPr>
              <w:spacing w:after="0"/>
              <w:rPr>
                <w:sz w:val="9"/>
                <w:szCs w:val="9"/>
                <w:color w:val="auto"/>
              </w:rPr>
            </w:pPr>
          </w:p>
        </w:tc>
        <w:tc>
          <w:tcPr>
            <w:tcW w:w="1960" w:type="dxa"/>
            <w:vAlign w:val="bottom"/>
            <w:tcBorders>
              <w:top w:val="single" w:sz="8" w:color="auto"/>
            </w:tcBorders>
            <w:shd w:val="clear" w:color="auto" w:fill="DBDBDB"/>
          </w:tcPr>
          <w:p>
            <w:pPr>
              <w:jc w:val="center"/>
              <w:ind w:left="165"/>
              <w:spacing w:after="0" w:line="104" w:lineRule="exact"/>
              <w:rPr>
                <w:sz w:val="20"/>
                <w:szCs w:val="20"/>
                <w:color w:val="auto"/>
              </w:rPr>
            </w:pPr>
            <w:r>
              <w:rPr>
                <w:rFonts w:ascii="Arial" w:cs="Arial" w:eastAsia="Arial" w:hAnsi="Arial"/>
                <w:sz w:val="11"/>
                <w:szCs w:val="11"/>
                <w:color w:val="auto"/>
              </w:rPr>
              <w:t>Public Company Common</w:t>
            </w:r>
          </w:p>
        </w:tc>
        <w:tc>
          <w:tcPr>
            <w:tcW w:w="1960" w:type="dxa"/>
            <w:vAlign w:val="bottom"/>
            <w:tcBorders>
              <w:top w:val="single" w:sz="8" w:color="auto"/>
            </w:tcBorders>
            <w:shd w:val="clear" w:color="auto" w:fill="DBDBDB"/>
          </w:tcPr>
          <w:p>
            <w:pPr>
              <w:spacing w:after="0"/>
              <w:rPr>
                <w:sz w:val="9"/>
                <w:szCs w:val="9"/>
                <w:color w:val="auto"/>
              </w:rPr>
            </w:pPr>
          </w:p>
        </w:tc>
        <w:tc>
          <w:tcPr>
            <w:tcW w:w="1520" w:type="dxa"/>
            <w:vAlign w:val="bottom"/>
            <w:tcBorders>
              <w:top w:val="single" w:sz="8" w:color="auto"/>
            </w:tcBorders>
            <w:shd w:val="clear" w:color="auto" w:fill="DBDBDB"/>
          </w:tcPr>
          <w:p>
            <w:pPr>
              <w:spacing w:after="0"/>
              <w:rPr>
                <w:sz w:val="9"/>
                <w:szCs w:val="9"/>
                <w:color w:val="auto"/>
              </w:rPr>
            </w:pPr>
          </w:p>
        </w:tc>
        <w:tc>
          <w:tcPr>
            <w:tcW w:w="1060" w:type="dxa"/>
            <w:vAlign w:val="bottom"/>
            <w:tcBorders>
              <w:top w:val="single" w:sz="8" w:color="auto"/>
            </w:tcBorders>
            <w:shd w:val="clear" w:color="auto" w:fill="DBDBDB"/>
          </w:tcPr>
          <w:p>
            <w:pPr>
              <w:spacing w:after="0"/>
              <w:rPr>
                <w:sz w:val="9"/>
                <w:szCs w:val="9"/>
                <w:color w:val="auto"/>
              </w:rPr>
            </w:pPr>
          </w:p>
        </w:tc>
        <w:tc>
          <w:tcPr>
            <w:tcW w:w="140" w:type="dxa"/>
            <w:vAlign w:val="bottom"/>
            <w:tcBorders>
              <w:top w:val="single" w:sz="8" w:color="auto"/>
            </w:tcBorders>
            <w:shd w:val="clear" w:color="auto" w:fill="DBDBDB"/>
          </w:tcPr>
          <w:p>
            <w:pPr>
              <w:spacing w:after="0"/>
              <w:rPr>
                <w:sz w:val="9"/>
                <w:szCs w:val="9"/>
                <w:color w:val="auto"/>
              </w:rPr>
            </w:pPr>
          </w:p>
        </w:tc>
        <w:tc>
          <w:tcPr>
            <w:tcW w:w="660" w:type="dxa"/>
            <w:vAlign w:val="bottom"/>
            <w:tcBorders>
              <w:top w:val="single" w:sz="8" w:color="auto"/>
            </w:tcBorders>
            <w:shd w:val="clear" w:color="auto" w:fill="DBDBDB"/>
          </w:tcPr>
          <w:p>
            <w:pPr>
              <w:spacing w:after="0"/>
              <w:rPr>
                <w:sz w:val="9"/>
                <w:szCs w:val="9"/>
                <w:color w:val="auto"/>
              </w:rPr>
            </w:pPr>
          </w:p>
        </w:tc>
        <w:tc>
          <w:tcPr>
            <w:tcW w:w="140" w:type="dxa"/>
            <w:vAlign w:val="bottom"/>
            <w:tcBorders>
              <w:top w:val="single" w:sz="8" w:color="auto"/>
            </w:tcBorders>
            <w:shd w:val="clear" w:color="auto" w:fill="DBDBDB"/>
          </w:tcPr>
          <w:p>
            <w:pPr>
              <w:spacing w:after="0"/>
              <w:rPr>
                <w:sz w:val="9"/>
                <w:szCs w:val="9"/>
                <w:color w:val="auto"/>
              </w:rPr>
            </w:pPr>
          </w:p>
        </w:tc>
        <w:tc>
          <w:tcPr>
            <w:tcW w:w="760" w:type="dxa"/>
            <w:vAlign w:val="bottom"/>
            <w:tcBorders>
              <w:top w:val="single" w:sz="8" w:color="auto"/>
            </w:tcBorders>
            <w:shd w:val="clear" w:color="auto" w:fill="DBDBDB"/>
          </w:tcPr>
          <w:p>
            <w:pPr>
              <w:spacing w:after="0"/>
              <w:rPr>
                <w:sz w:val="9"/>
                <w:szCs w:val="9"/>
                <w:color w:val="auto"/>
              </w:rPr>
            </w:pPr>
          </w:p>
        </w:tc>
        <w:tc>
          <w:tcPr>
            <w:tcW w:w="740" w:type="dxa"/>
            <w:vAlign w:val="bottom"/>
            <w:tcBorders>
              <w:top w:val="single" w:sz="8" w:color="auto"/>
            </w:tcBorders>
            <w:shd w:val="clear" w:color="auto" w:fill="DBDBDB"/>
          </w:tcPr>
          <w:p>
            <w:pPr>
              <w:spacing w:after="0"/>
              <w:rPr>
                <w:sz w:val="9"/>
                <w:szCs w:val="9"/>
                <w:color w:val="auto"/>
              </w:rPr>
            </w:pPr>
          </w:p>
        </w:tc>
        <w:tc>
          <w:tcPr>
            <w:tcW w:w="80" w:type="dxa"/>
            <w:vAlign w:val="bottom"/>
            <w:tcBorders>
              <w:top w:val="single" w:sz="8" w:color="DBDBDB"/>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280" w:type="dxa"/>
            <w:vAlign w:val="bottom"/>
            <w:shd w:val="clear" w:color="auto" w:fill="DBDBDB"/>
          </w:tcPr>
          <w:p>
            <w:pPr>
              <w:spacing w:after="0"/>
              <w:rPr>
                <w:sz w:val="20"/>
                <w:szCs w:val="20"/>
                <w:color w:val="auto"/>
              </w:rPr>
            </w:pPr>
            <w:r>
              <w:rPr>
                <w:rFonts w:ascii="Arial" w:cs="Arial" w:eastAsia="Arial" w:hAnsi="Arial"/>
                <w:sz w:val="11"/>
                <w:szCs w:val="11"/>
                <w:color w:val="auto"/>
              </w:rPr>
              <w:t>Colony Credit Real Estate, Inc. (CLNC)</w:t>
            </w:r>
          </w:p>
        </w:tc>
        <w:tc>
          <w:tcPr>
            <w:tcW w:w="1960" w:type="dxa"/>
            <w:vAlign w:val="bottom"/>
            <w:shd w:val="clear" w:color="auto" w:fill="DBDBDB"/>
          </w:tcPr>
          <w:p>
            <w:pPr>
              <w:jc w:val="center"/>
              <w:ind w:left="105"/>
              <w:spacing w:after="0"/>
              <w:rPr>
                <w:sz w:val="20"/>
                <w:szCs w:val="20"/>
                <w:color w:val="auto"/>
              </w:rPr>
            </w:pPr>
            <w:r>
              <w:rPr>
                <w:rFonts w:ascii="Arial" w:cs="Arial" w:eastAsia="Arial" w:hAnsi="Arial"/>
                <w:sz w:val="11"/>
                <w:szCs w:val="11"/>
                <w:color w:val="auto"/>
              </w:rPr>
              <w:t>Shares</w:t>
            </w:r>
          </w:p>
        </w:tc>
        <w:tc>
          <w:tcPr>
            <w:tcW w:w="1960" w:type="dxa"/>
            <w:vAlign w:val="bottom"/>
            <w:shd w:val="clear" w:color="auto" w:fill="DBDBDB"/>
          </w:tcPr>
          <w:p>
            <w:pPr>
              <w:jc w:val="center"/>
              <w:ind w:right="105"/>
              <w:spacing w:after="0"/>
              <w:rPr>
                <w:sz w:val="20"/>
                <w:szCs w:val="20"/>
                <w:color w:val="auto"/>
              </w:rPr>
            </w:pPr>
            <w:r>
              <w:rPr>
                <w:rFonts w:ascii="Arial" w:cs="Arial" w:eastAsia="Arial" w:hAnsi="Arial"/>
                <w:sz w:val="11"/>
                <w:szCs w:val="11"/>
                <w:color w:val="auto"/>
                <w:w w:val="96"/>
              </w:rPr>
              <w:t>Various</w:t>
            </w:r>
          </w:p>
        </w:tc>
        <w:tc>
          <w:tcPr>
            <w:tcW w:w="152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6"/>
              </w:rPr>
              <w:t>Various</w:t>
            </w:r>
          </w:p>
        </w:tc>
        <w:tc>
          <w:tcPr>
            <w:tcW w:w="1060" w:type="dxa"/>
            <w:vAlign w:val="bottom"/>
            <w:shd w:val="clear" w:color="auto" w:fill="DBDBDB"/>
          </w:tcPr>
          <w:p>
            <w:pPr>
              <w:jc w:val="center"/>
              <w:ind w:left="147"/>
              <w:spacing w:after="0"/>
              <w:rPr>
                <w:sz w:val="20"/>
                <w:szCs w:val="20"/>
                <w:color w:val="auto"/>
              </w:rPr>
            </w:pPr>
            <w:r>
              <w:rPr>
                <w:rFonts w:ascii="Arial" w:cs="Arial" w:eastAsia="Arial" w:hAnsi="Arial"/>
                <w:sz w:val="11"/>
                <w:szCs w:val="11"/>
                <w:color w:val="auto"/>
                <w:w w:val="99"/>
              </w:rPr>
              <w:t>36%</w:t>
            </w:r>
          </w:p>
        </w:tc>
        <w:tc>
          <w:tcPr>
            <w:tcW w:w="14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352.8</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DBDBDB"/>
          </w:tcPr>
          <w:p>
            <w:pPr>
              <w:jc w:val="right"/>
              <w:ind w:right="65"/>
              <w:spacing w:after="0"/>
              <w:rPr>
                <w:sz w:val="20"/>
                <w:szCs w:val="20"/>
                <w:color w:val="auto"/>
              </w:rPr>
            </w:pPr>
            <w:r>
              <w:rPr>
                <w:rFonts w:ascii="Arial" w:cs="Arial" w:eastAsia="Arial" w:hAnsi="Arial"/>
                <w:sz w:val="11"/>
                <w:szCs w:val="11"/>
                <w:color w:val="auto"/>
              </w:rPr>
              <w:t>352.8</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32 %</w:t>
            </w:r>
          </w:p>
        </w:tc>
        <w:tc>
          <w:tcPr>
            <w:tcW w:w="8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80" w:type="dxa"/>
            <w:vAlign w:val="bottom"/>
            <w:vMerge w:val="restart"/>
          </w:tcPr>
          <w:p>
            <w:pPr>
              <w:spacing w:after="0"/>
              <w:rPr>
                <w:sz w:val="20"/>
                <w:szCs w:val="20"/>
                <w:color w:val="auto"/>
              </w:rPr>
            </w:pPr>
            <w:r>
              <w:rPr>
                <w:rFonts w:ascii="Arial" w:cs="Arial" w:eastAsia="Arial" w:hAnsi="Arial"/>
                <w:sz w:val="11"/>
                <w:szCs w:val="11"/>
                <w:color w:val="auto"/>
              </w:rPr>
              <w:t>Tolka Irish NPL Portfolio</w:t>
            </w:r>
            <w:r>
              <w:rPr>
                <w:rFonts w:ascii="Arial" w:cs="Arial" w:eastAsia="Arial" w:hAnsi="Arial"/>
                <w:sz w:val="14"/>
                <w:szCs w:val="14"/>
                <w:color w:val="auto"/>
                <w:vertAlign w:val="superscript"/>
              </w:rPr>
              <w:t>(4)</w:t>
            </w:r>
          </w:p>
        </w:tc>
        <w:tc>
          <w:tcPr>
            <w:tcW w:w="1960" w:type="dxa"/>
            <w:vAlign w:val="bottom"/>
          </w:tcPr>
          <w:p>
            <w:pPr>
              <w:jc w:val="center"/>
              <w:ind w:left="165"/>
              <w:spacing w:after="0" w:line="115" w:lineRule="exact"/>
              <w:rPr>
                <w:sz w:val="20"/>
                <w:szCs w:val="20"/>
                <w:color w:val="auto"/>
              </w:rPr>
            </w:pPr>
            <w:r>
              <w:rPr>
                <w:rFonts w:ascii="Arial" w:cs="Arial" w:eastAsia="Arial" w:hAnsi="Arial"/>
                <w:sz w:val="11"/>
                <w:szCs w:val="11"/>
                <w:color w:val="auto"/>
              </w:rPr>
              <w:t>Non-Performing First Mortgage</w:t>
            </w:r>
          </w:p>
        </w:tc>
        <w:tc>
          <w:tcPr>
            <w:tcW w:w="19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280" w:type="dxa"/>
            <w:vAlign w:val="bottom"/>
            <w:vMerge w:val="continue"/>
          </w:tcPr>
          <w:p>
            <w:pPr>
              <w:spacing w:after="0"/>
              <w:rPr>
                <w:sz w:val="11"/>
                <w:szCs w:val="11"/>
                <w:color w:val="auto"/>
              </w:rPr>
            </w:pPr>
          </w:p>
        </w:tc>
        <w:tc>
          <w:tcPr>
            <w:tcW w:w="1960" w:type="dxa"/>
            <w:vAlign w:val="bottom"/>
          </w:tcPr>
          <w:p>
            <w:pPr>
              <w:jc w:val="center"/>
              <w:ind w:left="125"/>
              <w:spacing w:after="0"/>
              <w:rPr>
                <w:sz w:val="20"/>
                <w:szCs w:val="20"/>
                <w:color w:val="auto"/>
              </w:rPr>
            </w:pPr>
            <w:r>
              <w:rPr>
                <w:rFonts w:ascii="Arial" w:cs="Arial" w:eastAsia="Arial" w:hAnsi="Arial"/>
                <w:sz w:val="11"/>
                <w:szCs w:val="11"/>
                <w:color w:val="auto"/>
                <w:w w:val="99"/>
              </w:rPr>
              <w:t>Loans</w:t>
            </w:r>
          </w:p>
        </w:tc>
        <w:tc>
          <w:tcPr>
            <w:tcW w:w="1960" w:type="dxa"/>
            <w:vAlign w:val="bottom"/>
          </w:tcPr>
          <w:p>
            <w:pPr>
              <w:jc w:val="center"/>
              <w:ind w:right="105"/>
              <w:spacing w:after="0"/>
              <w:rPr>
                <w:sz w:val="20"/>
                <w:szCs w:val="20"/>
                <w:color w:val="auto"/>
              </w:rPr>
            </w:pPr>
            <w:r>
              <w:rPr>
                <w:rFonts w:ascii="Arial" w:cs="Arial" w:eastAsia="Arial" w:hAnsi="Arial"/>
                <w:sz w:val="11"/>
                <w:szCs w:val="11"/>
                <w:color w:val="auto"/>
              </w:rPr>
              <w:t>Primarily Office</w:t>
            </w:r>
          </w:p>
        </w:tc>
        <w:tc>
          <w:tcPr>
            <w:tcW w:w="1520" w:type="dxa"/>
            <w:vAlign w:val="bottom"/>
          </w:tcPr>
          <w:p>
            <w:pPr>
              <w:jc w:val="center"/>
              <w:spacing w:after="0"/>
              <w:rPr>
                <w:sz w:val="20"/>
                <w:szCs w:val="20"/>
                <w:color w:val="auto"/>
              </w:rPr>
            </w:pPr>
            <w:r>
              <w:rPr>
                <w:rFonts w:ascii="Arial" w:cs="Arial" w:eastAsia="Arial" w:hAnsi="Arial"/>
                <w:sz w:val="11"/>
                <w:szCs w:val="11"/>
                <w:color w:val="auto"/>
              </w:rPr>
              <w:t>Ireland</w:t>
            </w:r>
          </w:p>
        </w:tc>
        <w:tc>
          <w:tcPr>
            <w:tcW w:w="1060" w:type="dxa"/>
            <w:vAlign w:val="bottom"/>
          </w:tcPr>
          <w:p>
            <w:pPr>
              <w:jc w:val="center"/>
              <w:ind w:left="127"/>
              <w:spacing w:after="0"/>
              <w:rPr>
                <w:sz w:val="20"/>
                <w:szCs w:val="20"/>
                <w:color w:val="auto"/>
              </w:rPr>
            </w:pPr>
            <w:r>
              <w:rPr>
                <w:rFonts w:ascii="Arial" w:cs="Arial" w:eastAsia="Arial" w:hAnsi="Arial"/>
                <w:sz w:val="11"/>
                <w:szCs w:val="11"/>
                <w:color w:val="auto"/>
                <w:w w:val="99"/>
              </w:rPr>
              <w:t>100%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382.5</w:t>
            </w:r>
          </w:p>
        </w:tc>
        <w:tc>
          <w:tcPr>
            <w:tcW w:w="140" w:type="dxa"/>
            <w:vAlign w:val="bottom"/>
          </w:tcPr>
          <w:p>
            <w:pPr>
              <w:spacing w:after="0"/>
              <w:rPr>
                <w:sz w:val="11"/>
                <w:szCs w:val="11"/>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163.3</w:t>
            </w:r>
          </w:p>
        </w:tc>
        <w:tc>
          <w:tcPr>
            <w:tcW w:w="740" w:type="dxa"/>
            <w:vAlign w:val="bottom"/>
          </w:tcPr>
          <w:p>
            <w:pPr>
              <w:jc w:val="right"/>
              <w:spacing w:after="0"/>
              <w:rPr>
                <w:sz w:val="20"/>
                <w:szCs w:val="20"/>
                <w:color w:val="auto"/>
              </w:rPr>
            </w:pPr>
            <w:r>
              <w:rPr>
                <w:rFonts w:ascii="Arial" w:cs="Arial" w:eastAsia="Arial" w:hAnsi="Arial"/>
                <w:sz w:val="11"/>
                <w:szCs w:val="11"/>
                <w:color w:val="auto"/>
              </w:rPr>
              <w:t>15 %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80" w:type="dxa"/>
            <w:vAlign w:val="bottom"/>
            <w:shd w:val="clear" w:color="auto" w:fill="DBDBDB"/>
          </w:tcPr>
          <w:p>
            <w:pPr>
              <w:spacing w:after="0"/>
              <w:rPr>
                <w:sz w:val="10"/>
                <w:szCs w:val="10"/>
                <w:color w:val="auto"/>
              </w:rPr>
            </w:pPr>
          </w:p>
        </w:tc>
        <w:tc>
          <w:tcPr>
            <w:tcW w:w="1960" w:type="dxa"/>
            <w:vAlign w:val="bottom"/>
            <w:shd w:val="clear" w:color="auto" w:fill="DBDBDB"/>
          </w:tcPr>
          <w:p>
            <w:pPr>
              <w:jc w:val="center"/>
              <w:ind w:left="125"/>
              <w:spacing w:after="0" w:line="115" w:lineRule="exact"/>
              <w:rPr>
                <w:sz w:val="20"/>
                <w:szCs w:val="20"/>
                <w:color w:val="auto"/>
              </w:rPr>
            </w:pPr>
            <w:r>
              <w:rPr>
                <w:rFonts w:ascii="Arial" w:cs="Arial" w:eastAsia="Arial" w:hAnsi="Arial"/>
                <w:sz w:val="11"/>
                <w:szCs w:val="11"/>
                <w:color w:val="auto"/>
              </w:rPr>
              <w:t>Mezzanine Loan with Profit</w:t>
            </w:r>
          </w:p>
        </w:tc>
        <w:tc>
          <w:tcPr>
            <w:tcW w:w="1960" w:type="dxa"/>
            <w:vAlign w:val="bottom"/>
            <w:shd w:val="clear" w:color="auto" w:fill="DBDBDB"/>
          </w:tcPr>
          <w:p>
            <w:pPr>
              <w:spacing w:after="0"/>
              <w:rPr>
                <w:sz w:val="10"/>
                <w:szCs w:val="10"/>
                <w:color w:val="auto"/>
              </w:rPr>
            </w:pPr>
          </w:p>
        </w:tc>
        <w:tc>
          <w:tcPr>
            <w:tcW w:w="1520" w:type="dxa"/>
            <w:vAlign w:val="bottom"/>
            <w:shd w:val="clear" w:color="auto" w:fill="DBDBDB"/>
          </w:tcPr>
          <w:p>
            <w:pPr>
              <w:spacing w:after="0"/>
              <w:rPr>
                <w:sz w:val="10"/>
                <w:szCs w:val="10"/>
                <w:color w:val="auto"/>
              </w:rPr>
            </w:pPr>
          </w:p>
        </w:tc>
        <w:tc>
          <w:tcPr>
            <w:tcW w:w="106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66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76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280" w:type="dxa"/>
            <w:vAlign w:val="bottom"/>
            <w:shd w:val="clear" w:color="auto" w:fill="DBDBDB"/>
          </w:tcPr>
          <w:p>
            <w:pPr>
              <w:spacing w:after="0"/>
              <w:rPr>
                <w:sz w:val="20"/>
                <w:szCs w:val="20"/>
                <w:color w:val="auto"/>
              </w:rPr>
            </w:pPr>
            <w:r>
              <w:rPr>
                <w:rFonts w:ascii="Arial" w:cs="Arial" w:eastAsia="Arial" w:hAnsi="Arial"/>
                <w:sz w:val="11"/>
                <w:szCs w:val="11"/>
                <w:color w:val="auto"/>
              </w:rPr>
              <w:t>Spencer Dock Loan</w:t>
            </w:r>
          </w:p>
        </w:tc>
        <w:tc>
          <w:tcPr>
            <w:tcW w:w="1960" w:type="dxa"/>
            <w:vAlign w:val="bottom"/>
            <w:shd w:val="clear" w:color="auto" w:fill="DBDBDB"/>
          </w:tcPr>
          <w:p>
            <w:pPr>
              <w:jc w:val="center"/>
              <w:ind w:left="125"/>
              <w:spacing w:after="0"/>
              <w:rPr>
                <w:sz w:val="20"/>
                <w:szCs w:val="20"/>
                <w:color w:val="auto"/>
              </w:rPr>
            </w:pPr>
            <w:r>
              <w:rPr>
                <w:rFonts w:ascii="Arial" w:cs="Arial" w:eastAsia="Arial" w:hAnsi="Arial"/>
                <w:sz w:val="11"/>
                <w:szCs w:val="11"/>
                <w:color w:val="auto"/>
              </w:rPr>
              <w:t>Participation</w:t>
            </w:r>
          </w:p>
        </w:tc>
        <w:tc>
          <w:tcPr>
            <w:tcW w:w="1960" w:type="dxa"/>
            <w:vAlign w:val="bottom"/>
            <w:shd w:val="clear" w:color="auto" w:fill="DBDBDB"/>
          </w:tcPr>
          <w:p>
            <w:pPr>
              <w:jc w:val="center"/>
              <w:ind w:right="185"/>
              <w:spacing w:after="0"/>
              <w:rPr>
                <w:sz w:val="20"/>
                <w:szCs w:val="20"/>
                <w:color w:val="auto"/>
              </w:rPr>
            </w:pPr>
            <w:r>
              <w:rPr>
                <w:rFonts w:ascii="Arial" w:cs="Arial" w:eastAsia="Arial" w:hAnsi="Arial"/>
                <w:sz w:val="11"/>
                <w:szCs w:val="11"/>
                <w:color w:val="auto"/>
              </w:rPr>
              <w:t>Office, Hospitality &amp; Residential</w:t>
            </w:r>
          </w:p>
        </w:tc>
        <w:tc>
          <w:tcPr>
            <w:tcW w:w="152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Ireland</w:t>
            </w:r>
          </w:p>
        </w:tc>
        <w:tc>
          <w:tcPr>
            <w:tcW w:w="1060" w:type="dxa"/>
            <w:vAlign w:val="bottom"/>
            <w:shd w:val="clear" w:color="auto" w:fill="DBDBDB"/>
          </w:tcPr>
          <w:p>
            <w:pPr>
              <w:jc w:val="center"/>
              <w:ind w:left="147"/>
              <w:spacing w:after="0"/>
              <w:rPr>
                <w:sz w:val="20"/>
                <w:szCs w:val="20"/>
                <w:color w:val="auto"/>
              </w:rPr>
            </w:pPr>
            <w:r>
              <w:rPr>
                <w:rFonts w:ascii="Arial" w:cs="Arial" w:eastAsia="Arial" w:hAnsi="Arial"/>
                <w:sz w:val="11"/>
                <w:szCs w:val="11"/>
                <w:color w:val="auto"/>
                <w:w w:val="99"/>
              </w:rPr>
              <w:t>20%</w:t>
            </w:r>
          </w:p>
        </w:tc>
        <w:tc>
          <w:tcPr>
            <w:tcW w:w="140" w:type="dxa"/>
            <w:vAlign w:val="bottom"/>
            <w:shd w:val="clear" w:color="auto" w:fill="DBDBDB"/>
          </w:tcPr>
          <w:p>
            <w:pPr>
              <w:spacing w:after="0"/>
              <w:rPr>
                <w:sz w:val="11"/>
                <w:szCs w:val="11"/>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50.4</w:t>
            </w:r>
          </w:p>
        </w:tc>
        <w:tc>
          <w:tcPr>
            <w:tcW w:w="140" w:type="dxa"/>
            <w:vAlign w:val="bottom"/>
            <w:shd w:val="clear" w:color="auto" w:fill="DBDBDB"/>
          </w:tcPr>
          <w:p>
            <w:pPr>
              <w:spacing w:after="0"/>
              <w:rPr>
                <w:sz w:val="11"/>
                <w:szCs w:val="11"/>
                <w:color w:val="auto"/>
              </w:rPr>
            </w:pPr>
          </w:p>
        </w:tc>
        <w:tc>
          <w:tcPr>
            <w:tcW w:w="760" w:type="dxa"/>
            <w:vAlign w:val="bottom"/>
            <w:shd w:val="clear" w:color="auto" w:fill="DBDBDB"/>
          </w:tcPr>
          <w:p>
            <w:pPr>
              <w:jc w:val="right"/>
              <w:ind w:right="65"/>
              <w:spacing w:after="0"/>
              <w:rPr>
                <w:sz w:val="20"/>
                <w:szCs w:val="20"/>
                <w:color w:val="auto"/>
              </w:rPr>
            </w:pPr>
            <w:r>
              <w:rPr>
                <w:rFonts w:ascii="Arial" w:cs="Arial" w:eastAsia="Arial" w:hAnsi="Arial"/>
                <w:sz w:val="11"/>
                <w:szCs w:val="11"/>
                <w:color w:val="auto"/>
              </w:rPr>
              <w:t>50.4</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5 %</w:t>
            </w:r>
          </w:p>
        </w:tc>
        <w:tc>
          <w:tcPr>
            <w:tcW w:w="8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20"/>
                <w:szCs w:val="20"/>
                <w:color w:val="auto"/>
              </w:rPr>
            </w:pPr>
            <w:r>
              <w:rPr>
                <w:rFonts w:ascii="Arial" w:cs="Arial" w:eastAsia="Arial" w:hAnsi="Arial"/>
                <w:sz w:val="11"/>
                <w:szCs w:val="11"/>
                <w:color w:val="auto"/>
              </w:rPr>
              <w:t>Ronan CRE Portfolio Loan</w:t>
            </w:r>
          </w:p>
        </w:tc>
        <w:tc>
          <w:tcPr>
            <w:tcW w:w="1960" w:type="dxa"/>
            <w:vAlign w:val="bottom"/>
          </w:tcPr>
          <w:p>
            <w:pPr>
              <w:ind w:left="720"/>
              <w:spacing w:after="0"/>
              <w:rPr>
                <w:sz w:val="20"/>
                <w:szCs w:val="20"/>
                <w:color w:val="auto"/>
              </w:rPr>
            </w:pPr>
            <w:r>
              <w:rPr>
                <w:rFonts w:ascii="Arial" w:cs="Arial" w:eastAsia="Arial" w:hAnsi="Arial"/>
                <w:sz w:val="11"/>
                <w:szCs w:val="11"/>
                <w:color w:val="auto"/>
              </w:rPr>
              <w:t>Mezzanine Loan</w:t>
            </w:r>
          </w:p>
        </w:tc>
        <w:tc>
          <w:tcPr>
            <w:tcW w:w="1960" w:type="dxa"/>
            <w:vAlign w:val="bottom"/>
          </w:tcPr>
          <w:p>
            <w:pPr>
              <w:ind w:left="180"/>
              <w:spacing w:after="0"/>
              <w:rPr>
                <w:sz w:val="20"/>
                <w:szCs w:val="20"/>
                <w:color w:val="auto"/>
              </w:rPr>
            </w:pPr>
            <w:r>
              <w:rPr>
                <w:rFonts w:ascii="Arial" w:cs="Arial" w:eastAsia="Arial" w:hAnsi="Arial"/>
                <w:sz w:val="11"/>
                <w:szCs w:val="11"/>
                <w:color w:val="auto"/>
              </w:rPr>
              <w:t>Office, Residential, Mixed-Use</w:t>
            </w:r>
          </w:p>
        </w:tc>
        <w:tc>
          <w:tcPr>
            <w:tcW w:w="1520" w:type="dxa"/>
            <w:vAlign w:val="bottom"/>
          </w:tcPr>
          <w:p>
            <w:pPr>
              <w:ind w:left="420"/>
              <w:spacing w:after="0"/>
              <w:rPr>
                <w:sz w:val="20"/>
                <w:szCs w:val="20"/>
                <w:color w:val="auto"/>
              </w:rPr>
            </w:pPr>
            <w:r>
              <w:rPr>
                <w:rFonts w:ascii="Arial" w:cs="Arial" w:eastAsia="Arial" w:hAnsi="Arial"/>
                <w:sz w:val="11"/>
                <w:szCs w:val="11"/>
                <w:color w:val="auto"/>
              </w:rPr>
              <w:t>Ireland / France</w:t>
            </w:r>
          </w:p>
        </w:tc>
        <w:tc>
          <w:tcPr>
            <w:tcW w:w="1060" w:type="dxa"/>
            <w:vAlign w:val="bottom"/>
          </w:tcPr>
          <w:p>
            <w:pPr>
              <w:jc w:val="center"/>
              <w:ind w:left="147"/>
              <w:spacing w:after="0"/>
              <w:rPr>
                <w:sz w:val="20"/>
                <w:szCs w:val="20"/>
                <w:color w:val="auto"/>
              </w:rPr>
            </w:pPr>
            <w:r>
              <w:rPr>
                <w:rFonts w:ascii="Arial" w:cs="Arial" w:eastAsia="Arial" w:hAnsi="Arial"/>
                <w:sz w:val="11"/>
                <w:szCs w:val="11"/>
                <w:color w:val="auto"/>
                <w:w w:val="99"/>
              </w:rPr>
              <w:t>50%</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49.2</w:t>
            </w:r>
          </w:p>
        </w:tc>
        <w:tc>
          <w:tcPr>
            <w:tcW w:w="140" w:type="dxa"/>
            <w:vAlign w:val="bottom"/>
          </w:tcPr>
          <w:p>
            <w:pPr>
              <w:spacing w:after="0"/>
              <w:rPr>
                <w:sz w:val="12"/>
                <w:szCs w:val="12"/>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49.2</w:t>
            </w:r>
          </w:p>
        </w:tc>
        <w:tc>
          <w:tcPr>
            <w:tcW w:w="740" w:type="dxa"/>
            <w:vAlign w:val="bottom"/>
          </w:tcPr>
          <w:p>
            <w:pPr>
              <w:jc w:val="right"/>
              <w:spacing w:after="0"/>
              <w:rPr>
                <w:sz w:val="20"/>
                <w:szCs w:val="20"/>
                <w:color w:val="auto"/>
              </w:rPr>
            </w:pPr>
            <w:r>
              <w:rPr>
                <w:rFonts w:ascii="Arial" w:cs="Arial" w:eastAsia="Arial" w:hAnsi="Arial"/>
                <w:sz w:val="11"/>
                <w:szCs w:val="11"/>
                <w:color w:val="auto"/>
              </w:rPr>
              <w:t>4 %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DBDBDB"/>
          </w:tcPr>
          <w:p>
            <w:pPr>
              <w:spacing w:after="0"/>
              <w:rPr>
                <w:sz w:val="20"/>
                <w:szCs w:val="20"/>
                <w:color w:val="auto"/>
              </w:rPr>
            </w:pPr>
            <w:r>
              <w:rPr>
                <w:rFonts w:ascii="Arial" w:cs="Arial" w:eastAsia="Arial" w:hAnsi="Arial"/>
                <w:sz w:val="11"/>
                <w:szCs w:val="11"/>
                <w:color w:val="auto"/>
              </w:rPr>
              <w:t>Albertsons</w:t>
            </w:r>
          </w:p>
        </w:tc>
        <w:tc>
          <w:tcPr>
            <w:tcW w:w="1960" w:type="dxa"/>
            <w:vAlign w:val="bottom"/>
            <w:shd w:val="clear" w:color="auto" w:fill="DBDBDB"/>
          </w:tcPr>
          <w:p>
            <w:pPr>
              <w:jc w:val="center"/>
              <w:ind w:left="105"/>
              <w:spacing w:after="0"/>
              <w:rPr>
                <w:sz w:val="20"/>
                <w:szCs w:val="20"/>
                <w:color w:val="auto"/>
              </w:rPr>
            </w:pPr>
            <w:r>
              <w:rPr>
                <w:rFonts w:ascii="Arial" w:cs="Arial" w:eastAsia="Arial" w:hAnsi="Arial"/>
                <w:sz w:val="11"/>
                <w:szCs w:val="11"/>
                <w:color w:val="auto"/>
              </w:rPr>
              <w:t>Equity</w:t>
            </w:r>
          </w:p>
        </w:tc>
        <w:tc>
          <w:tcPr>
            <w:tcW w:w="1960" w:type="dxa"/>
            <w:vAlign w:val="bottom"/>
            <w:shd w:val="clear" w:color="auto" w:fill="DBDBDB"/>
          </w:tcPr>
          <w:p>
            <w:pPr>
              <w:jc w:val="center"/>
              <w:ind w:right="185"/>
              <w:spacing w:after="0"/>
              <w:rPr>
                <w:sz w:val="20"/>
                <w:szCs w:val="20"/>
                <w:color w:val="auto"/>
              </w:rPr>
            </w:pPr>
            <w:r>
              <w:rPr>
                <w:rFonts w:ascii="Arial" w:cs="Arial" w:eastAsia="Arial" w:hAnsi="Arial"/>
                <w:sz w:val="11"/>
                <w:szCs w:val="11"/>
                <w:color w:val="auto"/>
              </w:rPr>
              <w:t>Grocery Stores</w:t>
            </w:r>
          </w:p>
        </w:tc>
        <w:tc>
          <w:tcPr>
            <w:tcW w:w="152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9"/>
              </w:rPr>
              <w:t>Nationwide</w:t>
            </w:r>
          </w:p>
        </w:tc>
        <w:tc>
          <w:tcPr>
            <w:tcW w:w="1060" w:type="dxa"/>
            <w:vAlign w:val="bottom"/>
            <w:shd w:val="clear" w:color="auto" w:fill="DBDBDB"/>
          </w:tcPr>
          <w:p>
            <w:pPr>
              <w:jc w:val="center"/>
              <w:ind w:left="127"/>
              <w:spacing w:after="0"/>
              <w:rPr>
                <w:sz w:val="20"/>
                <w:szCs w:val="20"/>
                <w:color w:val="auto"/>
              </w:rPr>
            </w:pPr>
            <w:r>
              <w:rPr>
                <w:rFonts w:ascii="Arial" w:cs="Arial" w:eastAsia="Arial" w:hAnsi="Arial"/>
                <w:sz w:val="11"/>
                <w:szCs w:val="11"/>
                <w:color w:val="auto"/>
              </w:rPr>
              <w:t>n/a</w:t>
            </w:r>
          </w:p>
        </w:tc>
        <w:tc>
          <w:tcPr>
            <w:tcW w:w="14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48.0</w:t>
            </w:r>
          </w:p>
        </w:tc>
        <w:tc>
          <w:tcPr>
            <w:tcW w:w="14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5"/>
              <w:spacing w:after="0"/>
              <w:rPr>
                <w:sz w:val="20"/>
                <w:szCs w:val="20"/>
                <w:color w:val="auto"/>
              </w:rPr>
            </w:pPr>
            <w:r>
              <w:rPr>
                <w:rFonts w:ascii="Arial" w:cs="Arial" w:eastAsia="Arial" w:hAnsi="Arial"/>
                <w:sz w:val="11"/>
                <w:szCs w:val="11"/>
                <w:color w:val="auto"/>
              </w:rPr>
              <w:t>48.0</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4 %</w:t>
            </w:r>
          </w:p>
        </w:tc>
        <w:tc>
          <w:tcPr>
            <w:tcW w:w="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20"/>
                <w:szCs w:val="20"/>
                <w:color w:val="auto"/>
              </w:rPr>
            </w:pPr>
            <w:r>
              <w:rPr>
                <w:rFonts w:ascii="Arial" w:cs="Arial" w:eastAsia="Arial" w:hAnsi="Arial"/>
                <w:sz w:val="11"/>
                <w:szCs w:val="11"/>
                <w:color w:val="auto"/>
              </w:rPr>
              <w:t>AccorInvest</w:t>
            </w:r>
          </w:p>
        </w:tc>
        <w:tc>
          <w:tcPr>
            <w:tcW w:w="1960" w:type="dxa"/>
            <w:vAlign w:val="bottom"/>
          </w:tcPr>
          <w:p>
            <w:pPr>
              <w:jc w:val="center"/>
              <w:ind w:left="105"/>
              <w:spacing w:after="0"/>
              <w:rPr>
                <w:sz w:val="20"/>
                <w:szCs w:val="20"/>
                <w:color w:val="auto"/>
              </w:rPr>
            </w:pPr>
            <w:r>
              <w:rPr>
                <w:rFonts w:ascii="Arial" w:cs="Arial" w:eastAsia="Arial" w:hAnsi="Arial"/>
                <w:sz w:val="11"/>
                <w:szCs w:val="11"/>
                <w:color w:val="auto"/>
              </w:rPr>
              <w:t>Real Estate Equity</w:t>
            </w:r>
          </w:p>
        </w:tc>
        <w:tc>
          <w:tcPr>
            <w:tcW w:w="1960" w:type="dxa"/>
            <w:vAlign w:val="bottom"/>
          </w:tcPr>
          <w:p>
            <w:pPr>
              <w:jc w:val="center"/>
              <w:ind w:right="185"/>
              <w:spacing w:after="0"/>
              <w:rPr>
                <w:sz w:val="20"/>
                <w:szCs w:val="20"/>
                <w:color w:val="auto"/>
              </w:rPr>
            </w:pPr>
            <w:r>
              <w:rPr>
                <w:rFonts w:ascii="Arial" w:cs="Arial" w:eastAsia="Arial" w:hAnsi="Arial"/>
                <w:sz w:val="11"/>
                <w:szCs w:val="11"/>
                <w:color w:val="auto"/>
              </w:rPr>
              <w:t>Hospitality</w:t>
            </w:r>
          </w:p>
        </w:tc>
        <w:tc>
          <w:tcPr>
            <w:tcW w:w="1520" w:type="dxa"/>
            <w:vAlign w:val="bottom"/>
          </w:tcPr>
          <w:p>
            <w:pPr>
              <w:jc w:val="center"/>
              <w:spacing w:after="0"/>
              <w:rPr>
                <w:sz w:val="20"/>
                <w:szCs w:val="20"/>
                <w:color w:val="auto"/>
              </w:rPr>
            </w:pPr>
            <w:r>
              <w:rPr>
                <w:rFonts w:ascii="Arial" w:cs="Arial" w:eastAsia="Arial" w:hAnsi="Arial"/>
                <w:sz w:val="11"/>
                <w:szCs w:val="11"/>
                <w:color w:val="auto"/>
              </w:rPr>
              <w:t>Primarily Europe</w:t>
            </w:r>
          </w:p>
        </w:tc>
        <w:tc>
          <w:tcPr>
            <w:tcW w:w="1060" w:type="dxa"/>
            <w:vAlign w:val="bottom"/>
          </w:tcPr>
          <w:p>
            <w:pPr>
              <w:jc w:val="center"/>
              <w:ind w:left="127"/>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42.8</w:t>
            </w:r>
          </w:p>
        </w:tc>
        <w:tc>
          <w:tcPr>
            <w:tcW w:w="140" w:type="dxa"/>
            <w:vAlign w:val="bottom"/>
          </w:tcPr>
          <w:p>
            <w:pPr>
              <w:spacing w:after="0"/>
              <w:rPr>
                <w:sz w:val="12"/>
                <w:szCs w:val="12"/>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42.8</w:t>
            </w:r>
          </w:p>
        </w:tc>
        <w:tc>
          <w:tcPr>
            <w:tcW w:w="740" w:type="dxa"/>
            <w:vAlign w:val="bottom"/>
          </w:tcPr>
          <w:p>
            <w:pPr>
              <w:jc w:val="right"/>
              <w:spacing w:after="0"/>
              <w:rPr>
                <w:sz w:val="20"/>
                <w:szCs w:val="20"/>
                <w:color w:val="auto"/>
              </w:rPr>
            </w:pPr>
            <w:r>
              <w:rPr>
                <w:rFonts w:ascii="Arial" w:cs="Arial" w:eastAsia="Arial" w:hAnsi="Arial"/>
                <w:sz w:val="11"/>
                <w:szCs w:val="11"/>
                <w:color w:val="auto"/>
              </w:rPr>
              <w:t>4 %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DBDBDB"/>
          </w:tcPr>
          <w:p>
            <w:pPr>
              <w:spacing w:after="0"/>
              <w:rPr>
                <w:sz w:val="20"/>
                <w:szCs w:val="20"/>
                <w:color w:val="auto"/>
              </w:rPr>
            </w:pPr>
            <w:r>
              <w:rPr>
                <w:rFonts w:ascii="Arial" w:cs="Arial" w:eastAsia="Arial" w:hAnsi="Arial"/>
                <w:sz w:val="11"/>
                <w:szCs w:val="11"/>
                <w:color w:val="auto"/>
              </w:rPr>
              <w:t>McKillin Portfolio Loan</w:t>
            </w:r>
          </w:p>
        </w:tc>
        <w:tc>
          <w:tcPr>
            <w:tcW w:w="1960" w:type="dxa"/>
            <w:vAlign w:val="bottom"/>
            <w:shd w:val="clear" w:color="auto" w:fill="DBDBDB"/>
          </w:tcPr>
          <w:p>
            <w:pPr>
              <w:jc w:val="center"/>
              <w:ind w:left="205"/>
              <w:spacing w:after="0"/>
              <w:rPr>
                <w:sz w:val="20"/>
                <w:szCs w:val="20"/>
                <w:color w:val="auto"/>
              </w:rPr>
            </w:pPr>
            <w:r>
              <w:rPr>
                <w:rFonts w:ascii="Arial" w:cs="Arial" w:eastAsia="Arial" w:hAnsi="Arial"/>
                <w:sz w:val="11"/>
                <w:szCs w:val="11"/>
                <w:color w:val="auto"/>
                <w:w w:val="99"/>
              </w:rPr>
              <w:t>Debt Financing</w:t>
            </w:r>
          </w:p>
        </w:tc>
        <w:tc>
          <w:tcPr>
            <w:tcW w:w="1960" w:type="dxa"/>
            <w:vAlign w:val="bottom"/>
            <w:shd w:val="clear" w:color="auto" w:fill="DBDBDB"/>
          </w:tcPr>
          <w:p>
            <w:pPr>
              <w:jc w:val="center"/>
              <w:ind w:right="85"/>
              <w:spacing w:after="0"/>
              <w:rPr>
                <w:sz w:val="20"/>
                <w:szCs w:val="20"/>
                <w:color w:val="auto"/>
              </w:rPr>
            </w:pPr>
            <w:r>
              <w:rPr>
                <w:rFonts w:ascii="Arial" w:cs="Arial" w:eastAsia="Arial" w:hAnsi="Arial"/>
                <w:sz w:val="11"/>
                <w:szCs w:val="11"/>
                <w:color w:val="auto"/>
              </w:rPr>
              <w:t>Office and Personal Guarantee</w:t>
            </w:r>
          </w:p>
        </w:tc>
        <w:tc>
          <w:tcPr>
            <w:tcW w:w="1520" w:type="dxa"/>
            <w:vAlign w:val="bottom"/>
            <w:shd w:val="clear" w:color="auto" w:fill="DBDBDB"/>
          </w:tcPr>
          <w:p>
            <w:pPr>
              <w:jc w:val="center"/>
              <w:ind w:left="5"/>
              <w:spacing w:after="0"/>
              <w:rPr>
                <w:sz w:val="20"/>
                <w:szCs w:val="20"/>
                <w:color w:val="auto"/>
              </w:rPr>
            </w:pPr>
            <w:r>
              <w:rPr>
                <w:rFonts w:ascii="Arial" w:cs="Arial" w:eastAsia="Arial" w:hAnsi="Arial"/>
                <w:sz w:val="11"/>
                <w:szCs w:val="11"/>
                <w:color w:val="auto"/>
              </w:rPr>
              <w:t>Primarily US and UK</w:t>
            </w:r>
          </w:p>
        </w:tc>
        <w:tc>
          <w:tcPr>
            <w:tcW w:w="1060" w:type="dxa"/>
            <w:vAlign w:val="bottom"/>
            <w:shd w:val="clear" w:color="auto" w:fill="DBDBDB"/>
          </w:tcPr>
          <w:p>
            <w:pPr>
              <w:jc w:val="center"/>
              <w:ind w:left="147"/>
              <w:spacing w:after="0"/>
              <w:rPr>
                <w:sz w:val="20"/>
                <w:szCs w:val="20"/>
                <w:color w:val="auto"/>
              </w:rPr>
            </w:pPr>
            <w:r>
              <w:rPr>
                <w:rFonts w:ascii="Arial" w:cs="Arial" w:eastAsia="Arial" w:hAnsi="Arial"/>
                <w:sz w:val="11"/>
                <w:szCs w:val="11"/>
                <w:color w:val="auto"/>
                <w:w w:val="99"/>
              </w:rPr>
              <w:t>96%</w:t>
            </w:r>
          </w:p>
        </w:tc>
        <w:tc>
          <w:tcPr>
            <w:tcW w:w="14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42.3</w:t>
            </w:r>
          </w:p>
        </w:tc>
        <w:tc>
          <w:tcPr>
            <w:tcW w:w="14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5"/>
              <w:spacing w:after="0"/>
              <w:rPr>
                <w:sz w:val="20"/>
                <w:szCs w:val="20"/>
                <w:color w:val="auto"/>
              </w:rPr>
            </w:pPr>
            <w:r>
              <w:rPr>
                <w:rFonts w:ascii="Arial" w:cs="Arial" w:eastAsia="Arial" w:hAnsi="Arial"/>
                <w:sz w:val="11"/>
                <w:szCs w:val="11"/>
                <w:color w:val="auto"/>
              </w:rPr>
              <w:t>42.3</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4 %</w:t>
            </w:r>
          </w:p>
        </w:tc>
        <w:tc>
          <w:tcPr>
            <w:tcW w:w="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20"/>
                <w:szCs w:val="20"/>
                <w:color w:val="auto"/>
              </w:rPr>
            </w:pPr>
            <w:r>
              <w:rPr>
                <w:rFonts w:ascii="Arial" w:cs="Arial" w:eastAsia="Arial" w:hAnsi="Arial"/>
                <w:sz w:val="11"/>
                <w:szCs w:val="11"/>
                <w:color w:val="auto"/>
              </w:rPr>
              <w:t>Blade</w:t>
            </w:r>
          </w:p>
        </w:tc>
        <w:tc>
          <w:tcPr>
            <w:tcW w:w="1960" w:type="dxa"/>
            <w:vAlign w:val="bottom"/>
          </w:tcPr>
          <w:p>
            <w:pPr>
              <w:jc w:val="center"/>
              <w:ind w:left="145"/>
              <w:spacing w:after="0"/>
              <w:rPr>
                <w:sz w:val="20"/>
                <w:szCs w:val="20"/>
                <w:color w:val="auto"/>
              </w:rPr>
            </w:pPr>
            <w:r>
              <w:rPr>
                <w:rFonts w:ascii="Arial" w:cs="Arial" w:eastAsia="Arial" w:hAnsi="Arial"/>
                <w:sz w:val="11"/>
                <w:szCs w:val="11"/>
                <w:color w:val="auto"/>
              </w:rPr>
              <w:t>Equity</w:t>
            </w:r>
          </w:p>
        </w:tc>
        <w:tc>
          <w:tcPr>
            <w:tcW w:w="1960" w:type="dxa"/>
            <w:vAlign w:val="bottom"/>
          </w:tcPr>
          <w:p>
            <w:pPr>
              <w:jc w:val="center"/>
              <w:ind w:right="145"/>
              <w:spacing w:after="0"/>
              <w:rPr>
                <w:sz w:val="20"/>
                <w:szCs w:val="20"/>
                <w:color w:val="auto"/>
              </w:rPr>
            </w:pPr>
            <w:r>
              <w:rPr>
                <w:rFonts w:ascii="Arial" w:cs="Arial" w:eastAsia="Arial" w:hAnsi="Arial"/>
                <w:sz w:val="11"/>
                <w:szCs w:val="11"/>
                <w:color w:val="auto"/>
              </w:rPr>
              <w:t>Air Mobility Platform</w:t>
            </w:r>
          </w:p>
        </w:tc>
        <w:tc>
          <w:tcPr>
            <w:tcW w:w="1520" w:type="dxa"/>
            <w:vAlign w:val="bottom"/>
          </w:tcPr>
          <w:p>
            <w:pPr>
              <w:jc w:val="center"/>
              <w:spacing w:after="0"/>
              <w:rPr>
                <w:sz w:val="20"/>
                <w:szCs w:val="20"/>
                <w:color w:val="auto"/>
              </w:rPr>
            </w:pPr>
            <w:r>
              <w:rPr>
                <w:rFonts w:ascii="Arial" w:cs="Arial" w:eastAsia="Arial" w:hAnsi="Arial"/>
                <w:sz w:val="11"/>
                <w:szCs w:val="11"/>
                <w:color w:val="auto"/>
              </w:rPr>
              <w:t>US</w:t>
            </w:r>
          </w:p>
        </w:tc>
        <w:tc>
          <w:tcPr>
            <w:tcW w:w="1060" w:type="dxa"/>
            <w:vAlign w:val="bottom"/>
          </w:tcPr>
          <w:p>
            <w:pPr>
              <w:jc w:val="center"/>
              <w:ind w:left="147"/>
              <w:spacing w:after="0"/>
              <w:rPr>
                <w:sz w:val="20"/>
                <w:szCs w:val="20"/>
                <w:color w:val="auto"/>
              </w:rPr>
            </w:pPr>
            <w:r>
              <w:rPr>
                <w:rFonts w:ascii="Arial" w:cs="Arial" w:eastAsia="Arial" w:hAnsi="Arial"/>
                <w:sz w:val="11"/>
                <w:szCs w:val="11"/>
                <w:color w:val="auto"/>
                <w:w w:val="99"/>
              </w:rPr>
              <w:t>17%</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36.8</w:t>
            </w:r>
          </w:p>
        </w:tc>
        <w:tc>
          <w:tcPr>
            <w:tcW w:w="140" w:type="dxa"/>
            <w:vAlign w:val="bottom"/>
          </w:tcPr>
          <w:p>
            <w:pPr>
              <w:spacing w:after="0"/>
              <w:rPr>
                <w:sz w:val="12"/>
                <w:szCs w:val="12"/>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36.8</w:t>
            </w:r>
          </w:p>
        </w:tc>
        <w:tc>
          <w:tcPr>
            <w:tcW w:w="740" w:type="dxa"/>
            <w:vAlign w:val="bottom"/>
          </w:tcPr>
          <w:p>
            <w:pPr>
              <w:jc w:val="right"/>
              <w:spacing w:after="0"/>
              <w:rPr>
                <w:sz w:val="20"/>
                <w:szCs w:val="20"/>
                <w:color w:val="auto"/>
              </w:rPr>
            </w:pPr>
            <w:r>
              <w:rPr>
                <w:rFonts w:ascii="Arial" w:cs="Arial" w:eastAsia="Arial" w:hAnsi="Arial"/>
                <w:sz w:val="11"/>
                <w:szCs w:val="11"/>
                <w:color w:val="auto"/>
              </w:rPr>
              <w:t>3 %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DBDBDB"/>
          </w:tcPr>
          <w:p>
            <w:pPr>
              <w:spacing w:after="0"/>
              <w:rPr>
                <w:sz w:val="20"/>
                <w:szCs w:val="20"/>
                <w:color w:val="auto"/>
              </w:rPr>
            </w:pPr>
            <w:r>
              <w:rPr>
                <w:rFonts w:ascii="Arial" w:cs="Arial" w:eastAsia="Arial" w:hAnsi="Arial"/>
                <w:sz w:val="11"/>
                <w:szCs w:val="11"/>
                <w:color w:val="auto"/>
              </w:rPr>
              <w:t>Maranatha French Hotel Portfolio</w:t>
            </w:r>
          </w:p>
        </w:tc>
        <w:tc>
          <w:tcPr>
            <w:tcW w:w="1960" w:type="dxa"/>
            <w:vAlign w:val="bottom"/>
            <w:shd w:val="clear" w:color="auto" w:fill="DBDBDB"/>
          </w:tcPr>
          <w:p>
            <w:pPr>
              <w:jc w:val="center"/>
              <w:ind w:left="185"/>
              <w:spacing w:after="0"/>
              <w:rPr>
                <w:sz w:val="20"/>
                <w:szCs w:val="20"/>
                <w:color w:val="auto"/>
              </w:rPr>
            </w:pPr>
            <w:r>
              <w:rPr>
                <w:rFonts w:ascii="Arial" w:cs="Arial" w:eastAsia="Arial" w:hAnsi="Arial"/>
                <w:sz w:val="11"/>
                <w:szCs w:val="11"/>
                <w:color w:val="auto"/>
              </w:rPr>
              <w:t>Real Estate Equity</w:t>
            </w:r>
          </w:p>
        </w:tc>
        <w:tc>
          <w:tcPr>
            <w:tcW w:w="1960" w:type="dxa"/>
            <w:vAlign w:val="bottom"/>
            <w:shd w:val="clear" w:color="auto" w:fill="DBDBDB"/>
          </w:tcPr>
          <w:p>
            <w:pPr>
              <w:jc w:val="center"/>
              <w:ind w:right="85"/>
              <w:spacing w:after="0"/>
              <w:rPr>
                <w:sz w:val="20"/>
                <w:szCs w:val="20"/>
                <w:color w:val="auto"/>
              </w:rPr>
            </w:pPr>
            <w:r>
              <w:rPr>
                <w:rFonts w:ascii="Arial" w:cs="Arial" w:eastAsia="Arial" w:hAnsi="Arial"/>
                <w:sz w:val="11"/>
                <w:szCs w:val="11"/>
                <w:color w:val="auto"/>
                <w:w w:val="98"/>
              </w:rPr>
              <w:t>Hospitality</w:t>
            </w:r>
          </w:p>
        </w:tc>
        <w:tc>
          <w:tcPr>
            <w:tcW w:w="152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France</w:t>
            </w:r>
          </w:p>
        </w:tc>
        <w:tc>
          <w:tcPr>
            <w:tcW w:w="1060" w:type="dxa"/>
            <w:vAlign w:val="bottom"/>
            <w:shd w:val="clear" w:color="auto" w:fill="DBDBDB"/>
          </w:tcPr>
          <w:p>
            <w:pPr>
              <w:jc w:val="center"/>
              <w:ind w:left="147"/>
              <w:spacing w:after="0"/>
              <w:rPr>
                <w:sz w:val="20"/>
                <w:szCs w:val="20"/>
                <w:color w:val="auto"/>
              </w:rPr>
            </w:pPr>
            <w:r>
              <w:rPr>
                <w:rFonts w:ascii="Arial" w:cs="Arial" w:eastAsia="Arial" w:hAnsi="Arial"/>
                <w:sz w:val="11"/>
                <w:szCs w:val="11"/>
                <w:color w:val="auto"/>
                <w:w w:val="99"/>
              </w:rPr>
              <w:t>44%</w:t>
            </w:r>
          </w:p>
        </w:tc>
        <w:tc>
          <w:tcPr>
            <w:tcW w:w="14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36.8</w:t>
            </w:r>
          </w:p>
        </w:tc>
        <w:tc>
          <w:tcPr>
            <w:tcW w:w="14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5"/>
              <w:spacing w:after="0"/>
              <w:rPr>
                <w:sz w:val="20"/>
                <w:szCs w:val="20"/>
                <w:color w:val="auto"/>
              </w:rPr>
            </w:pPr>
            <w:r>
              <w:rPr>
                <w:rFonts w:ascii="Arial" w:cs="Arial" w:eastAsia="Arial" w:hAnsi="Arial"/>
                <w:sz w:val="11"/>
                <w:szCs w:val="11"/>
                <w:color w:val="auto"/>
              </w:rPr>
              <w:t>36.1</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3 %</w:t>
            </w:r>
          </w:p>
        </w:tc>
        <w:tc>
          <w:tcPr>
            <w:tcW w:w="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20"/>
                <w:szCs w:val="20"/>
                <w:color w:val="auto"/>
              </w:rPr>
            </w:pPr>
            <w:r>
              <w:rPr>
                <w:rFonts w:ascii="Arial" w:cs="Arial" w:eastAsia="Arial" w:hAnsi="Arial"/>
                <w:sz w:val="11"/>
                <w:szCs w:val="11"/>
                <w:color w:val="auto"/>
              </w:rPr>
              <w:t>France &amp; Spain CRE Portfolio</w:t>
            </w:r>
          </w:p>
        </w:tc>
        <w:tc>
          <w:tcPr>
            <w:tcW w:w="1960" w:type="dxa"/>
            <w:vAlign w:val="bottom"/>
          </w:tcPr>
          <w:p>
            <w:pPr>
              <w:jc w:val="center"/>
              <w:ind w:left="105"/>
              <w:spacing w:after="0"/>
              <w:rPr>
                <w:sz w:val="20"/>
                <w:szCs w:val="20"/>
                <w:color w:val="auto"/>
              </w:rPr>
            </w:pPr>
            <w:r>
              <w:rPr>
                <w:rFonts w:ascii="Arial" w:cs="Arial" w:eastAsia="Arial" w:hAnsi="Arial"/>
                <w:sz w:val="11"/>
                <w:szCs w:val="11"/>
                <w:color w:val="auto"/>
              </w:rPr>
              <w:t>Real Estate Equity</w:t>
            </w:r>
          </w:p>
        </w:tc>
        <w:tc>
          <w:tcPr>
            <w:tcW w:w="1960" w:type="dxa"/>
            <w:vAlign w:val="bottom"/>
          </w:tcPr>
          <w:p>
            <w:pPr>
              <w:jc w:val="center"/>
              <w:ind w:right="185"/>
              <w:spacing w:after="0"/>
              <w:rPr>
                <w:sz w:val="20"/>
                <w:szCs w:val="20"/>
                <w:color w:val="auto"/>
              </w:rPr>
            </w:pPr>
            <w:r>
              <w:rPr>
                <w:rFonts w:ascii="Arial" w:cs="Arial" w:eastAsia="Arial" w:hAnsi="Arial"/>
                <w:sz w:val="11"/>
                <w:szCs w:val="11"/>
                <w:color w:val="auto"/>
              </w:rPr>
              <w:t>Primarily Office &amp; Hospitality</w:t>
            </w:r>
          </w:p>
        </w:tc>
        <w:tc>
          <w:tcPr>
            <w:tcW w:w="1520" w:type="dxa"/>
            <w:vAlign w:val="bottom"/>
          </w:tcPr>
          <w:p>
            <w:pPr>
              <w:jc w:val="center"/>
              <w:spacing w:after="0"/>
              <w:rPr>
                <w:sz w:val="20"/>
                <w:szCs w:val="20"/>
                <w:color w:val="auto"/>
              </w:rPr>
            </w:pPr>
            <w:r>
              <w:rPr>
                <w:rFonts w:ascii="Arial" w:cs="Arial" w:eastAsia="Arial" w:hAnsi="Arial"/>
                <w:sz w:val="11"/>
                <w:szCs w:val="11"/>
                <w:color w:val="auto"/>
              </w:rPr>
              <w:t>France &amp; Spain</w:t>
            </w:r>
          </w:p>
        </w:tc>
        <w:tc>
          <w:tcPr>
            <w:tcW w:w="1060" w:type="dxa"/>
            <w:vAlign w:val="bottom"/>
          </w:tcPr>
          <w:p>
            <w:pPr>
              <w:jc w:val="center"/>
              <w:ind w:left="147"/>
              <w:spacing w:after="0"/>
              <w:rPr>
                <w:sz w:val="20"/>
                <w:szCs w:val="20"/>
                <w:color w:val="auto"/>
              </w:rPr>
            </w:pPr>
            <w:r>
              <w:rPr>
                <w:rFonts w:ascii="Arial" w:cs="Arial" w:eastAsia="Arial" w:hAnsi="Arial"/>
                <w:sz w:val="11"/>
                <w:szCs w:val="11"/>
                <w:color w:val="auto"/>
                <w:w w:val="99"/>
              </w:rPr>
              <w:t>33%</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104.8</w:t>
            </w:r>
          </w:p>
        </w:tc>
        <w:tc>
          <w:tcPr>
            <w:tcW w:w="140" w:type="dxa"/>
            <w:vAlign w:val="bottom"/>
          </w:tcPr>
          <w:p>
            <w:pPr>
              <w:spacing w:after="0"/>
              <w:rPr>
                <w:sz w:val="12"/>
                <w:szCs w:val="12"/>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34.7</w:t>
            </w:r>
          </w:p>
        </w:tc>
        <w:tc>
          <w:tcPr>
            <w:tcW w:w="740" w:type="dxa"/>
            <w:vAlign w:val="bottom"/>
          </w:tcPr>
          <w:p>
            <w:pPr>
              <w:jc w:val="right"/>
              <w:spacing w:after="0"/>
              <w:rPr>
                <w:sz w:val="20"/>
                <w:szCs w:val="20"/>
                <w:color w:val="auto"/>
              </w:rPr>
            </w:pPr>
            <w:r>
              <w:rPr>
                <w:rFonts w:ascii="Arial" w:cs="Arial" w:eastAsia="Arial" w:hAnsi="Arial"/>
                <w:sz w:val="11"/>
                <w:szCs w:val="11"/>
                <w:color w:val="auto"/>
              </w:rPr>
              <w:t>3 %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8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1"/>
                <w:szCs w:val="11"/>
                <w:color w:val="auto"/>
              </w:rPr>
              <w:t>Remaining OED (&gt;30 Investments)</w:t>
            </w:r>
          </w:p>
        </w:tc>
        <w:tc>
          <w:tcPr>
            <w:tcW w:w="1960" w:type="dxa"/>
            <w:vAlign w:val="bottom"/>
            <w:tcBorders>
              <w:bottom w:val="single" w:sz="8" w:color="auto"/>
            </w:tcBorders>
            <w:shd w:val="clear" w:color="auto" w:fill="DBDBDB"/>
          </w:tcPr>
          <w:p>
            <w:pPr>
              <w:jc w:val="center"/>
              <w:ind w:left="105"/>
              <w:spacing w:after="0"/>
              <w:rPr>
                <w:sz w:val="20"/>
                <w:szCs w:val="20"/>
                <w:color w:val="auto"/>
              </w:rPr>
            </w:pPr>
            <w:r>
              <w:rPr>
                <w:rFonts w:ascii="Arial" w:cs="Arial" w:eastAsia="Arial" w:hAnsi="Arial"/>
                <w:sz w:val="11"/>
                <w:szCs w:val="11"/>
                <w:color w:val="auto"/>
                <w:w w:val="96"/>
              </w:rPr>
              <w:t>Various</w:t>
            </w:r>
          </w:p>
        </w:tc>
        <w:tc>
          <w:tcPr>
            <w:tcW w:w="1960" w:type="dxa"/>
            <w:vAlign w:val="bottom"/>
            <w:tcBorders>
              <w:bottom w:val="single" w:sz="8" w:color="auto"/>
            </w:tcBorders>
            <w:shd w:val="clear" w:color="auto" w:fill="DBDBDB"/>
          </w:tcPr>
          <w:p>
            <w:pPr>
              <w:jc w:val="center"/>
              <w:ind w:right="185"/>
              <w:spacing w:after="0"/>
              <w:rPr>
                <w:sz w:val="20"/>
                <w:szCs w:val="20"/>
                <w:color w:val="auto"/>
              </w:rPr>
            </w:pPr>
            <w:r>
              <w:rPr>
                <w:rFonts w:ascii="Arial" w:cs="Arial" w:eastAsia="Arial" w:hAnsi="Arial"/>
                <w:sz w:val="11"/>
                <w:szCs w:val="11"/>
                <w:color w:val="auto"/>
                <w:w w:val="96"/>
              </w:rPr>
              <w:t>Various</w:t>
            </w:r>
          </w:p>
        </w:tc>
        <w:tc>
          <w:tcPr>
            <w:tcW w:w="15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1"/>
                <w:szCs w:val="11"/>
                <w:color w:val="auto"/>
              </w:rPr>
              <w:t>Various</w:t>
            </w:r>
          </w:p>
        </w:tc>
        <w:tc>
          <w:tcPr>
            <w:tcW w:w="106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1"/>
                <w:szCs w:val="11"/>
                <w:color w:val="auto"/>
              </w:rPr>
              <w:t>Various</w:t>
            </w:r>
          </w:p>
        </w:tc>
        <w:tc>
          <w:tcPr>
            <w:tcW w:w="140" w:type="dxa"/>
            <w:vAlign w:val="bottom"/>
            <w:tcBorders>
              <w:bottom w:val="single" w:sz="8" w:color="auto"/>
            </w:tcBorders>
            <w:shd w:val="clear" w:color="auto" w:fill="DBDBDB"/>
          </w:tcPr>
          <w:p>
            <w:pPr>
              <w:spacing w:after="0"/>
              <w:rPr>
                <w:sz w:val="12"/>
                <w:szCs w:val="12"/>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459.0</w:t>
            </w:r>
          </w:p>
        </w:tc>
        <w:tc>
          <w:tcPr>
            <w:tcW w:w="140" w:type="dxa"/>
            <w:vAlign w:val="bottom"/>
            <w:tcBorders>
              <w:bottom w:val="single" w:sz="8" w:color="auto"/>
            </w:tcBorders>
            <w:shd w:val="clear" w:color="auto" w:fill="DBDBDB"/>
          </w:tcPr>
          <w:p>
            <w:pPr>
              <w:spacing w:after="0"/>
              <w:rPr>
                <w:sz w:val="12"/>
                <w:szCs w:val="12"/>
                <w:color w:val="auto"/>
              </w:rPr>
            </w:pPr>
          </w:p>
        </w:tc>
        <w:tc>
          <w:tcPr>
            <w:tcW w:w="760" w:type="dxa"/>
            <w:vAlign w:val="bottom"/>
            <w:tcBorders>
              <w:bottom w:val="single" w:sz="8" w:color="auto"/>
            </w:tcBorders>
            <w:shd w:val="clear" w:color="auto" w:fill="DBDBDB"/>
          </w:tcPr>
          <w:p>
            <w:pPr>
              <w:jc w:val="right"/>
              <w:ind w:right="65"/>
              <w:spacing w:after="0"/>
              <w:rPr>
                <w:sz w:val="20"/>
                <w:szCs w:val="20"/>
                <w:color w:val="auto"/>
              </w:rPr>
            </w:pPr>
            <w:r>
              <w:rPr>
                <w:rFonts w:ascii="Arial" w:cs="Arial" w:eastAsia="Arial" w:hAnsi="Arial"/>
                <w:sz w:val="11"/>
                <w:szCs w:val="11"/>
                <w:color w:val="auto"/>
              </w:rPr>
              <w:t>241.1</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22 %</w:t>
            </w:r>
          </w:p>
        </w:tc>
        <w:tc>
          <w:tcPr>
            <w:tcW w:w="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Total Other Equity and Debt</w:t>
            </w:r>
          </w:p>
        </w:tc>
        <w:tc>
          <w:tcPr>
            <w:tcW w:w="19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1,605.4</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1,097.5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8" w:hanging="188"/>
        <w:spacing w:after="0"/>
        <w:tabs>
          <w:tab w:leader="none" w:pos="188" w:val="left"/>
        </w:tabs>
        <w:numPr>
          <w:ilvl w:val="0"/>
          <w:numId w:val="31"/>
        </w:numPr>
        <w:rPr>
          <w:rFonts w:ascii="Arial" w:cs="Arial" w:eastAsia="Arial" w:hAnsi="Arial"/>
          <w:sz w:val="8"/>
          <w:szCs w:val="8"/>
          <w:color w:val="424242"/>
        </w:rPr>
      </w:pPr>
      <w:r>
        <w:rPr>
          <w:rFonts w:ascii="Arial" w:cs="Arial" w:eastAsia="Arial" w:hAnsi="Arial"/>
          <w:sz w:val="8"/>
          <w:szCs w:val="8"/>
          <w:color w:val="424242"/>
        </w:rPr>
        <w:t>Ownership % represents CLNY OP’s share of the entire investment accounting for all non-controlling interests including interests managed by the Company and other third parties.</w:t>
      </w:r>
    </w:p>
    <w:p>
      <w:pPr>
        <w:spacing w:after="0" w:line="7" w:lineRule="exact"/>
        <w:rPr>
          <w:rFonts w:ascii="Arial" w:cs="Arial" w:eastAsia="Arial" w:hAnsi="Arial"/>
          <w:sz w:val="8"/>
          <w:szCs w:val="8"/>
          <w:color w:val="424242"/>
        </w:rPr>
      </w:pPr>
    </w:p>
    <w:p>
      <w:pPr>
        <w:ind w:left="208" w:right="380" w:hanging="208"/>
        <w:spacing w:after="0" w:line="258" w:lineRule="auto"/>
        <w:tabs>
          <w:tab w:leader="none" w:pos="186" w:val="left"/>
        </w:tabs>
        <w:numPr>
          <w:ilvl w:val="0"/>
          <w:numId w:val="31"/>
        </w:numPr>
        <w:rPr>
          <w:rFonts w:ascii="Arial" w:cs="Arial" w:eastAsia="Arial" w:hAnsi="Arial"/>
          <w:sz w:val="8"/>
          <w:szCs w:val="8"/>
          <w:color w:val="424242"/>
        </w:rPr>
      </w:pPr>
      <w:r>
        <w:rPr>
          <w:rFonts w:ascii="Arial" w:cs="Arial" w:eastAsia="Arial" w:hAnsi="Arial"/>
          <w:sz w:val="8"/>
          <w:szCs w:val="8"/>
          <w:color w:val="424242"/>
        </w:rPr>
        <w:t>The Company is pursuing a potential monetization of a substantial majority of the assets in its Other segment and has classified $2.9 billion of consolidated assets ($1.2 billion CLNY OP share) and $884 million of consolidated debt ($331 million CLNY OP share) within OED as discontinued operations. These assets and related debt are included in the figures to account for the related carrying values.</w:t>
      </w:r>
    </w:p>
    <w:p>
      <w:pPr>
        <w:ind w:left="208" w:right="20" w:hanging="208"/>
        <w:spacing w:after="0" w:line="258" w:lineRule="auto"/>
        <w:tabs>
          <w:tab w:leader="none" w:pos="188" w:val="left"/>
        </w:tabs>
        <w:numPr>
          <w:ilvl w:val="0"/>
          <w:numId w:val="31"/>
        </w:numPr>
        <w:rPr>
          <w:rFonts w:ascii="Arial" w:cs="Arial" w:eastAsia="Arial" w:hAnsi="Arial"/>
          <w:sz w:val="8"/>
          <w:szCs w:val="8"/>
          <w:color w:val="424242"/>
        </w:rPr>
      </w:pPr>
      <w:r>
        <w:rPr>
          <w:rFonts w:ascii="Arial" w:cs="Arial" w:eastAsia="Arial" w:hAnsi="Arial"/>
          <w:sz w:val="8"/>
          <w:szCs w:val="8"/>
          <w:color w:val="424242"/>
        </w:rPr>
        <w:t>Beginning in the fourth quarter of 2020, the Company included the net assets of investments, which includes cash and cash equivalents, restricted cash, other assets, and accrued and other liabilities of each investment. For prior periods, net assets of investments were included in the total net assets of the Company presented in the Financial Overview - Summary of Segments section.</w:t>
      </w:r>
    </w:p>
    <w:p>
      <w:pPr>
        <w:ind w:left="188" w:hanging="188"/>
        <w:spacing w:after="0"/>
        <w:tabs>
          <w:tab w:leader="none" w:pos="188" w:val="left"/>
        </w:tabs>
        <w:numPr>
          <w:ilvl w:val="0"/>
          <w:numId w:val="31"/>
        </w:numPr>
        <w:rPr>
          <w:rFonts w:ascii="Arial" w:cs="Arial" w:eastAsia="Arial" w:hAnsi="Arial"/>
          <w:sz w:val="8"/>
          <w:szCs w:val="8"/>
          <w:color w:val="424242"/>
        </w:rPr>
      </w:pPr>
      <w:r>
        <w:rPr>
          <w:rFonts w:ascii="Arial" w:cs="Arial" w:eastAsia="Arial" w:hAnsi="Arial"/>
          <w:sz w:val="8"/>
          <w:szCs w:val="8"/>
          <w:color w:val="424242"/>
        </w:rPr>
        <w:t>In April 2021, the Company sold a 74% controlling interest in two high-quality office properties located in Dublin’s city center with $104 million in net equity proceeds.</w:t>
      </w:r>
    </w:p>
    <w:p>
      <w:pPr>
        <w:spacing w:after="0" w:line="333"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26</w:t>
            </w:r>
          </w:p>
        </w:tc>
      </w:tr>
    </w:tbl>
    <w:p>
      <w:pPr>
        <w:sectPr>
          <w:pgSz w:w="11900" w:h="16838" w:orient="portrait"/>
          <w:cols w:equalWidth="0" w:num="1">
            <w:col w:w="11308"/>
          </w:cols>
          <w:pgMar w:left="292" w:top="158" w:right="299" w:bottom="1440" w:gutter="0" w:footer="0" w:header="0"/>
        </w:sectPr>
      </w:pPr>
    </w:p>
    <w:bookmarkStart w:id="41" w:name="page42"/>
    <w:bookmarkEnd w:id="41"/>
    <w:p>
      <w:pPr>
        <w:ind w:left="8"/>
        <w:spacing w:after="0"/>
        <w:rPr>
          <w:sz w:val="20"/>
          <w:szCs w:val="20"/>
          <w:color w:val="auto"/>
        </w:rPr>
      </w:pPr>
      <w:r>
        <w:rPr>
          <w:rFonts w:ascii="Arial" w:cs="Arial" w:eastAsia="Arial" w:hAnsi="Arial"/>
          <w:sz w:val="29"/>
          <w:szCs w:val="29"/>
          <w:color w:val="auto"/>
        </w:rPr>
        <w:t>VIIIa. Other Equity and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4"/>
          </w:tcPr>
          <w:p>
            <w:pPr>
              <w:jc w:val="center"/>
              <w:ind w:right="46"/>
              <w:spacing w:after="0"/>
              <w:rPr>
                <w:sz w:val="20"/>
                <w:szCs w:val="20"/>
                <w:color w:val="auto"/>
              </w:rPr>
            </w:pPr>
            <w:r>
              <w:rPr>
                <w:rFonts w:ascii="Arial" w:cs="Arial" w:eastAsia="Arial" w:hAnsi="Arial"/>
                <w:sz w:val="10"/>
                <w:szCs w:val="10"/>
                <w:b w:val="1"/>
                <w:bCs w:val="1"/>
                <w:color w:val="auto"/>
                <w:w w:val="99"/>
              </w:rPr>
              <w:t>3/31/2021 CLNY OP Share</w:t>
            </w:r>
          </w:p>
        </w:tc>
        <w:tc>
          <w:tcPr>
            <w:tcW w:w="6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20" w:type="dxa"/>
            <w:vAlign w:val="bottom"/>
          </w:tcPr>
          <w:p>
            <w:pPr>
              <w:spacing w:after="0"/>
              <w:rPr>
                <w:sz w:val="20"/>
                <w:szCs w:val="20"/>
                <w:color w:val="auto"/>
              </w:rPr>
            </w:pPr>
            <w:r>
              <w:rPr>
                <w:rFonts w:ascii="Arial" w:cs="Arial" w:eastAsia="Arial" w:hAnsi="Arial"/>
                <w:sz w:val="8"/>
                <w:szCs w:val="8"/>
                <w:i w:val="1"/>
                <w:iCs w:val="1"/>
                <w:color w:val="auto"/>
              </w:rPr>
              <w:t>($ in millions)</w:t>
            </w:r>
          </w:p>
        </w:tc>
        <w:tc>
          <w:tcPr>
            <w:tcW w:w="980" w:type="dxa"/>
            <w:vAlign w:val="bottom"/>
            <w:vMerge w:val="restart"/>
          </w:tcPr>
          <w:p>
            <w:pPr>
              <w:jc w:val="center"/>
              <w:ind w:left="146"/>
              <w:spacing w:after="0"/>
              <w:rPr>
                <w:sz w:val="20"/>
                <w:szCs w:val="20"/>
                <w:color w:val="auto"/>
              </w:rPr>
            </w:pPr>
            <w:r>
              <w:rPr>
                <w:rFonts w:ascii="Arial" w:cs="Arial" w:eastAsia="Arial" w:hAnsi="Arial"/>
                <w:sz w:val="10"/>
                <w:szCs w:val="10"/>
                <w:b w:val="1"/>
                <w:bCs w:val="1"/>
                <w:color w:val="auto"/>
                <w:w w:val="95"/>
              </w:rPr>
              <w:t>CLNY</w:t>
            </w:r>
          </w:p>
        </w:tc>
        <w:tc>
          <w:tcPr>
            <w:tcW w:w="10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4"/>
          </w:tcPr>
          <w:p>
            <w:pPr>
              <w:jc w:val="center"/>
              <w:ind w:right="46"/>
              <w:spacing w:after="0"/>
              <w:rPr>
                <w:sz w:val="20"/>
                <w:szCs w:val="20"/>
                <w:color w:val="auto"/>
              </w:rPr>
            </w:pPr>
            <w:r>
              <w:rPr>
                <w:rFonts w:ascii="Arial" w:cs="Arial" w:eastAsia="Arial" w:hAnsi="Arial"/>
                <w:sz w:val="10"/>
                <w:szCs w:val="10"/>
                <w:b w:val="1"/>
                <w:bCs w:val="1"/>
                <w:color w:val="auto"/>
                <w:w w:val="96"/>
              </w:rPr>
              <w:t>Depreciated Carrying Value</w:t>
            </w:r>
          </w:p>
        </w:tc>
        <w:tc>
          <w:tcPr>
            <w:tcW w:w="6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120" w:type="dxa"/>
            <w:vAlign w:val="bottom"/>
            <w:vMerge w:val="restart"/>
          </w:tcPr>
          <w:p>
            <w:pPr>
              <w:spacing w:after="0"/>
              <w:rPr>
                <w:sz w:val="20"/>
                <w:szCs w:val="20"/>
                <w:color w:val="auto"/>
              </w:rPr>
            </w:pPr>
            <w:r>
              <w:rPr>
                <w:rFonts w:ascii="Arial" w:cs="Arial" w:eastAsia="Arial" w:hAnsi="Arial"/>
                <w:sz w:val="10"/>
                <w:szCs w:val="10"/>
                <w:b w:val="1"/>
                <w:bCs w:val="1"/>
                <w:color w:val="auto"/>
              </w:rPr>
              <w:t>Investment</w:t>
            </w: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right"/>
              <w:ind w:right="87"/>
              <w:spacing w:after="0"/>
              <w:rPr>
                <w:sz w:val="20"/>
                <w:szCs w:val="20"/>
                <w:color w:val="auto"/>
              </w:rPr>
            </w:pPr>
            <w:r>
              <w:rPr>
                <w:rFonts w:ascii="Arial" w:cs="Arial" w:eastAsia="Arial" w:hAnsi="Arial"/>
                <w:sz w:val="10"/>
                <w:szCs w:val="10"/>
                <w:b w:val="1"/>
                <w:bCs w:val="1"/>
                <w:color w:val="auto"/>
                <w:w w:val="98"/>
              </w:rPr>
              <w:t>Assets</w:t>
            </w:r>
            <w:r>
              <w:rPr>
                <w:rFonts w:ascii="Arial" w:cs="Arial" w:eastAsia="Arial" w:hAnsi="Arial"/>
                <w:sz w:val="12"/>
                <w:szCs w:val="12"/>
                <w:b w:val="1"/>
                <w:bCs w:val="1"/>
                <w:color w:val="auto"/>
                <w:w w:val="98"/>
                <w:vertAlign w:val="superscript"/>
              </w:rPr>
              <w:t>(2)</w:t>
            </w:r>
          </w:p>
        </w:tc>
        <w:tc>
          <w:tcPr>
            <w:tcW w:w="120" w:type="dxa"/>
            <w:vAlign w:val="bottom"/>
          </w:tcPr>
          <w:p>
            <w:pPr>
              <w:spacing w:after="0"/>
              <w:rPr>
                <w:sz w:val="7"/>
                <w:szCs w:val="7"/>
                <w:color w:val="auto"/>
              </w:rPr>
            </w:pPr>
          </w:p>
        </w:tc>
        <w:tc>
          <w:tcPr>
            <w:tcW w:w="640" w:type="dxa"/>
            <w:vAlign w:val="bottom"/>
            <w:vMerge w:val="restart"/>
          </w:tcPr>
          <w:p>
            <w:pPr>
              <w:jc w:val="center"/>
              <w:ind w:right="86"/>
              <w:spacing w:after="0"/>
              <w:rPr>
                <w:sz w:val="20"/>
                <w:szCs w:val="20"/>
                <w:color w:val="auto"/>
              </w:rPr>
            </w:pPr>
            <w:r>
              <w:rPr>
                <w:rFonts w:ascii="Arial" w:cs="Arial" w:eastAsia="Arial" w:hAnsi="Arial"/>
                <w:sz w:val="10"/>
                <w:szCs w:val="10"/>
                <w:b w:val="1"/>
                <w:bCs w:val="1"/>
                <w:color w:val="auto"/>
                <w:w w:val="91"/>
              </w:rPr>
              <w:t>Equity</w:t>
            </w:r>
            <w:r>
              <w:rPr>
                <w:rFonts w:ascii="Arial" w:cs="Arial" w:eastAsia="Arial" w:hAnsi="Arial"/>
                <w:sz w:val="12"/>
                <w:szCs w:val="12"/>
                <w:b w:val="1"/>
                <w:bCs w:val="1"/>
                <w:color w:val="auto"/>
                <w:w w:val="91"/>
                <w:vertAlign w:val="superscript"/>
              </w:rPr>
              <w:t>(2)(3)</w:t>
            </w:r>
          </w:p>
        </w:tc>
        <w:tc>
          <w:tcPr>
            <w:tcW w:w="660" w:type="dxa"/>
            <w:vAlign w:val="bottom"/>
          </w:tcPr>
          <w:p>
            <w:pPr>
              <w:ind w:left="80"/>
              <w:spacing w:after="0" w:line="88" w:lineRule="exact"/>
              <w:rPr>
                <w:sz w:val="20"/>
                <w:szCs w:val="20"/>
                <w:color w:val="auto"/>
              </w:rPr>
            </w:pPr>
            <w:r>
              <w:rPr>
                <w:rFonts w:ascii="Arial" w:cs="Arial" w:eastAsia="Arial" w:hAnsi="Arial"/>
                <w:sz w:val="10"/>
                <w:szCs w:val="10"/>
                <w:b w:val="1"/>
                <w:bCs w:val="1"/>
                <w:color w:val="auto"/>
              </w:rPr>
              <w:t>% of Total</w:t>
            </w:r>
          </w:p>
        </w:tc>
        <w:tc>
          <w:tcPr>
            <w:tcW w:w="6100" w:type="dxa"/>
            <w:vAlign w:val="bottom"/>
            <w:vMerge w:val="restart"/>
          </w:tcPr>
          <w:p>
            <w:pPr>
              <w:ind w:left="27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17"/>
        </w:trPr>
        <w:tc>
          <w:tcPr>
            <w:tcW w:w="2120" w:type="dxa"/>
            <w:vAlign w:val="bottom"/>
            <w:tcBorders>
              <w:bottom w:val="single" w:sz="8" w:color="auto"/>
            </w:tcBorders>
            <w:vMerge w:val="continue"/>
          </w:tcPr>
          <w:p>
            <w:pPr>
              <w:spacing w:after="0"/>
              <w:rPr>
                <w:sz w:val="10"/>
                <w:szCs w:val="10"/>
                <w:color w:val="auto"/>
              </w:rPr>
            </w:pPr>
          </w:p>
        </w:tc>
        <w:tc>
          <w:tcPr>
            <w:tcW w:w="980" w:type="dxa"/>
            <w:vAlign w:val="bottom"/>
            <w:tcBorders>
              <w:bottom w:val="single" w:sz="8" w:color="auto"/>
            </w:tcBorders>
          </w:tcPr>
          <w:p>
            <w:pPr>
              <w:jc w:val="center"/>
              <w:ind w:left="146"/>
              <w:spacing w:after="0" w:line="117" w:lineRule="exact"/>
              <w:rPr>
                <w:sz w:val="20"/>
                <w:szCs w:val="20"/>
                <w:color w:val="auto"/>
              </w:rPr>
            </w:pPr>
            <w:r>
              <w:rPr>
                <w:rFonts w:ascii="Arial" w:cs="Arial" w:eastAsia="Arial" w:hAnsi="Arial"/>
                <w:sz w:val="10"/>
                <w:szCs w:val="10"/>
                <w:b w:val="1"/>
                <w:bCs w:val="1"/>
                <w:color w:val="auto"/>
                <w:w w:val="95"/>
              </w:rPr>
              <w:t>Ownership %</w:t>
            </w:r>
            <w:r>
              <w:rPr>
                <w:rFonts w:ascii="Arial" w:cs="Arial" w:eastAsia="Arial" w:hAnsi="Arial"/>
                <w:sz w:val="12"/>
                <w:szCs w:val="12"/>
                <w:b w:val="1"/>
                <w:bCs w:val="1"/>
                <w:color w:val="auto"/>
                <w:w w:val="95"/>
                <w:vertAlign w:val="superscript"/>
              </w:rPr>
              <w:t>(1)</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Equity</w:t>
            </w:r>
          </w:p>
        </w:tc>
        <w:tc>
          <w:tcPr>
            <w:tcW w:w="61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120" w:type="dxa"/>
            <w:vAlign w:val="bottom"/>
            <w:shd w:val="clear" w:color="auto" w:fill="DBDBDB"/>
          </w:tcPr>
          <w:p>
            <w:pPr>
              <w:spacing w:after="0"/>
              <w:rPr>
                <w:sz w:val="9"/>
                <w:szCs w:val="9"/>
                <w:color w:val="auto"/>
              </w:rPr>
            </w:pPr>
          </w:p>
        </w:tc>
        <w:tc>
          <w:tcPr>
            <w:tcW w:w="980" w:type="dxa"/>
            <w:vAlign w:val="bottom"/>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58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640" w:type="dxa"/>
            <w:vAlign w:val="bottom"/>
            <w:shd w:val="clear" w:color="auto" w:fill="DBDBDB"/>
          </w:tcPr>
          <w:p>
            <w:pPr>
              <w:spacing w:after="0"/>
              <w:rPr>
                <w:sz w:val="9"/>
                <w:szCs w:val="9"/>
                <w:color w:val="auto"/>
              </w:rPr>
            </w:pPr>
          </w:p>
        </w:tc>
        <w:tc>
          <w:tcPr>
            <w:tcW w:w="660" w:type="dxa"/>
            <w:vAlign w:val="bottom"/>
            <w:shd w:val="clear" w:color="auto" w:fill="DBDBDB"/>
          </w:tcPr>
          <w:p>
            <w:pPr>
              <w:spacing w:after="0"/>
              <w:rPr>
                <w:sz w:val="9"/>
                <w:szCs w:val="9"/>
                <w:color w:val="auto"/>
              </w:rPr>
            </w:pPr>
          </w:p>
        </w:tc>
        <w:tc>
          <w:tcPr>
            <w:tcW w:w="6100" w:type="dxa"/>
            <w:vAlign w:val="bottom"/>
            <w:shd w:val="clear" w:color="auto" w:fill="DBDBDB"/>
          </w:tcPr>
          <w:p>
            <w:pPr>
              <w:ind w:left="20"/>
              <w:spacing w:after="0" w:line="106" w:lineRule="exact"/>
              <w:rPr>
                <w:sz w:val="20"/>
                <w:szCs w:val="20"/>
                <w:color w:val="auto"/>
              </w:rPr>
            </w:pPr>
            <w:r>
              <w:rPr>
                <w:rFonts w:ascii="Arial" w:cs="Arial" w:eastAsia="Arial" w:hAnsi="Arial"/>
                <w:sz w:val="11"/>
                <w:szCs w:val="11"/>
                <w:color w:val="auto"/>
              </w:rPr>
              <w:t>The Company owns approximately 48.0 million shares and share equivalents, or 36%, of CLNC, a commercial real estate</w:t>
            </w:r>
          </w:p>
        </w:tc>
        <w:tc>
          <w:tcPr>
            <w:tcW w:w="0" w:type="dxa"/>
            <w:vAlign w:val="bottom"/>
          </w:tcPr>
          <w:p>
            <w:pPr>
              <w:spacing w:after="0"/>
              <w:rPr>
                <w:sz w:val="1"/>
                <w:szCs w:val="1"/>
                <w:color w:val="auto"/>
              </w:rPr>
            </w:pPr>
          </w:p>
        </w:tc>
      </w:tr>
      <w:tr>
        <w:trPr>
          <w:trHeight w:val="135"/>
        </w:trPr>
        <w:tc>
          <w:tcPr>
            <w:tcW w:w="2120" w:type="dxa"/>
            <w:vAlign w:val="bottom"/>
            <w:shd w:val="clear" w:color="auto" w:fill="DBDBDB"/>
          </w:tcPr>
          <w:p>
            <w:pPr>
              <w:spacing w:after="0"/>
              <w:rPr>
                <w:sz w:val="20"/>
                <w:szCs w:val="20"/>
                <w:color w:val="auto"/>
              </w:rPr>
            </w:pPr>
            <w:r>
              <w:rPr>
                <w:rFonts w:ascii="Arial" w:cs="Arial" w:eastAsia="Arial" w:hAnsi="Arial"/>
                <w:sz w:val="11"/>
                <w:szCs w:val="11"/>
                <w:color w:val="auto"/>
              </w:rPr>
              <w:t>Colony Credit Real Estate, Inc. (CLNC)</w:t>
            </w:r>
          </w:p>
        </w:tc>
        <w:tc>
          <w:tcPr>
            <w:tcW w:w="980" w:type="dxa"/>
            <w:vAlign w:val="bottom"/>
            <w:shd w:val="clear" w:color="auto" w:fill="DBDBDB"/>
          </w:tcPr>
          <w:p>
            <w:pPr>
              <w:jc w:val="center"/>
              <w:ind w:left="146"/>
              <w:spacing w:after="0"/>
              <w:rPr>
                <w:sz w:val="20"/>
                <w:szCs w:val="20"/>
                <w:color w:val="auto"/>
              </w:rPr>
            </w:pPr>
            <w:r>
              <w:rPr>
                <w:rFonts w:ascii="Arial" w:cs="Arial" w:eastAsia="Arial" w:hAnsi="Arial"/>
                <w:sz w:val="11"/>
                <w:szCs w:val="11"/>
                <w:color w:val="auto"/>
                <w:w w:val="99"/>
              </w:rPr>
              <w:t>36%</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352.8</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352.8</w:t>
            </w:r>
          </w:p>
        </w:tc>
        <w:tc>
          <w:tcPr>
            <w:tcW w:w="6760" w:type="dxa"/>
            <w:vAlign w:val="bottom"/>
            <w:gridSpan w:val="2"/>
            <w:shd w:val="clear" w:color="auto" w:fill="DBDBDB"/>
          </w:tcPr>
          <w:p>
            <w:pPr>
              <w:ind w:left="400"/>
              <w:spacing w:after="0"/>
              <w:rPr>
                <w:sz w:val="20"/>
                <w:szCs w:val="20"/>
                <w:color w:val="auto"/>
              </w:rPr>
            </w:pPr>
            <w:r>
              <w:rPr>
                <w:rFonts w:ascii="Arial" w:cs="Arial" w:eastAsia="Arial" w:hAnsi="Arial"/>
                <w:sz w:val="11"/>
                <w:szCs w:val="11"/>
                <w:color w:val="auto"/>
              </w:rPr>
              <w:t>32 % credit REIT.</w:t>
            </w: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100" w:type="dxa"/>
            <w:vAlign w:val="bottom"/>
          </w:tcPr>
          <w:p>
            <w:pPr>
              <w:ind w:left="20"/>
              <w:spacing w:after="0" w:line="117" w:lineRule="exact"/>
              <w:rPr>
                <w:sz w:val="20"/>
                <w:szCs w:val="20"/>
                <w:color w:val="auto"/>
              </w:rPr>
            </w:pPr>
            <w:r>
              <w:rPr>
                <w:rFonts w:ascii="Arial" w:cs="Arial" w:eastAsia="Arial" w:hAnsi="Arial"/>
                <w:sz w:val="11"/>
                <w:szCs w:val="11"/>
                <w:color w:val="auto"/>
              </w:rPr>
              <w:t>NPL portfolio backed by six remaining assets primarily composed of high quality mixed-use buildings in prime Irish locations</w:t>
            </w:r>
          </w:p>
        </w:tc>
        <w:tc>
          <w:tcPr>
            <w:tcW w:w="0" w:type="dxa"/>
            <w:vAlign w:val="bottom"/>
          </w:tcPr>
          <w:p>
            <w:pPr>
              <w:spacing w:after="0"/>
              <w:rPr>
                <w:sz w:val="1"/>
                <w:szCs w:val="1"/>
                <w:color w:val="auto"/>
              </w:rPr>
            </w:pPr>
          </w:p>
        </w:tc>
      </w:tr>
      <w:tr>
        <w:trPr>
          <w:trHeight w:val="108"/>
        </w:trPr>
        <w:tc>
          <w:tcPr>
            <w:tcW w:w="2120" w:type="dxa"/>
            <w:vAlign w:val="bottom"/>
            <w:vMerge w:val="restart"/>
          </w:tcPr>
          <w:p>
            <w:pPr>
              <w:spacing w:after="0"/>
              <w:rPr>
                <w:sz w:val="20"/>
                <w:szCs w:val="20"/>
                <w:color w:val="auto"/>
              </w:rPr>
            </w:pPr>
            <w:r>
              <w:rPr>
                <w:rFonts w:ascii="Arial" w:cs="Arial" w:eastAsia="Arial" w:hAnsi="Arial"/>
                <w:sz w:val="11"/>
                <w:szCs w:val="11"/>
                <w:color w:val="auto"/>
              </w:rPr>
              <w:t>Tolka Irish NPL Portfolio</w:t>
            </w:r>
            <w:r>
              <w:rPr>
                <w:rFonts w:ascii="Arial" w:cs="Arial" w:eastAsia="Arial" w:hAnsi="Arial"/>
                <w:sz w:val="14"/>
                <w:szCs w:val="14"/>
                <w:color w:val="auto"/>
                <w:vertAlign w:val="superscript"/>
              </w:rPr>
              <w:t>(4)</w:t>
            </w: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100" w:type="dxa"/>
            <w:vAlign w:val="bottom"/>
          </w:tcPr>
          <w:p>
            <w:pPr>
              <w:ind w:left="20"/>
              <w:spacing w:after="0" w:line="108" w:lineRule="exact"/>
              <w:rPr>
                <w:sz w:val="20"/>
                <w:szCs w:val="20"/>
                <w:color w:val="auto"/>
              </w:rPr>
            </w:pPr>
            <w:r>
              <w:rPr>
                <w:rFonts w:ascii="Arial" w:cs="Arial" w:eastAsia="Arial" w:hAnsi="Arial"/>
                <w:sz w:val="11"/>
                <w:szCs w:val="11"/>
                <w:color w:val="auto"/>
              </w:rPr>
              <w:t>in Greater Dublin. In April 2021, the Company sold two high-quality office properties located in Dublin’s city center with $104</w:t>
            </w:r>
          </w:p>
        </w:tc>
        <w:tc>
          <w:tcPr>
            <w:tcW w:w="0" w:type="dxa"/>
            <w:vAlign w:val="bottom"/>
          </w:tcPr>
          <w:p>
            <w:pPr>
              <w:spacing w:after="0"/>
              <w:rPr>
                <w:sz w:val="1"/>
                <w:szCs w:val="1"/>
                <w:color w:val="auto"/>
              </w:rPr>
            </w:pPr>
          </w:p>
        </w:tc>
      </w:tr>
      <w:tr>
        <w:trPr>
          <w:trHeight w:val="135"/>
        </w:trPr>
        <w:tc>
          <w:tcPr>
            <w:tcW w:w="2120" w:type="dxa"/>
            <w:vAlign w:val="bottom"/>
            <w:vMerge w:val="continue"/>
          </w:tcPr>
          <w:p>
            <w:pPr>
              <w:spacing w:after="0"/>
              <w:rPr>
                <w:sz w:val="11"/>
                <w:szCs w:val="11"/>
                <w:color w:val="auto"/>
              </w:rPr>
            </w:pPr>
          </w:p>
        </w:tc>
        <w:tc>
          <w:tcPr>
            <w:tcW w:w="980" w:type="dxa"/>
            <w:vAlign w:val="bottom"/>
          </w:tcPr>
          <w:p>
            <w:pPr>
              <w:jc w:val="center"/>
              <w:ind w:left="146"/>
              <w:spacing w:after="0"/>
              <w:rPr>
                <w:sz w:val="20"/>
                <w:szCs w:val="20"/>
                <w:color w:val="auto"/>
              </w:rPr>
            </w:pPr>
            <w:r>
              <w:rPr>
                <w:rFonts w:ascii="Arial" w:cs="Arial" w:eastAsia="Arial" w:hAnsi="Arial"/>
                <w:sz w:val="11"/>
                <w:szCs w:val="11"/>
                <w:color w:val="auto"/>
                <w:w w:val="92"/>
              </w:rPr>
              <w:t>100%</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382.5</w:t>
            </w:r>
          </w:p>
        </w:tc>
        <w:tc>
          <w:tcPr>
            <w:tcW w:w="12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163.3</w:t>
            </w:r>
          </w:p>
        </w:tc>
        <w:tc>
          <w:tcPr>
            <w:tcW w:w="6760" w:type="dxa"/>
            <w:vAlign w:val="bottom"/>
            <w:gridSpan w:val="2"/>
          </w:tcPr>
          <w:p>
            <w:pPr>
              <w:ind w:left="400"/>
              <w:spacing w:after="0"/>
              <w:rPr>
                <w:sz w:val="20"/>
                <w:szCs w:val="20"/>
                <w:color w:val="auto"/>
              </w:rPr>
            </w:pPr>
            <w:r>
              <w:rPr>
                <w:rFonts w:ascii="Arial" w:cs="Arial" w:eastAsia="Arial" w:hAnsi="Arial"/>
                <w:sz w:val="11"/>
                <w:szCs w:val="11"/>
                <w:color w:val="auto"/>
              </w:rPr>
              <w:t>15 % million in net equity proceeds. Following the sale, asset carrying value is $81 million and equity is $52 million.</w:t>
            </w:r>
          </w:p>
        </w:tc>
        <w:tc>
          <w:tcPr>
            <w:tcW w:w="0" w:type="dxa"/>
            <w:vAlign w:val="bottom"/>
          </w:tcPr>
          <w:p>
            <w:pPr>
              <w:spacing w:after="0"/>
              <w:rPr>
                <w:sz w:val="1"/>
                <w:szCs w:val="1"/>
                <w:color w:val="auto"/>
              </w:rPr>
            </w:pPr>
          </w:p>
        </w:tc>
      </w:tr>
      <w:tr>
        <w:trPr>
          <w:trHeight w:val="117"/>
        </w:trPr>
        <w:tc>
          <w:tcPr>
            <w:tcW w:w="2120" w:type="dxa"/>
            <w:vAlign w:val="bottom"/>
            <w:shd w:val="clear" w:color="auto" w:fill="DBDBDB"/>
          </w:tcPr>
          <w:p>
            <w:pPr>
              <w:spacing w:after="0"/>
              <w:rPr>
                <w:sz w:val="10"/>
                <w:szCs w:val="10"/>
                <w:color w:val="auto"/>
              </w:rPr>
            </w:pPr>
          </w:p>
        </w:tc>
        <w:tc>
          <w:tcPr>
            <w:tcW w:w="9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660" w:type="dxa"/>
            <w:vAlign w:val="bottom"/>
            <w:shd w:val="clear" w:color="auto" w:fill="DBDBDB"/>
          </w:tcPr>
          <w:p>
            <w:pPr>
              <w:spacing w:after="0"/>
              <w:rPr>
                <w:sz w:val="10"/>
                <w:szCs w:val="10"/>
                <w:color w:val="auto"/>
              </w:rPr>
            </w:pPr>
          </w:p>
        </w:tc>
        <w:tc>
          <w:tcPr>
            <w:tcW w:w="6100" w:type="dxa"/>
            <w:vAlign w:val="bottom"/>
            <w:shd w:val="clear" w:color="auto" w:fill="DBDBDB"/>
          </w:tcPr>
          <w:p>
            <w:pPr>
              <w:ind w:left="20"/>
              <w:spacing w:after="0" w:line="117" w:lineRule="exact"/>
              <w:rPr>
                <w:sz w:val="20"/>
                <w:szCs w:val="20"/>
                <w:color w:val="auto"/>
              </w:rPr>
            </w:pPr>
            <w:r>
              <w:rPr>
                <w:rFonts w:ascii="Arial" w:cs="Arial" w:eastAsia="Arial" w:hAnsi="Arial"/>
                <w:sz w:val="11"/>
                <w:szCs w:val="11"/>
                <w:color w:val="auto"/>
              </w:rPr>
              <w:t>EUR 222.6 million whole loan (EUR 200.8 million funded to date) with 71% profit participation in a Dublin mixed-use</w:t>
            </w:r>
          </w:p>
        </w:tc>
        <w:tc>
          <w:tcPr>
            <w:tcW w:w="0" w:type="dxa"/>
            <w:vAlign w:val="bottom"/>
          </w:tcPr>
          <w:p>
            <w:pPr>
              <w:spacing w:after="0"/>
              <w:rPr>
                <w:sz w:val="1"/>
                <w:szCs w:val="1"/>
                <w:color w:val="auto"/>
              </w:rPr>
            </w:pPr>
          </w:p>
        </w:tc>
      </w:tr>
      <w:tr>
        <w:trPr>
          <w:trHeight w:val="108"/>
        </w:trPr>
        <w:tc>
          <w:tcPr>
            <w:tcW w:w="2120" w:type="dxa"/>
            <w:vAlign w:val="bottom"/>
            <w:shd w:val="clear" w:color="auto" w:fill="DBDBDB"/>
          </w:tcPr>
          <w:p>
            <w:pPr>
              <w:spacing w:after="0"/>
              <w:rPr>
                <w:sz w:val="9"/>
                <w:szCs w:val="9"/>
                <w:color w:val="auto"/>
              </w:rPr>
            </w:pPr>
          </w:p>
        </w:tc>
        <w:tc>
          <w:tcPr>
            <w:tcW w:w="980" w:type="dxa"/>
            <w:vAlign w:val="bottom"/>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58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640" w:type="dxa"/>
            <w:vAlign w:val="bottom"/>
            <w:shd w:val="clear" w:color="auto" w:fill="DBDBDB"/>
          </w:tcPr>
          <w:p>
            <w:pPr>
              <w:spacing w:after="0"/>
              <w:rPr>
                <w:sz w:val="9"/>
                <w:szCs w:val="9"/>
                <w:color w:val="auto"/>
              </w:rPr>
            </w:pPr>
          </w:p>
        </w:tc>
        <w:tc>
          <w:tcPr>
            <w:tcW w:w="660" w:type="dxa"/>
            <w:vAlign w:val="bottom"/>
            <w:shd w:val="clear" w:color="auto" w:fill="DBDBDB"/>
          </w:tcPr>
          <w:p>
            <w:pPr>
              <w:spacing w:after="0"/>
              <w:rPr>
                <w:sz w:val="9"/>
                <w:szCs w:val="9"/>
                <w:color w:val="auto"/>
              </w:rPr>
            </w:pPr>
          </w:p>
        </w:tc>
        <w:tc>
          <w:tcPr>
            <w:tcW w:w="6100" w:type="dxa"/>
            <w:vAlign w:val="bottom"/>
            <w:shd w:val="clear" w:color="auto" w:fill="DBDBDB"/>
          </w:tcPr>
          <w:p>
            <w:pPr>
              <w:ind w:left="20"/>
              <w:spacing w:after="0" w:line="108" w:lineRule="exact"/>
              <w:rPr>
                <w:sz w:val="20"/>
                <w:szCs w:val="20"/>
                <w:color w:val="auto"/>
              </w:rPr>
            </w:pPr>
            <w:r>
              <w:rPr>
                <w:rFonts w:ascii="Arial" w:cs="Arial" w:eastAsia="Arial" w:hAnsi="Arial"/>
                <w:sz w:val="11"/>
                <w:szCs w:val="11"/>
                <w:color w:val="auto"/>
              </w:rPr>
              <w:t>development of approximately 1 million square feet. The South Site (accounting for 60.7% of total NIA) is entirely pre-let to</w:t>
            </w:r>
          </w:p>
        </w:tc>
        <w:tc>
          <w:tcPr>
            <w:tcW w:w="0" w:type="dxa"/>
            <w:vAlign w:val="bottom"/>
          </w:tcPr>
          <w:p>
            <w:pPr>
              <w:spacing w:after="0"/>
              <w:rPr>
                <w:sz w:val="1"/>
                <w:szCs w:val="1"/>
                <w:color w:val="auto"/>
              </w:rPr>
            </w:pPr>
          </w:p>
        </w:tc>
      </w:tr>
      <w:tr>
        <w:trPr>
          <w:trHeight w:val="135"/>
        </w:trPr>
        <w:tc>
          <w:tcPr>
            <w:tcW w:w="2120" w:type="dxa"/>
            <w:vAlign w:val="bottom"/>
            <w:shd w:val="clear" w:color="auto" w:fill="DBDBDB"/>
          </w:tcPr>
          <w:p>
            <w:pPr>
              <w:spacing w:after="0"/>
              <w:rPr>
                <w:sz w:val="20"/>
                <w:szCs w:val="20"/>
                <w:color w:val="auto"/>
              </w:rPr>
            </w:pPr>
            <w:r>
              <w:rPr>
                <w:rFonts w:ascii="Arial" w:cs="Arial" w:eastAsia="Arial" w:hAnsi="Arial"/>
                <w:sz w:val="11"/>
                <w:szCs w:val="11"/>
                <w:color w:val="auto"/>
              </w:rPr>
              <w:t>Spencer Dock Loan</w:t>
            </w:r>
          </w:p>
        </w:tc>
        <w:tc>
          <w:tcPr>
            <w:tcW w:w="980" w:type="dxa"/>
            <w:vAlign w:val="bottom"/>
            <w:shd w:val="clear" w:color="auto" w:fill="DBDBDB"/>
          </w:tcPr>
          <w:p>
            <w:pPr>
              <w:jc w:val="center"/>
              <w:ind w:left="146"/>
              <w:spacing w:after="0"/>
              <w:rPr>
                <w:sz w:val="20"/>
                <w:szCs w:val="20"/>
                <w:color w:val="auto"/>
              </w:rPr>
            </w:pPr>
            <w:r>
              <w:rPr>
                <w:rFonts w:ascii="Arial" w:cs="Arial" w:eastAsia="Arial" w:hAnsi="Arial"/>
                <w:sz w:val="11"/>
                <w:szCs w:val="11"/>
                <w:color w:val="auto"/>
                <w:w w:val="99"/>
              </w:rPr>
              <w:t>20%</w:t>
            </w:r>
          </w:p>
        </w:tc>
        <w:tc>
          <w:tcPr>
            <w:tcW w:w="100" w:type="dxa"/>
            <w:vAlign w:val="bottom"/>
            <w:shd w:val="clear" w:color="auto" w:fill="DBDBDB"/>
          </w:tcPr>
          <w:p>
            <w:pPr>
              <w:spacing w:after="0"/>
              <w:rPr>
                <w:sz w:val="11"/>
                <w:szCs w:val="11"/>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50.4</w:t>
            </w:r>
          </w:p>
        </w:tc>
        <w:tc>
          <w:tcPr>
            <w:tcW w:w="120" w:type="dxa"/>
            <w:vAlign w:val="bottom"/>
            <w:shd w:val="clear" w:color="auto" w:fill="DBDBDB"/>
          </w:tcPr>
          <w:p>
            <w:pPr>
              <w:spacing w:after="0"/>
              <w:rPr>
                <w:sz w:val="11"/>
                <w:szCs w:val="11"/>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50.4</w:t>
            </w:r>
          </w:p>
        </w:tc>
        <w:tc>
          <w:tcPr>
            <w:tcW w:w="6760" w:type="dxa"/>
            <w:vAlign w:val="bottom"/>
            <w:gridSpan w:val="2"/>
            <w:shd w:val="clear" w:color="auto" w:fill="DBDBDB"/>
          </w:tcPr>
          <w:p>
            <w:pPr>
              <w:ind w:left="460"/>
              <w:spacing w:after="0"/>
              <w:rPr>
                <w:sz w:val="20"/>
                <w:szCs w:val="20"/>
                <w:color w:val="auto"/>
              </w:rPr>
            </w:pPr>
            <w:r>
              <w:rPr>
                <w:rFonts w:ascii="Arial" w:cs="Arial" w:eastAsia="Arial" w:hAnsi="Arial"/>
                <w:sz w:val="11"/>
                <w:szCs w:val="11"/>
                <w:color w:val="auto"/>
              </w:rPr>
              <w:t>5 % SalesForce and Dalata, while the North Site (accounting for 39.3% of total NIA) is currently under planning review.</w:t>
            </w: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100" w:type="dxa"/>
            <w:vAlign w:val="bottom"/>
          </w:tcPr>
          <w:p>
            <w:pPr>
              <w:ind w:left="20"/>
              <w:spacing w:after="0" w:line="117" w:lineRule="exact"/>
              <w:rPr>
                <w:sz w:val="20"/>
                <w:szCs w:val="20"/>
                <w:color w:val="auto"/>
              </w:rPr>
            </w:pPr>
            <w:r>
              <w:rPr>
                <w:rFonts w:ascii="Arial" w:cs="Arial" w:eastAsia="Arial" w:hAnsi="Arial"/>
                <w:sz w:val="11"/>
                <w:szCs w:val="11"/>
                <w:color w:val="auto"/>
              </w:rPr>
              <w:t>EUR 93.8 million junior loan with an 11% coupon (4.5% cash interest and 6.5% PIK interest) and maturity in Jan-22</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100" w:type="dxa"/>
            <w:vAlign w:val="bottom"/>
          </w:tcPr>
          <w:p>
            <w:pPr>
              <w:ind w:left="20"/>
              <w:spacing w:after="0" w:line="108" w:lineRule="exact"/>
              <w:rPr>
                <w:sz w:val="20"/>
                <w:szCs w:val="20"/>
                <w:color w:val="auto"/>
              </w:rPr>
            </w:pPr>
            <w:r>
              <w:rPr>
                <w:rFonts w:ascii="Arial" w:cs="Arial" w:eastAsia="Arial" w:hAnsi="Arial"/>
                <w:sz w:val="11"/>
                <w:szCs w:val="11"/>
                <w:color w:val="auto"/>
              </w:rPr>
              <w:t>collateralized by a portfolio of 12 income-producing mixed-use assets and 5 residential and mixed-use development sites</w:t>
            </w:r>
          </w:p>
        </w:tc>
        <w:tc>
          <w:tcPr>
            <w:tcW w:w="0" w:type="dxa"/>
            <w:vAlign w:val="bottom"/>
          </w:tcPr>
          <w:p>
            <w:pPr>
              <w:spacing w:after="0"/>
              <w:rPr>
                <w:sz w:val="1"/>
                <w:szCs w:val="1"/>
                <w:color w:val="auto"/>
              </w:rPr>
            </w:pPr>
          </w:p>
        </w:tc>
      </w:tr>
      <w:tr>
        <w:trPr>
          <w:trHeight w:val="133"/>
        </w:trPr>
        <w:tc>
          <w:tcPr>
            <w:tcW w:w="2120" w:type="dxa"/>
            <w:vAlign w:val="bottom"/>
          </w:tcPr>
          <w:p>
            <w:pPr>
              <w:spacing w:after="0"/>
              <w:rPr>
                <w:sz w:val="20"/>
                <w:szCs w:val="20"/>
                <w:color w:val="auto"/>
              </w:rPr>
            </w:pPr>
            <w:r>
              <w:rPr>
                <w:rFonts w:ascii="Arial" w:cs="Arial" w:eastAsia="Arial" w:hAnsi="Arial"/>
                <w:sz w:val="11"/>
                <w:szCs w:val="11"/>
                <w:color w:val="auto"/>
              </w:rPr>
              <w:t>Ronan CRE Portfolio Loan</w:t>
            </w:r>
          </w:p>
        </w:tc>
        <w:tc>
          <w:tcPr>
            <w:tcW w:w="980" w:type="dxa"/>
            <w:vAlign w:val="bottom"/>
          </w:tcPr>
          <w:p>
            <w:pPr>
              <w:jc w:val="center"/>
              <w:ind w:left="146"/>
              <w:spacing w:after="0"/>
              <w:rPr>
                <w:sz w:val="20"/>
                <w:szCs w:val="20"/>
                <w:color w:val="auto"/>
              </w:rPr>
            </w:pPr>
            <w:r>
              <w:rPr>
                <w:rFonts w:ascii="Arial" w:cs="Arial" w:eastAsia="Arial" w:hAnsi="Arial"/>
                <w:sz w:val="11"/>
                <w:szCs w:val="11"/>
                <w:color w:val="auto"/>
                <w:w w:val="99"/>
              </w:rPr>
              <w:t>50%</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49.2</w:t>
            </w:r>
          </w:p>
        </w:tc>
        <w:tc>
          <w:tcPr>
            <w:tcW w:w="12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49.2</w:t>
            </w:r>
          </w:p>
        </w:tc>
        <w:tc>
          <w:tcPr>
            <w:tcW w:w="6760" w:type="dxa"/>
            <w:vAlign w:val="bottom"/>
            <w:gridSpan w:val="2"/>
          </w:tcPr>
          <w:p>
            <w:pPr>
              <w:ind w:left="460"/>
              <w:spacing w:after="0"/>
              <w:rPr>
                <w:sz w:val="20"/>
                <w:szCs w:val="20"/>
                <w:color w:val="auto"/>
              </w:rPr>
            </w:pPr>
            <w:r>
              <w:rPr>
                <w:rFonts w:ascii="Arial" w:cs="Arial" w:eastAsia="Arial" w:hAnsi="Arial"/>
                <w:sz w:val="11"/>
                <w:szCs w:val="11"/>
                <w:color w:val="auto"/>
              </w:rPr>
              <w:t>4 % primarily in Ireland.</w:t>
            </w:r>
          </w:p>
        </w:tc>
        <w:tc>
          <w:tcPr>
            <w:tcW w:w="0" w:type="dxa"/>
            <w:vAlign w:val="bottom"/>
          </w:tcPr>
          <w:p>
            <w:pPr>
              <w:spacing w:after="0"/>
              <w:rPr>
                <w:sz w:val="1"/>
                <w:szCs w:val="1"/>
                <w:color w:val="auto"/>
              </w:rPr>
            </w:pPr>
          </w:p>
        </w:tc>
      </w:tr>
      <w:tr>
        <w:trPr>
          <w:trHeight w:val="119"/>
        </w:trPr>
        <w:tc>
          <w:tcPr>
            <w:tcW w:w="2120" w:type="dxa"/>
            <w:vAlign w:val="bottom"/>
            <w:shd w:val="clear" w:color="auto" w:fill="DBDBDB"/>
          </w:tcPr>
          <w:p>
            <w:pPr>
              <w:spacing w:after="0"/>
              <w:rPr>
                <w:sz w:val="10"/>
                <w:szCs w:val="10"/>
                <w:color w:val="auto"/>
              </w:rPr>
            </w:pPr>
          </w:p>
        </w:tc>
        <w:tc>
          <w:tcPr>
            <w:tcW w:w="9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660" w:type="dxa"/>
            <w:vAlign w:val="bottom"/>
            <w:shd w:val="clear" w:color="auto" w:fill="DBDBDB"/>
          </w:tcPr>
          <w:p>
            <w:pPr>
              <w:spacing w:after="0"/>
              <w:rPr>
                <w:sz w:val="10"/>
                <w:szCs w:val="10"/>
                <w:color w:val="auto"/>
              </w:rPr>
            </w:pPr>
          </w:p>
        </w:tc>
        <w:tc>
          <w:tcPr>
            <w:tcW w:w="6100" w:type="dxa"/>
            <w:vAlign w:val="bottom"/>
            <w:shd w:val="clear" w:color="auto" w:fill="DBDBDB"/>
          </w:tcPr>
          <w:p>
            <w:pPr>
              <w:ind w:left="20"/>
              <w:spacing w:after="0" w:line="120" w:lineRule="exact"/>
              <w:rPr>
                <w:sz w:val="20"/>
                <w:szCs w:val="20"/>
                <w:color w:val="auto"/>
              </w:rPr>
            </w:pPr>
            <w:r>
              <w:rPr>
                <w:rFonts w:ascii="Arial" w:cs="Arial" w:eastAsia="Arial" w:hAnsi="Arial"/>
                <w:sz w:val="11"/>
                <w:szCs w:val="11"/>
                <w:color w:val="auto"/>
              </w:rPr>
              <w:t>2% ownership in a JV that owns an approximate 4% stake in the public shares of Albertsons Companies Inc. (NYSE: ACI).</w:t>
            </w:r>
          </w:p>
        </w:tc>
        <w:tc>
          <w:tcPr>
            <w:tcW w:w="0" w:type="dxa"/>
            <w:vAlign w:val="bottom"/>
          </w:tcPr>
          <w:p>
            <w:pPr>
              <w:spacing w:after="0"/>
              <w:rPr>
                <w:sz w:val="1"/>
                <w:szCs w:val="1"/>
                <w:color w:val="auto"/>
              </w:rPr>
            </w:pPr>
          </w:p>
        </w:tc>
      </w:tr>
      <w:tr>
        <w:trPr>
          <w:trHeight w:val="108"/>
        </w:trPr>
        <w:tc>
          <w:tcPr>
            <w:tcW w:w="2120" w:type="dxa"/>
            <w:vAlign w:val="bottom"/>
            <w:shd w:val="clear" w:color="auto" w:fill="DBDBDB"/>
          </w:tcPr>
          <w:p>
            <w:pPr>
              <w:spacing w:after="0"/>
              <w:rPr>
                <w:sz w:val="9"/>
                <w:szCs w:val="9"/>
                <w:color w:val="auto"/>
              </w:rPr>
            </w:pPr>
          </w:p>
        </w:tc>
        <w:tc>
          <w:tcPr>
            <w:tcW w:w="980" w:type="dxa"/>
            <w:vAlign w:val="bottom"/>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58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640" w:type="dxa"/>
            <w:vAlign w:val="bottom"/>
            <w:shd w:val="clear" w:color="auto" w:fill="DBDBDB"/>
          </w:tcPr>
          <w:p>
            <w:pPr>
              <w:spacing w:after="0"/>
              <w:rPr>
                <w:sz w:val="9"/>
                <w:szCs w:val="9"/>
                <w:color w:val="auto"/>
              </w:rPr>
            </w:pPr>
          </w:p>
        </w:tc>
        <w:tc>
          <w:tcPr>
            <w:tcW w:w="660" w:type="dxa"/>
            <w:vAlign w:val="bottom"/>
            <w:shd w:val="clear" w:color="auto" w:fill="DBDBDB"/>
          </w:tcPr>
          <w:p>
            <w:pPr>
              <w:spacing w:after="0"/>
              <w:rPr>
                <w:sz w:val="9"/>
                <w:szCs w:val="9"/>
                <w:color w:val="auto"/>
              </w:rPr>
            </w:pPr>
          </w:p>
        </w:tc>
        <w:tc>
          <w:tcPr>
            <w:tcW w:w="6100" w:type="dxa"/>
            <w:vAlign w:val="bottom"/>
            <w:shd w:val="clear" w:color="auto" w:fill="DBDBDB"/>
          </w:tcPr>
          <w:p>
            <w:pPr>
              <w:ind w:left="20"/>
              <w:spacing w:after="0" w:line="108" w:lineRule="exact"/>
              <w:rPr>
                <w:sz w:val="20"/>
                <w:szCs w:val="20"/>
                <w:color w:val="auto"/>
              </w:rPr>
            </w:pPr>
            <w:r>
              <w:rPr>
                <w:rFonts w:ascii="Arial" w:cs="Arial" w:eastAsia="Arial" w:hAnsi="Arial"/>
                <w:sz w:val="11"/>
                <w:szCs w:val="11"/>
                <w:color w:val="auto"/>
              </w:rPr>
              <w:t>CLNY receives an annual management fee on $148.5 million third-party JV equity. Additionally, CLNY holds an interest in a</w:t>
            </w:r>
          </w:p>
        </w:tc>
        <w:tc>
          <w:tcPr>
            <w:tcW w:w="0" w:type="dxa"/>
            <w:vAlign w:val="bottom"/>
          </w:tcPr>
          <w:p>
            <w:pPr>
              <w:spacing w:after="0"/>
              <w:rPr>
                <w:sz w:val="1"/>
                <w:szCs w:val="1"/>
                <w:color w:val="auto"/>
              </w:rPr>
            </w:pPr>
          </w:p>
        </w:tc>
      </w:tr>
      <w:tr>
        <w:trPr>
          <w:trHeight w:val="108"/>
        </w:trPr>
        <w:tc>
          <w:tcPr>
            <w:tcW w:w="2120" w:type="dxa"/>
            <w:vAlign w:val="bottom"/>
            <w:shd w:val="clear" w:color="auto" w:fill="DBDBDB"/>
          </w:tcPr>
          <w:p>
            <w:pPr>
              <w:spacing w:after="0"/>
              <w:rPr>
                <w:sz w:val="9"/>
                <w:szCs w:val="9"/>
                <w:color w:val="auto"/>
              </w:rPr>
            </w:pPr>
          </w:p>
        </w:tc>
        <w:tc>
          <w:tcPr>
            <w:tcW w:w="980" w:type="dxa"/>
            <w:vAlign w:val="bottom"/>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58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640" w:type="dxa"/>
            <w:vAlign w:val="bottom"/>
            <w:shd w:val="clear" w:color="auto" w:fill="DBDBDB"/>
          </w:tcPr>
          <w:p>
            <w:pPr>
              <w:spacing w:after="0"/>
              <w:rPr>
                <w:sz w:val="9"/>
                <w:szCs w:val="9"/>
                <w:color w:val="auto"/>
              </w:rPr>
            </w:pPr>
          </w:p>
        </w:tc>
        <w:tc>
          <w:tcPr>
            <w:tcW w:w="660" w:type="dxa"/>
            <w:vAlign w:val="bottom"/>
            <w:shd w:val="clear" w:color="auto" w:fill="DBDBDB"/>
          </w:tcPr>
          <w:p>
            <w:pPr>
              <w:spacing w:after="0"/>
              <w:rPr>
                <w:sz w:val="9"/>
                <w:szCs w:val="9"/>
                <w:color w:val="auto"/>
              </w:rPr>
            </w:pPr>
          </w:p>
        </w:tc>
        <w:tc>
          <w:tcPr>
            <w:tcW w:w="6100" w:type="dxa"/>
            <w:vAlign w:val="bottom"/>
            <w:shd w:val="clear" w:color="auto" w:fill="DBDBDB"/>
          </w:tcPr>
          <w:p>
            <w:pPr>
              <w:ind w:left="20"/>
              <w:spacing w:after="0" w:line="108" w:lineRule="exact"/>
              <w:rPr>
                <w:sz w:val="20"/>
                <w:szCs w:val="20"/>
                <w:color w:val="auto"/>
              </w:rPr>
            </w:pPr>
            <w:r>
              <w:rPr>
                <w:rFonts w:ascii="Arial" w:cs="Arial" w:eastAsia="Arial" w:hAnsi="Arial"/>
                <w:sz w:val="11"/>
                <w:szCs w:val="11"/>
                <w:color w:val="auto"/>
              </w:rPr>
              <w:t>profit share vehicle that following expiration of lockouts on share sales and repayment of JV hurdles, CLNY may receive</w:t>
            </w:r>
          </w:p>
        </w:tc>
        <w:tc>
          <w:tcPr>
            <w:tcW w:w="0" w:type="dxa"/>
            <w:vAlign w:val="bottom"/>
          </w:tcPr>
          <w:p>
            <w:pPr>
              <w:spacing w:after="0"/>
              <w:rPr>
                <w:sz w:val="1"/>
                <w:szCs w:val="1"/>
                <w:color w:val="auto"/>
              </w:rPr>
            </w:pPr>
          </w:p>
        </w:tc>
      </w:tr>
      <w:tr>
        <w:trPr>
          <w:trHeight w:val="135"/>
        </w:trPr>
        <w:tc>
          <w:tcPr>
            <w:tcW w:w="2120" w:type="dxa"/>
            <w:vAlign w:val="bottom"/>
            <w:shd w:val="clear" w:color="auto" w:fill="DBDBDB"/>
          </w:tcPr>
          <w:p>
            <w:pPr>
              <w:spacing w:after="0"/>
              <w:rPr>
                <w:sz w:val="20"/>
                <w:szCs w:val="20"/>
                <w:color w:val="auto"/>
              </w:rPr>
            </w:pPr>
            <w:r>
              <w:rPr>
                <w:rFonts w:ascii="Arial" w:cs="Arial" w:eastAsia="Arial" w:hAnsi="Arial"/>
                <w:sz w:val="11"/>
                <w:szCs w:val="11"/>
                <w:color w:val="auto"/>
              </w:rPr>
              <w:t>Albertsons</w:t>
            </w:r>
          </w:p>
        </w:tc>
        <w:tc>
          <w:tcPr>
            <w:tcW w:w="980" w:type="dxa"/>
            <w:vAlign w:val="bottom"/>
            <w:shd w:val="clear" w:color="auto" w:fill="DBDBDB"/>
          </w:tcPr>
          <w:p>
            <w:pPr>
              <w:jc w:val="center"/>
              <w:ind w:left="146"/>
              <w:spacing w:after="0"/>
              <w:rPr>
                <w:sz w:val="20"/>
                <w:szCs w:val="20"/>
                <w:color w:val="auto"/>
              </w:rPr>
            </w:pPr>
            <w:r>
              <w:rPr>
                <w:rFonts w:ascii="Arial" w:cs="Arial" w:eastAsia="Arial" w:hAnsi="Arial"/>
                <w:sz w:val="11"/>
                <w:szCs w:val="11"/>
                <w:color w:val="auto"/>
                <w:w w:val="91"/>
              </w:rPr>
              <w:t>n/a</w:t>
            </w:r>
          </w:p>
        </w:tc>
        <w:tc>
          <w:tcPr>
            <w:tcW w:w="100" w:type="dxa"/>
            <w:vAlign w:val="bottom"/>
            <w:shd w:val="clear" w:color="auto" w:fill="DBDBDB"/>
          </w:tcPr>
          <w:p>
            <w:pPr>
              <w:spacing w:after="0"/>
              <w:rPr>
                <w:sz w:val="11"/>
                <w:szCs w:val="11"/>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48.0</w:t>
            </w:r>
          </w:p>
        </w:tc>
        <w:tc>
          <w:tcPr>
            <w:tcW w:w="120" w:type="dxa"/>
            <w:vAlign w:val="bottom"/>
            <w:shd w:val="clear" w:color="auto" w:fill="DBDBDB"/>
          </w:tcPr>
          <w:p>
            <w:pPr>
              <w:spacing w:after="0"/>
              <w:rPr>
                <w:sz w:val="11"/>
                <w:szCs w:val="11"/>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48.0</w:t>
            </w:r>
          </w:p>
        </w:tc>
        <w:tc>
          <w:tcPr>
            <w:tcW w:w="6760" w:type="dxa"/>
            <w:vAlign w:val="bottom"/>
            <w:gridSpan w:val="2"/>
            <w:shd w:val="clear" w:color="auto" w:fill="DBDBDB"/>
          </w:tcPr>
          <w:p>
            <w:pPr>
              <w:ind w:left="460"/>
              <w:spacing w:after="0"/>
              <w:rPr>
                <w:sz w:val="20"/>
                <w:szCs w:val="20"/>
                <w:color w:val="auto"/>
              </w:rPr>
            </w:pPr>
            <w:r>
              <w:rPr>
                <w:rFonts w:ascii="Arial" w:cs="Arial" w:eastAsia="Arial" w:hAnsi="Arial"/>
                <w:sz w:val="11"/>
                <w:szCs w:val="11"/>
                <w:color w:val="auto"/>
              </w:rPr>
              <w:t>4 % additional consideration.</w:t>
            </w: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100" w:type="dxa"/>
            <w:vAlign w:val="bottom"/>
          </w:tcPr>
          <w:p>
            <w:pPr>
              <w:ind w:left="20"/>
              <w:spacing w:after="0" w:line="117" w:lineRule="exact"/>
              <w:rPr>
                <w:sz w:val="20"/>
                <w:szCs w:val="20"/>
                <w:color w:val="auto"/>
              </w:rPr>
            </w:pPr>
            <w:r>
              <w:rPr>
                <w:rFonts w:ascii="Arial" w:cs="Arial" w:eastAsia="Arial" w:hAnsi="Arial"/>
                <w:sz w:val="11"/>
                <w:szCs w:val="11"/>
                <w:color w:val="auto"/>
              </w:rPr>
              <w:t>Ownership of a diversified portfolio of approximately 900 hotels located primarily in Europe and mostly within the economy</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100" w:type="dxa"/>
            <w:vAlign w:val="bottom"/>
          </w:tcPr>
          <w:p>
            <w:pPr>
              <w:ind w:left="20"/>
              <w:spacing w:after="0" w:line="108" w:lineRule="exact"/>
              <w:rPr>
                <w:sz w:val="20"/>
                <w:szCs w:val="20"/>
                <w:color w:val="auto"/>
              </w:rPr>
            </w:pPr>
            <w:r>
              <w:rPr>
                <w:rFonts w:ascii="Arial" w:cs="Arial" w:eastAsia="Arial" w:hAnsi="Arial"/>
                <w:sz w:val="11"/>
                <w:szCs w:val="11"/>
                <w:color w:val="auto"/>
              </w:rPr>
              <w:t>and midscale segments managed by Accor. The Company’s position sits alongside EUR 840 million of third-party capital</w:t>
            </w:r>
          </w:p>
        </w:tc>
        <w:tc>
          <w:tcPr>
            <w:tcW w:w="0" w:type="dxa"/>
            <w:vAlign w:val="bottom"/>
          </w:tcPr>
          <w:p>
            <w:pPr>
              <w:spacing w:after="0"/>
              <w:rPr>
                <w:sz w:val="1"/>
                <w:szCs w:val="1"/>
                <w:color w:val="auto"/>
              </w:rPr>
            </w:pPr>
          </w:p>
        </w:tc>
      </w:tr>
      <w:tr>
        <w:trPr>
          <w:trHeight w:val="133"/>
        </w:trPr>
        <w:tc>
          <w:tcPr>
            <w:tcW w:w="2120" w:type="dxa"/>
            <w:vAlign w:val="bottom"/>
          </w:tcPr>
          <w:p>
            <w:pPr>
              <w:spacing w:after="0"/>
              <w:rPr>
                <w:sz w:val="20"/>
                <w:szCs w:val="20"/>
                <w:color w:val="auto"/>
              </w:rPr>
            </w:pPr>
            <w:r>
              <w:rPr>
                <w:rFonts w:ascii="Arial" w:cs="Arial" w:eastAsia="Arial" w:hAnsi="Arial"/>
                <w:sz w:val="11"/>
                <w:szCs w:val="11"/>
                <w:color w:val="auto"/>
              </w:rPr>
              <w:t>AccorInvest</w:t>
            </w:r>
          </w:p>
        </w:tc>
        <w:tc>
          <w:tcPr>
            <w:tcW w:w="980" w:type="dxa"/>
            <w:vAlign w:val="bottom"/>
          </w:tcPr>
          <w:p>
            <w:pPr>
              <w:jc w:val="center"/>
              <w:ind w:left="146"/>
              <w:spacing w:after="0"/>
              <w:rPr>
                <w:sz w:val="20"/>
                <w:szCs w:val="20"/>
                <w:color w:val="auto"/>
              </w:rPr>
            </w:pPr>
            <w:r>
              <w:rPr>
                <w:rFonts w:ascii="Arial" w:cs="Arial" w:eastAsia="Arial" w:hAnsi="Arial"/>
                <w:sz w:val="11"/>
                <w:szCs w:val="11"/>
                <w:color w:val="auto"/>
                <w:w w:val="87"/>
              </w:rPr>
              <w:t>1%</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42.8</w:t>
            </w:r>
          </w:p>
        </w:tc>
        <w:tc>
          <w:tcPr>
            <w:tcW w:w="12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42.8</w:t>
            </w:r>
          </w:p>
        </w:tc>
        <w:tc>
          <w:tcPr>
            <w:tcW w:w="6760" w:type="dxa"/>
            <w:vAlign w:val="bottom"/>
            <w:gridSpan w:val="2"/>
          </w:tcPr>
          <w:p>
            <w:pPr>
              <w:ind w:left="460"/>
              <w:spacing w:after="0"/>
              <w:rPr>
                <w:sz w:val="20"/>
                <w:szCs w:val="20"/>
                <w:color w:val="auto"/>
              </w:rPr>
            </w:pPr>
            <w:r>
              <w:rPr>
                <w:rFonts w:ascii="Arial" w:cs="Arial" w:eastAsia="Arial" w:hAnsi="Arial"/>
                <w:sz w:val="11"/>
                <w:szCs w:val="11"/>
                <w:color w:val="auto"/>
              </w:rPr>
              <w:t>4 % managed by the Company, which combine to own approximately 21% of AccorInvest.</w:t>
            </w:r>
          </w:p>
        </w:tc>
        <w:tc>
          <w:tcPr>
            <w:tcW w:w="0" w:type="dxa"/>
            <w:vAlign w:val="bottom"/>
          </w:tcPr>
          <w:p>
            <w:pPr>
              <w:spacing w:after="0"/>
              <w:rPr>
                <w:sz w:val="1"/>
                <w:szCs w:val="1"/>
                <w:color w:val="auto"/>
              </w:rPr>
            </w:pPr>
          </w:p>
        </w:tc>
      </w:tr>
      <w:tr>
        <w:trPr>
          <w:trHeight w:val="119"/>
        </w:trPr>
        <w:tc>
          <w:tcPr>
            <w:tcW w:w="2120" w:type="dxa"/>
            <w:vAlign w:val="bottom"/>
            <w:shd w:val="clear" w:color="auto" w:fill="DBDBDB"/>
          </w:tcPr>
          <w:p>
            <w:pPr>
              <w:spacing w:after="0"/>
              <w:rPr>
                <w:sz w:val="10"/>
                <w:szCs w:val="10"/>
                <w:color w:val="auto"/>
              </w:rPr>
            </w:pPr>
          </w:p>
        </w:tc>
        <w:tc>
          <w:tcPr>
            <w:tcW w:w="9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660" w:type="dxa"/>
            <w:vAlign w:val="bottom"/>
            <w:shd w:val="clear" w:color="auto" w:fill="DBDBDB"/>
          </w:tcPr>
          <w:p>
            <w:pPr>
              <w:spacing w:after="0"/>
              <w:rPr>
                <w:sz w:val="10"/>
                <w:szCs w:val="10"/>
                <w:color w:val="auto"/>
              </w:rPr>
            </w:pPr>
          </w:p>
        </w:tc>
        <w:tc>
          <w:tcPr>
            <w:tcW w:w="6100" w:type="dxa"/>
            <w:vAlign w:val="bottom"/>
            <w:shd w:val="clear" w:color="auto" w:fill="DBDBDB"/>
          </w:tcPr>
          <w:p>
            <w:pPr>
              <w:ind w:left="20"/>
              <w:spacing w:after="0" w:line="120" w:lineRule="exact"/>
              <w:rPr>
                <w:sz w:val="20"/>
                <w:szCs w:val="20"/>
                <w:color w:val="auto"/>
              </w:rPr>
            </w:pPr>
            <w:r>
              <w:rPr>
                <w:rFonts w:ascii="Arial" w:cs="Arial" w:eastAsia="Arial" w:hAnsi="Arial"/>
                <w:sz w:val="11"/>
                <w:szCs w:val="11"/>
                <w:color w:val="auto"/>
              </w:rPr>
              <w:t>GBP 49 million note secured by (i) pledge of borrower’s equity interest in a Boston office tower, (ii) other commercial real</w:t>
            </w:r>
          </w:p>
        </w:tc>
        <w:tc>
          <w:tcPr>
            <w:tcW w:w="0" w:type="dxa"/>
            <w:vAlign w:val="bottom"/>
          </w:tcPr>
          <w:p>
            <w:pPr>
              <w:spacing w:after="0"/>
              <w:rPr>
                <w:sz w:val="1"/>
                <w:szCs w:val="1"/>
                <w:color w:val="auto"/>
              </w:rPr>
            </w:pPr>
          </w:p>
        </w:tc>
      </w:tr>
      <w:tr>
        <w:trPr>
          <w:trHeight w:val="135"/>
        </w:trPr>
        <w:tc>
          <w:tcPr>
            <w:tcW w:w="2120" w:type="dxa"/>
            <w:vAlign w:val="bottom"/>
            <w:shd w:val="clear" w:color="auto" w:fill="DBDBDB"/>
          </w:tcPr>
          <w:p>
            <w:pPr>
              <w:spacing w:after="0"/>
              <w:rPr>
                <w:sz w:val="20"/>
                <w:szCs w:val="20"/>
                <w:color w:val="auto"/>
              </w:rPr>
            </w:pPr>
            <w:r>
              <w:rPr>
                <w:rFonts w:ascii="Arial" w:cs="Arial" w:eastAsia="Arial" w:hAnsi="Arial"/>
                <w:sz w:val="11"/>
                <w:szCs w:val="11"/>
                <w:color w:val="auto"/>
              </w:rPr>
              <w:t>McKillin Portfolio Loan</w:t>
            </w:r>
          </w:p>
        </w:tc>
        <w:tc>
          <w:tcPr>
            <w:tcW w:w="980" w:type="dxa"/>
            <w:vAlign w:val="bottom"/>
            <w:shd w:val="clear" w:color="auto" w:fill="DBDBDB"/>
          </w:tcPr>
          <w:p>
            <w:pPr>
              <w:jc w:val="center"/>
              <w:ind w:left="146"/>
              <w:spacing w:after="0"/>
              <w:rPr>
                <w:sz w:val="20"/>
                <w:szCs w:val="20"/>
                <w:color w:val="auto"/>
              </w:rPr>
            </w:pPr>
            <w:r>
              <w:rPr>
                <w:rFonts w:ascii="Arial" w:cs="Arial" w:eastAsia="Arial" w:hAnsi="Arial"/>
                <w:sz w:val="11"/>
                <w:szCs w:val="11"/>
                <w:color w:val="auto"/>
                <w:w w:val="99"/>
              </w:rPr>
              <w:t>96%</w:t>
            </w:r>
          </w:p>
        </w:tc>
        <w:tc>
          <w:tcPr>
            <w:tcW w:w="100" w:type="dxa"/>
            <w:vAlign w:val="bottom"/>
            <w:shd w:val="clear" w:color="auto" w:fill="DBDBDB"/>
          </w:tcPr>
          <w:p>
            <w:pPr>
              <w:spacing w:after="0"/>
              <w:rPr>
                <w:sz w:val="11"/>
                <w:szCs w:val="11"/>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42.3</w:t>
            </w:r>
          </w:p>
        </w:tc>
        <w:tc>
          <w:tcPr>
            <w:tcW w:w="120" w:type="dxa"/>
            <w:vAlign w:val="bottom"/>
            <w:shd w:val="clear" w:color="auto" w:fill="DBDBDB"/>
          </w:tcPr>
          <w:p>
            <w:pPr>
              <w:spacing w:after="0"/>
              <w:rPr>
                <w:sz w:val="11"/>
                <w:szCs w:val="11"/>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42.3</w:t>
            </w:r>
          </w:p>
        </w:tc>
        <w:tc>
          <w:tcPr>
            <w:tcW w:w="6760" w:type="dxa"/>
            <w:vAlign w:val="bottom"/>
            <w:gridSpan w:val="2"/>
            <w:shd w:val="clear" w:color="auto" w:fill="DBDBDB"/>
          </w:tcPr>
          <w:p>
            <w:pPr>
              <w:ind w:left="460"/>
              <w:spacing w:after="0"/>
              <w:rPr>
                <w:sz w:val="20"/>
                <w:szCs w:val="20"/>
                <w:color w:val="auto"/>
              </w:rPr>
            </w:pPr>
            <w:r>
              <w:rPr>
                <w:rFonts w:ascii="Arial" w:cs="Arial" w:eastAsia="Arial" w:hAnsi="Arial"/>
                <w:sz w:val="11"/>
                <w:szCs w:val="11"/>
                <w:color w:val="auto"/>
              </w:rPr>
              <w:t>4 % estate collateral and (iii) borrower’s personal guarantee, which is capped in amount.</w:t>
            </w: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100" w:type="dxa"/>
            <w:vAlign w:val="bottom"/>
          </w:tcPr>
          <w:p>
            <w:pPr>
              <w:ind w:left="20"/>
              <w:spacing w:after="0" w:line="117" w:lineRule="exact"/>
              <w:rPr>
                <w:sz w:val="20"/>
                <w:szCs w:val="20"/>
                <w:color w:val="auto"/>
              </w:rPr>
            </w:pPr>
            <w:r>
              <w:rPr>
                <w:rFonts w:ascii="Arial" w:cs="Arial" w:eastAsia="Arial" w:hAnsi="Arial"/>
                <w:sz w:val="11"/>
                <w:szCs w:val="11"/>
                <w:color w:val="auto"/>
              </w:rPr>
              <w:t>A minority interest in an urban air mobility platform servicing scheduled and chartered routes predominantly in the northeast</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100" w:type="dxa"/>
            <w:vAlign w:val="bottom"/>
          </w:tcPr>
          <w:p>
            <w:pPr>
              <w:ind w:left="20"/>
              <w:spacing w:after="0" w:line="108" w:lineRule="exact"/>
              <w:rPr>
                <w:sz w:val="20"/>
                <w:szCs w:val="20"/>
                <w:color w:val="auto"/>
              </w:rPr>
            </w:pPr>
            <w:r>
              <w:rPr>
                <w:rFonts w:ascii="Arial" w:cs="Arial" w:eastAsia="Arial" w:hAnsi="Arial"/>
                <w:sz w:val="11"/>
                <w:szCs w:val="11"/>
                <w:color w:val="auto"/>
              </w:rPr>
              <w:t>and west coast United States. In December 2020, Blade and a special purpose acquisition company, Experience Investment</w:t>
            </w:r>
          </w:p>
        </w:tc>
        <w:tc>
          <w:tcPr>
            <w:tcW w:w="0" w:type="dxa"/>
            <w:vAlign w:val="bottom"/>
          </w:tcPr>
          <w:p>
            <w:pPr>
              <w:spacing w:after="0"/>
              <w:rPr>
                <w:sz w:val="1"/>
                <w:szCs w:val="1"/>
                <w:color w:val="auto"/>
              </w:rPr>
            </w:pPr>
          </w:p>
        </w:tc>
      </w:tr>
      <w:tr>
        <w:trPr>
          <w:trHeight w:val="133"/>
        </w:trPr>
        <w:tc>
          <w:tcPr>
            <w:tcW w:w="2120" w:type="dxa"/>
            <w:vAlign w:val="bottom"/>
          </w:tcPr>
          <w:p>
            <w:pPr>
              <w:spacing w:after="0"/>
              <w:rPr>
                <w:sz w:val="20"/>
                <w:szCs w:val="20"/>
                <w:color w:val="auto"/>
              </w:rPr>
            </w:pPr>
            <w:r>
              <w:rPr>
                <w:rFonts w:ascii="Arial" w:cs="Arial" w:eastAsia="Arial" w:hAnsi="Arial"/>
                <w:sz w:val="11"/>
                <w:szCs w:val="11"/>
                <w:color w:val="auto"/>
              </w:rPr>
              <w:t>Blade</w:t>
            </w:r>
          </w:p>
        </w:tc>
        <w:tc>
          <w:tcPr>
            <w:tcW w:w="980" w:type="dxa"/>
            <w:vAlign w:val="bottom"/>
          </w:tcPr>
          <w:p>
            <w:pPr>
              <w:jc w:val="center"/>
              <w:ind w:left="146"/>
              <w:spacing w:after="0"/>
              <w:rPr>
                <w:sz w:val="20"/>
                <w:szCs w:val="20"/>
                <w:color w:val="auto"/>
              </w:rPr>
            </w:pPr>
            <w:r>
              <w:rPr>
                <w:rFonts w:ascii="Arial" w:cs="Arial" w:eastAsia="Arial" w:hAnsi="Arial"/>
                <w:sz w:val="11"/>
                <w:szCs w:val="11"/>
                <w:color w:val="auto"/>
                <w:w w:val="99"/>
              </w:rPr>
              <w:t>17%</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36.8</w:t>
            </w:r>
          </w:p>
        </w:tc>
        <w:tc>
          <w:tcPr>
            <w:tcW w:w="12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36.8</w:t>
            </w:r>
          </w:p>
        </w:tc>
        <w:tc>
          <w:tcPr>
            <w:tcW w:w="6760" w:type="dxa"/>
            <w:vAlign w:val="bottom"/>
            <w:gridSpan w:val="2"/>
          </w:tcPr>
          <w:p>
            <w:pPr>
              <w:ind w:left="460"/>
              <w:spacing w:after="0"/>
              <w:rPr>
                <w:sz w:val="20"/>
                <w:szCs w:val="20"/>
                <w:color w:val="auto"/>
              </w:rPr>
            </w:pPr>
            <w:r>
              <w:rPr>
                <w:rFonts w:ascii="Arial" w:cs="Arial" w:eastAsia="Arial" w:hAnsi="Arial"/>
                <w:sz w:val="11"/>
                <w:szCs w:val="11"/>
                <w:color w:val="auto"/>
              </w:rPr>
              <w:t>3 % (NASDAQ:EXPC), announced a plan to merge, effectively creating the very first publicly traded global air mobility firm.</w:t>
            </w:r>
          </w:p>
        </w:tc>
        <w:tc>
          <w:tcPr>
            <w:tcW w:w="0" w:type="dxa"/>
            <w:vAlign w:val="bottom"/>
          </w:tcPr>
          <w:p>
            <w:pPr>
              <w:spacing w:after="0"/>
              <w:rPr>
                <w:sz w:val="1"/>
                <w:szCs w:val="1"/>
                <w:color w:val="auto"/>
              </w:rPr>
            </w:pPr>
          </w:p>
        </w:tc>
      </w:tr>
      <w:tr>
        <w:trPr>
          <w:trHeight w:val="119"/>
        </w:trPr>
        <w:tc>
          <w:tcPr>
            <w:tcW w:w="2120" w:type="dxa"/>
            <w:vAlign w:val="bottom"/>
            <w:shd w:val="clear" w:color="auto" w:fill="DBDBDB"/>
          </w:tcPr>
          <w:p>
            <w:pPr>
              <w:spacing w:after="0"/>
              <w:rPr>
                <w:sz w:val="10"/>
                <w:szCs w:val="10"/>
                <w:color w:val="auto"/>
              </w:rPr>
            </w:pPr>
          </w:p>
        </w:tc>
        <w:tc>
          <w:tcPr>
            <w:tcW w:w="9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660" w:type="dxa"/>
            <w:vAlign w:val="bottom"/>
            <w:shd w:val="clear" w:color="auto" w:fill="DBDBDB"/>
          </w:tcPr>
          <w:p>
            <w:pPr>
              <w:spacing w:after="0"/>
              <w:rPr>
                <w:sz w:val="10"/>
                <w:szCs w:val="10"/>
                <w:color w:val="auto"/>
              </w:rPr>
            </w:pPr>
          </w:p>
        </w:tc>
        <w:tc>
          <w:tcPr>
            <w:tcW w:w="6100" w:type="dxa"/>
            <w:vAlign w:val="bottom"/>
            <w:shd w:val="clear" w:color="auto" w:fill="DBDBDB"/>
          </w:tcPr>
          <w:p>
            <w:pPr>
              <w:ind w:left="20"/>
              <w:spacing w:after="0" w:line="120" w:lineRule="exact"/>
              <w:rPr>
                <w:sz w:val="20"/>
                <w:szCs w:val="20"/>
                <w:color w:val="auto"/>
              </w:rPr>
            </w:pPr>
            <w:r>
              <w:rPr>
                <w:rFonts w:ascii="Arial" w:cs="Arial" w:eastAsia="Arial" w:hAnsi="Arial"/>
                <w:sz w:val="11"/>
                <w:szCs w:val="11"/>
                <w:color w:val="auto"/>
              </w:rPr>
              <w:t>Equity financing investment for restructuring and repositioning of the Maranatha Group, France’s third-largest hotel group,</w:t>
            </w:r>
          </w:p>
        </w:tc>
        <w:tc>
          <w:tcPr>
            <w:tcW w:w="0" w:type="dxa"/>
            <w:vAlign w:val="bottom"/>
          </w:tcPr>
          <w:p>
            <w:pPr>
              <w:spacing w:after="0"/>
              <w:rPr>
                <w:sz w:val="1"/>
                <w:szCs w:val="1"/>
                <w:color w:val="auto"/>
              </w:rPr>
            </w:pPr>
          </w:p>
        </w:tc>
      </w:tr>
      <w:tr>
        <w:trPr>
          <w:trHeight w:val="108"/>
        </w:trPr>
        <w:tc>
          <w:tcPr>
            <w:tcW w:w="2120" w:type="dxa"/>
            <w:vAlign w:val="bottom"/>
            <w:shd w:val="clear" w:color="auto" w:fill="DBDBDB"/>
          </w:tcPr>
          <w:p>
            <w:pPr>
              <w:spacing w:after="0"/>
              <w:rPr>
                <w:sz w:val="9"/>
                <w:szCs w:val="9"/>
                <w:color w:val="auto"/>
              </w:rPr>
            </w:pPr>
          </w:p>
        </w:tc>
        <w:tc>
          <w:tcPr>
            <w:tcW w:w="980" w:type="dxa"/>
            <w:vAlign w:val="bottom"/>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58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640" w:type="dxa"/>
            <w:vAlign w:val="bottom"/>
            <w:shd w:val="clear" w:color="auto" w:fill="DBDBDB"/>
          </w:tcPr>
          <w:p>
            <w:pPr>
              <w:spacing w:after="0"/>
              <w:rPr>
                <w:sz w:val="9"/>
                <w:szCs w:val="9"/>
                <w:color w:val="auto"/>
              </w:rPr>
            </w:pPr>
          </w:p>
        </w:tc>
        <w:tc>
          <w:tcPr>
            <w:tcW w:w="660" w:type="dxa"/>
            <w:vAlign w:val="bottom"/>
            <w:shd w:val="clear" w:color="auto" w:fill="DBDBDB"/>
          </w:tcPr>
          <w:p>
            <w:pPr>
              <w:spacing w:after="0"/>
              <w:rPr>
                <w:sz w:val="9"/>
                <w:szCs w:val="9"/>
                <w:color w:val="auto"/>
              </w:rPr>
            </w:pPr>
          </w:p>
        </w:tc>
        <w:tc>
          <w:tcPr>
            <w:tcW w:w="6100" w:type="dxa"/>
            <w:vAlign w:val="bottom"/>
            <w:shd w:val="clear" w:color="auto" w:fill="DBDBDB"/>
          </w:tcPr>
          <w:p>
            <w:pPr>
              <w:ind w:left="20"/>
              <w:spacing w:after="0" w:line="108" w:lineRule="exact"/>
              <w:rPr>
                <w:sz w:val="20"/>
                <w:szCs w:val="20"/>
                <w:color w:val="auto"/>
              </w:rPr>
            </w:pPr>
            <w:r>
              <w:rPr>
                <w:rFonts w:ascii="Arial" w:cs="Arial" w:eastAsia="Arial" w:hAnsi="Arial"/>
                <w:sz w:val="11"/>
                <w:szCs w:val="11"/>
                <w:color w:val="auto"/>
              </w:rPr>
              <w:t>which went to bankruptcy. Initial portfolio perimeter constituted by 37 hotels across France along with a management</w:t>
            </w:r>
          </w:p>
        </w:tc>
        <w:tc>
          <w:tcPr>
            <w:tcW w:w="0" w:type="dxa"/>
            <w:vAlign w:val="bottom"/>
          </w:tcPr>
          <w:p>
            <w:pPr>
              <w:spacing w:after="0"/>
              <w:rPr>
                <w:sz w:val="1"/>
                <w:szCs w:val="1"/>
                <w:color w:val="auto"/>
              </w:rPr>
            </w:pPr>
          </w:p>
        </w:tc>
      </w:tr>
      <w:tr>
        <w:trPr>
          <w:trHeight w:val="135"/>
        </w:trPr>
        <w:tc>
          <w:tcPr>
            <w:tcW w:w="2120" w:type="dxa"/>
            <w:vAlign w:val="bottom"/>
            <w:shd w:val="clear" w:color="auto" w:fill="DBDBDB"/>
          </w:tcPr>
          <w:p>
            <w:pPr>
              <w:spacing w:after="0"/>
              <w:rPr>
                <w:sz w:val="20"/>
                <w:szCs w:val="20"/>
                <w:color w:val="auto"/>
              </w:rPr>
            </w:pPr>
            <w:r>
              <w:rPr>
                <w:rFonts w:ascii="Arial" w:cs="Arial" w:eastAsia="Arial" w:hAnsi="Arial"/>
                <w:sz w:val="11"/>
                <w:szCs w:val="11"/>
                <w:color w:val="auto"/>
              </w:rPr>
              <w:t>Maranatha French Hotel Portfolio</w:t>
            </w:r>
          </w:p>
        </w:tc>
        <w:tc>
          <w:tcPr>
            <w:tcW w:w="980" w:type="dxa"/>
            <w:vAlign w:val="bottom"/>
            <w:shd w:val="clear" w:color="auto" w:fill="DBDBDB"/>
          </w:tcPr>
          <w:p>
            <w:pPr>
              <w:jc w:val="center"/>
              <w:ind w:left="146"/>
              <w:spacing w:after="0"/>
              <w:rPr>
                <w:sz w:val="20"/>
                <w:szCs w:val="20"/>
                <w:color w:val="auto"/>
              </w:rPr>
            </w:pPr>
            <w:r>
              <w:rPr>
                <w:rFonts w:ascii="Arial" w:cs="Arial" w:eastAsia="Arial" w:hAnsi="Arial"/>
                <w:sz w:val="11"/>
                <w:szCs w:val="11"/>
                <w:color w:val="auto"/>
                <w:w w:val="99"/>
              </w:rPr>
              <w:t>44%</w:t>
            </w:r>
          </w:p>
        </w:tc>
        <w:tc>
          <w:tcPr>
            <w:tcW w:w="100" w:type="dxa"/>
            <w:vAlign w:val="bottom"/>
            <w:shd w:val="clear" w:color="auto" w:fill="DBDBDB"/>
          </w:tcPr>
          <w:p>
            <w:pPr>
              <w:spacing w:after="0"/>
              <w:rPr>
                <w:sz w:val="11"/>
                <w:szCs w:val="11"/>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36.8</w:t>
            </w:r>
          </w:p>
        </w:tc>
        <w:tc>
          <w:tcPr>
            <w:tcW w:w="120" w:type="dxa"/>
            <w:vAlign w:val="bottom"/>
            <w:shd w:val="clear" w:color="auto" w:fill="DBDBDB"/>
          </w:tcPr>
          <w:p>
            <w:pPr>
              <w:spacing w:after="0"/>
              <w:rPr>
                <w:sz w:val="11"/>
                <w:szCs w:val="11"/>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36.1</w:t>
            </w:r>
          </w:p>
        </w:tc>
        <w:tc>
          <w:tcPr>
            <w:tcW w:w="6760" w:type="dxa"/>
            <w:vAlign w:val="bottom"/>
            <w:gridSpan w:val="2"/>
            <w:shd w:val="clear" w:color="auto" w:fill="DBDBDB"/>
          </w:tcPr>
          <w:p>
            <w:pPr>
              <w:ind w:left="460"/>
              <w:spacing w:after="0"/>
              <w:rPr>
                <w:sz w:val="20"/>
                <w:szCs w:val="20"/>
                <w:color w:val="auto"/>
              </w:rPr>
            </w:pPr>
            <w:r>
              <w:rPr>
                <w:rFonts w:ascii="Arial" w:cs="Arial" w:eastAsia="Arial" w:hAnsi="Arial"/>
                <w:sz w:val="11"/>
                <w:szCs w:val="11"/>
                <w:color w:val="auto"/>
              </w:rPr>
              <w:t>3 % company.</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20"/>
                <w:szCs w:val="20"/>
                <w:color w:val="auto"/>
              </w:rPr>
            </w:pPr>
            <w:r>
              <w:rPr>
                <w:rFonts w:ascii="Arial" w:cs="Arial" w:eastAsia="Arial" w:hAnsi="Arial"/>
                <w:sz w:val="11"/>
                <w:szCs w:val="11"/>
                <w:color w:val="auto"/>
              </w:rPr>
              <w:t>France &amp; Spain CRE Portfolio</w:t>
            </w:r>
          </w:p>
        </w:tc>
        <w:tc>
          <w:tcPr>
            <w:tcW w:w="980" w:type="dxa"/>
            <w:vAlign w:val="bottom"/>
          </w:tcPr>
          <w:p>
            <w:pPr>
              <w:jc w:val="center"/>
              <w:ind w:left="146"/>
              <w:spacing w:after="0"/>
              <w:rPr>
                <w:sz w:val="20"/>
                <w:szCs w:val="20"/>
                <w:color w:val="auto"/>
              </w:rPr>
            </w:pPr>
            <w:r>
              <w:rPr>
                <w:rFonts w:ascii="Arial" w:cs="Arial" w:eastAsia="Arial" w:hAnsi="Arial"/>
                <w:sz w:val="11"/>
                <w:szCs w:val="11"/>
                <w:color w:val="auto"/>
                <w:w w:val="99"/>
              </w:rPr>
              <w:t>33%</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104.8</w:t>
            </w:r>
          </w:p>
        </w:tc>
        <w:tc>
          <w:tcPr>
            <w:tcW w:w="120" w:type="dxa"/>
            <w:vAlign w:val="bottom"/>
          </w:tcPr>
          <w:p>
            <w:pPr>
              <w:spacing w:after="0"/>
              <w:rPr>
                <w:sz w:val="12"/>
                <w:szCs w:val="12"/>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34.7</w:t>
            </w:r>
          </w:p>
        </w:tc>
        <w:tc>
          <w:tcPr>
            <w:tcW w:w="6760" w:type="dxa"/>
            <w:vAlign w:val="bottom"/>
            <w:gridSpan w:val="2"/>
          </w:tcPr>
          <w:p>
            <w:pPr>
              <w:ind w:left="460"/>
              <w:spacing w:after="0"/>
              <w:rPr>
                <w:sz w:val="20"/>
                <w:szCs w:val="20"/>
                <w:color w:val="auto"/>
              </w:rPr>
            </w:pPr>
            <w:r>
              <w:rPr>
                <w:rFonts w:ascii="Arial" w:cs="Arial" w:eastAsia="Arial" w:hAnsi="Arial"/>
                <w:sz w:val="11"/>
                <w:szCs w:val="11"/>
                <w:color w:val="auto"/>
              </w:rPr>
              <w:t>3 % Portfolio constituted of 26 office properties located in France and 1 hotel in Spain.</w:t>
            </w:r>
          </w:p>
        </w:tc>
        <w:tc>
          <w:tcPr>
            <w:tcW w:w="0" w:type="dxa"/>
            <w:vAlign w:val="bottom"/>
          </w:tcPr>
          <w:p>
            <w:pPr>
              <w:spacing w:after="0"/>
              <w:rPr>
                <w:sz w:val="1"/>
                <w:szCs w:val="1"/>
                <w:color w:val="auto"/>
              </w:rPr>
            </w:pPr>
          </w:p>
        </w:tc>
      </w:tr>
      <w:tr>
        <w:trPr>
          <w:trHeight w:val="144"/>
        </w:trPr>
        <w:tc>
          <w:tcPr>
            <w:tcW w:w="212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1"/>
                <w:szCs w:val="11"/>
                <w:color w:val="auto"/>
              </w:rPr>
              <w:t>Remaining OED (&gt;30 Investments)</w:t>
            </w:r>
          </w:p>
        </w:tc>
        <w:tc>
          <w:tcPr>
            <w:tcW w:w="980" w:type="dxa"/>
            <w:vAlign w:val="bottom"/>
            <w:tcBorders>
              <w:bottom w:val="single" w:sz="8" w:color="auto"/>
            </w:tcBorders>
            <w:shd w:val="clear" w:color="auto" w:fill="DBDBDB"/>
          </w:tcPr>
          <w:p>
            <w:pPr>
              <w:ind w:left="440"/>
              <w:spacing w:after="0"/>
              <w:rPr>
                <w:sz w:val="20"/>
                <w:szCs w:val="20"/>
                <w:color w:val="auto"/>
              </w:rPr>
            </w:pPr>
            <w:r>
              <w:rPr>
                <w:rFonts w:ascii="Arial" w:cs="Arial" w:eastAsia="Arial" w:hAnsi="Arial"/>
                <w:sz w:val="11"/>
                <w:szCs w:val="11"/>
                <w:color w:val="auto"/>
              </w:rPr>
              <w:t>Various</w:t>
            </w:r>
          </w:p>
        </w:tc>
        <w:tc>
          <w:tcPr>
            <w:tcW w:w="10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459.0</w:t>
            </w:r>
          </w:p>
        </w:tc>
        <w:tc>
          <w:tcPr>
            <w:tcW w:w="120" w:type="dxa"/>
            <w:vAlign w:val="bottom"/>
            <w:tcBorders>
              <w:bottom w:val="single" w:sz="8" w:color="auto"/>
            </w:tcBorders>
            <w:shd w:val="clear" w:color="auto" w:fill="DBDBDB"/>
          </w:tcPr>
          <w:p>
            <w:pPr>
              <w:spacing w:after="0"/>
              <w:rPr>
                <w:sz w:val="12"/>
                <w:szCs w:val="12"/>
                <w:color w:val="auto"/>
              </w:rPr>
            </w:pPr>
          </w:p>
        </w:tc>
        <w:tc>
          <w:tcPr>
            <w:tcW w:w="640" w:type="dxa"/>
            <w:vAlign w:val="bottom"/>
            <w:tcBorders>
              <w:bottom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rPr>
              <w:t>241.1</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22 %</w:t>
            </w:r>
          </w:p>
        </w:tc>
        <w:tc>
          <w:tcPr>
            <w:tcW w:w="6100" w:type="dxa"/>
            <w:vAlign w:val="bottom"/>
            <w:tcBorders>
              <w:bottom w:val="single" w:sz="8" w:color="auto"/>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Total Other Equity and Debt</w:t>
            </w: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1,605.4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1,097.5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100 %</w:t>
            </w:r>
          </w:p>
        </w:tc>
        <w:tc>
          <w:tcPr>
            <w:tcW w:w="6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ind w:left="188" w:hanging="188"/>
        <w:spacing w:after="0"/>
        <w:tabs>
          <w:tab w:leader="none" w:pos="188" w:val="left"/>
        </w:tabs>
        <w:numPr>
          <w:ilvl w:val="0"/>
          <w:numId w:val="32"/>
        </w:numPr>
        <w:rPr>
          <w:rFonts w:ascii="Arial" w:cs="Arial" w:eastAsia="Arial" w:hAnsi="Arial"/>
          <w:sz w:val="8"/>
          <w:szCs w:val="8"/>
          <w:color w:val="424242"/>
        </w:rPr>
      </w:pPr>
      <w:r>
        <w:rPr>
          <w:rFonts w:ascii="Arial" w:cs="Arial" w:eastAsia="Arial" w:hAnsi="Arial"/>
          <w:sz w:val="8"/>
          <w:szCs w:val="8"/>
          <w:color w:val="424242"/>
        </w:rPr>
        <w:t>Ownership % represents CLNY OP’s share of the entire investment accounting for all non-controlling interests including interests managed by the Company and other third parties.</w:t>
      </w:r>
    </w:p>
    <w:p>
      <w:pPr>
        <w:spacing w:after="0" w:line="7" w:lineRule="exact"/>
        <w:rPr>
          <w:rFonts w:ascii="Arial" w:cs="Arial" w:eastAsia="Arial" w:hAnsi="Arial"/>
          <w:sz w:val="8"/>
          <w:szCs w:val="8"/>
          <w:color w:val="424242"/>
        </w:rPr>
      </w:pPr>
    </w:p>
    <w:p>
      <w:pPr>
        <w:ind w:left="208" w:right="380" w:hanging="208"/>
        <w:spacing w:after="0" w:line="258" w:lineRule="auto"/>
        <w:tabs>
          <w:tab w:leader="none" w:pos="186" w:val="left"/>
        </w:tabs>
        <w:numPr>
          <w:ilvl w:val="0"/>
          <w:numId w:val="32"/>
        </w:numPr>
        <w:rPr>
          <w:rFonts w:ascii="Arial" w:cs="Arial" w:eastAsia="Arial" w:hAnsi="Arial"/>
          <w:sz w:val="8"/>
          <w:szCs w:val="8"/>
          <w:color w:val="424242"/>
        </w:rPr>
      </w:pPr>
      <w:r>
        <w:rPr>
          <w:rFonts w:ascii="Arial" w:cs="Arial" w:eastAsia="Arial" w:hAnsi="Arial"/>
          <w:sz w:val="8"/>
          <w:szCs w:val="8"/>
          <w:color w:val="424242"/>
        </w:rPr>
        <w:t>The Company is pursuing a potential monetization of a substantial majority of the assets in its Other segment and has classified $2.9 billion of consolidated assets ($1.2 billion CLNY OP share) and $884 million of consolidated debt ($331 million CLNY OP share) within OED as discontinued operations. These assets and related debt are included in the figures to account for the related carrying values.</w:t>
      </w:r>
    </w:p>
    <w:p>
      <w:pPr>
        <w:ind w:left="208" w:right="20" w:hanging="208"/>
        <w:spacing w:after="0" w:line="258" w:lineRule="auto"/>
        <w:tabs>
          <w:tab w:leader="none" w:pos="188" w:val="left"/>
        </w:tabs>
        <w:numPr>
          <w:ilvl w:val="0"/>
          <w:numId w:val="32"/>
        </w:numPr>
        <w:rPr>
          <w:rFonts w:ascii="Arial" w:cs="Arial" w:eastAsia="Arial" w:hAnsi="Arial"/>
          <w:sz w:val="8"/>
          <w:szCs w:val="8"/>
          <w:color w:val="424242"/>
        </w:rPr>
      </w:pPr>
      <w:r>
        <w:rPr>
          <w:rFonts w:ascii="Arial" w:cs="Arial" w:eastAsia="Arial" w:hAnsi="Arial"/>
          <w:sz w:val="8"/>
          <w:szCs w:val="8"/>
          <w:color w:val="424242"/>
        </w:rPr>
        <w:t>Beginning in the fourth quarter of 2020, the Company included the net assets of investments, which includes cash and cash equivalents, restricted cash, other assets, and accrued and other liabilities of each investment. For prior periods, net assets of investments were included in the total net assets of the Company presented in the Financial Overview - Summary of Segments section.</w:t>
      </w:r>
    </w:p>
    <w:p>
      <w:pPr>
        <w:ind w:left="188" w:hanging="188"/>
        <w:spacing w:after="0"/>
        <w:tabs>
          <w:tab w:leader="none" w:pos="188" w:val="left"/>
        </w:tabs>
        <w:numPr>
          <w:ilvl w:val="0"/>
          <w:numId w:val="32"/>
        </w:numPr>
        <w:rPr>
          <w:rFonts w:ascii="Arial" w:cs="Arial" w:eastAsia="Arial" w:hAnsi="Arial"/>
          <w:sz w:val="8"/>
          <w:szCs w:val="8"/>
          <w:color w:val="424242"/>
        </w:rPr>
      </w:pPr>
      <w:r>
        <w:rPr>
          <w:rFonts w:ascii="Arial" w:cs="Arial" w:eastAsia="Arial" w:hAnsi="Arial"/>
          <w:sz w:val="8"/>
          <w:szCs w:val="8"/>
          <w:color w:val="424242"/>
        </w:rPr>
        <w:t>In April 2021, the Company sold a 74% controlling interest in two high-quality office properties located in Dublin’s city center with $104 million in net equity proceeds.</w:t>
      </w:r>
    </w:p>
    <w:p>
      <w:pPr>
        <w:spacing w:after="0" w:line="333"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27</w:t>
            </w:r>
          </w:p>
        </w:tc>
      </w:tr>
    </w:tbl>
    <w:p>
      <w:pPr>
        <w:sectPr>
          <w:pgSz w:w="11900" w:h="16838" w:orient="portrait"/>
          <w:cols w:equalWidth="0" w:num="1">
            <w:col w:w="11308"/>
          </w:cols>
          <w:pgMar w:left="292" w:top="158" w:right="299" w:bottom="1440" w:gutter="0" w:footer="0" w:header="0"/>
        </w:sectPr>
      </w:pPr>
    </w:p>
    <w:bookmarkStart w:id="42" w:name="page43"/>
    <w:bookmarkEnd w:id="42"/>
    <w:p>
      <w:pPr>
        <w:ind w:left="8"/>
        <w:spacing w:after="0"/>
        <w:rPr>
          <w:sz w:val="20"/>
          <w:szCs w:val="20"/>
          <w:color w:val="auto"/>
        </w:rPr>
      </w:pPr>
      <w:r>
        <w:rPr>
          <w:rFonts w:ascii="Arial" w:cs="Arial" w:eastAsia="Arial" w:hAnsi="Arial"/>
          <w:sz w:val="29"/>
          <w:szCs w:val="29"/>
          <w:color w:val="auto"/>
        </w:rPr>
        <w:t>VIIIb. Other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8" w:type="dxa"/>
        <w:tblCellMar>
          <w:top w:w="0" w:type="dxa"/>
          <w:left w:w="0" w:type="dxa"/>
          <w:bottom w:w="0" w:type="dxa"/>
          <w:right w:w="0" w:type="dxa"/>
        </w:tblCellMar>
      </w:tblPr>
      <w:tr>
        <w:trPr>
          <w:trHeight w:val="145"/>
        </w:trPr>
        <w:tc>
          <w:tcPr>
            <w:tcW w:w="5880" w:type="dxa"/>
            <w:vAlign w:val="bottom"/>
            <w:gridSpan w:val="6"/>
          </w:tcPr>
          <w:p>
            <w:pPr>
              <w:spacing w:after="0"/>
              <w:rPr>
                <w:sz w:val="20"/>
                <w:szCs w:val="20"/>
                <w:color w:val="auto"/>
              </w:rPr>
            </w:pPr>
            <w:r>
              <w:rPr>
                <w:rFonts w:ascii="Arial" w:cs="Arial" w:eastAsia="Arial" w:hAnsi="Arial"/>
                <w:sz w:val="11"/>
                <w:szCs w:val="11"/>
                <w:i w:val="1"/>
                <w:iCs w:val="1"/>
                <w:color w:val="auto"/>
              </w:rPr>
              <w:t>($ in millions, except as noted; as of March 31, 2021, unless otherwise noted)</w:t>
            </w:r>
          </w:p>
        </w:tc>
        <w:tc>
          <w:tcPr>
            <w:tcW w:w="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CLNY OP Share</w:t>
            </w:r>
          </w:p>
        </w:tc>
        <w:tc>
          <w:tcPr>
            <w:tcW w:w="600" w:type="dxa"/>
            <w:vAlign w:val="bottom"/>
            <w:tcBorders>
              <w:bottom w:val="single" w:sz="8" w:color="auto"/>
            </w:tcBorders>
          </w:tcPr>
          <w:p>
            <w:pPr>
              <w:spacing w:after="0"/>
              <w:rPr>
                <w:sz w:val="12"/>
                <w:szCs w:val="12"/>
                <w:color w:val="auto"/>
              </w:rPr>
            </w:pPr>
          </w:p>
        </w:tc>
      </w:tr>
      <w:tr>
        <w:trPr>
          <w:trHeight w:val="261"/>
        </w:trPr>
        <w:tc>
          <w:tcPr>
            <w:tcW w:w="1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Segment</w:t>
            </w:r>
          </w:p>
        </w:tc>
        <w:tc>
          <w:tcPr>
            <w:tcW w:w="80" w:type="dxa"/>
            <w:vAlign w:val="bottom"/>
          </w:tcPr>
          <w:p>
            <w:pPr>
              <w:spacing w:after="0"/>
              <w:rPr>
                <w:sz w:val="22"/>
                <w:szCs w:val="22"/>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Products</w:t>
            </w:r>
          </w:p>
        </w:tc>
        <w:tc>
          <w:tcPr>
            <w:tcW w:w="80" w:type="dxa"/>
            <w:vAlign w:val="bottom"/>
          </w:tcPr>
          <w:p>
            <w:pPr>
              <w:spacing w:after="0"/>
              <w:rPr>
                <w:sz w:val="22"/>
                <w:szCs w:val="22"/>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Description</w:t>
            </w:r>
          </w:p>
        </w:tc>
        <w:tc>
          <w:tcPr>
            <w:tcW w:w="100" w:type="dxa"/>
            <w:vAlign w:val="bottom"/>
          </w:tcPr>
          <w:p>
            <w:pPr>
              <w:spacing w:after="0"/>
              <w:rPr>
                <w:sz w:val="22"/>
                <w:szCs w:val="22"/>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AUM</w:t>
            </w:r>
            <w:r>
              <w:rPr>
                <w:rFonts w:ascii="Arial" w:cs="Arial" w:eastAsia="Arial" w:hAnsi="Arial"/>
                <w:sz w:val="14"/>
                <w:szCs w:val="14"/>
                <w:b w:val="1"/>
                <w:bCs w:val="1"/>
                <w:color w:val="auto"/>
                <w:vertAlign w:val="superscript"/>
              </w:rPr>
              <w:t>(1)</w:t>
            </w:r>
          </w:p>
        </w:tc>
        <w:tc>
          <w:tcPr>
            <w:tcW w:w="120" w:type="dxa"/>
            <w:vAlign w:val="bottom"/>
          </w:tcPr>
          <w:p>
            <w:pPr>
              <w:spacing w:after="0"/>
              <w:rPr>
                <w:sz w:val="22"/>
                <w:szCs w:val="22"/>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FEEUM</w:t>
            </w:r>
            <w:r>
              <w:rPr>
                <w:rFonts w:ascii="Arial" w:cs="Arial" w:eastAsia="Arial" w:hAnsi="Arial"/>
                <w:sz w:val="14"/>
                <w:szCs w:val="14"/>
                <w:b w:val="1"/>
                <w:bCs w:val="1"/>
                <w:color w:val="auto"/>
                <w:vertAlign w:val="superscript"/>
              </w:rPr>
              <w:t>(1)</w:t>
            </w:r>
          </w:p>
        </w:tc>
        <w:tc>
          <w:tcPr>
            <w:tcW w:w="200" w:type="dxa"/>
            <w:vAlign w:val="bottom"/>
          </w:tcPr>
          <w:p>
            <w:pPr>
              <w:spacing w:after="0"/>
              <w:rPr>
                <w:sz w:val="22"/>
                <w:szCs w:val="22"/>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Fee 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280660" cy="685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80660" cy="685800"/>
                    </a:xfrm>
                    <a:prstGeom prst="rect">
                      <a:avLst/>
                    </a:prstGeom>
                    <a:noFill/>
                  </pic:spPr>
                </pic:pic>
              </a:graphicData>
            </a:graphic>
          </wp:anchor>
        </w:drawing>
      </w:r>
    </w:p>
    <w:p>
      <w:pPr>
        <w:sectPr>
          <w:pgSz w:w="11900" w:h="16838" w:orient="portrait"/>
          <w:cols w:equalWidth="0" w:num="1">
            <w:col w:w="11308"/>
          </w:cols>
          <w:pgMar w:left="292" w:top="158" w:right="2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8"/>
        <w:spacing w:after="0" w:line="239" w:lineRule="auto"/>
        <w:rPr>
          <w:sz w:val="20"/>
          <w:szCs w:val="20"/>
          <w:color w:val="auto"/>
        </w:rPr>
      </w:pPr>
      <w:r>
        <w:rPr>
          <w:rFonts w:ascii="Arial" w:cs="Arial" w:eastAsia="Arial" w:hAnsi="Arial"/>
          <w:sz w:val="12"/>
          <w:szCs w:val="12"/>
          <w:b w:val="1"/>
          <w:bCs w:val="1"/>
          <w:color w:val="auto"/>
        </w:rPr>
        <w:t>Other Institutional Funds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 27 years of institutional investment management</w:t>
      </w:r>
    </w:p>
    <w:tbl>
      <w:tblPr>
        <w:tblLayout w:type="fixed"/>
        <w:tblInd w:w="0" w:type="dxa"/>
        <w:tblCellMar>
          <w:top w:w="0" w:type="dxa"/>
          <w:left w:w="0" w:type="dxa"/>
          <w:bottom w:w="0" w:type="dxa"/>
          <w:right w:w="0" w:type="dxa"/>
        </w:tblCellMar>
      </w:tblPr>
      <w:tr>
        <w:trPr>
          <w:trHeight w:val="145"/>
        </w:trPr>
        <w:tc>
          <w:tcPr>
            <w:tcW w:w="1700" w:type="dxa"/>
            <w:vAlign w:val="bottom"/>
            <w:vMerge w:val="restart"/>
          </w:tcPr>
          <w:p>
            <w:pPr>
              <w:spacing w:after="0"/>
              <w:rPr>
                <w:sz w:val="20"/>
                <w:szCs w:val="20"/>
                <w:color w:val="auto"/>
              </w:rPr>
            </w:pPr>
            <w:r>
              <w:rPr>
                <w:rFonts w:ascii="Arial" w:cs="Arial" w:eastAsia="Arial" w:hAnsi="Arial"/>
                <w:sz w:val="12"/>
                <w:szCs w:val="12"/>
                <w:color w:val="auto"/>
              </w:rPr>
              <w:t>• Credit</w:t>
            </w:r>
          </w:p>
        </w:tc>
        <w:tc>
          <w:tcPr>
            <w:tcW w:w="2880" w:type="dxa"/>
            <w:vAlign w:val="bottom"/>
          </w:tcPr>
          <w:p>
            <w:pPr>
              <w:ind w:left="160"/>
              <w:spacing w:after="0"/>
              <w:rPr>
                <w:sz w:val="20"/>
                <w:szCs w:val="20"/>
                <w:color w:val="auto"/>
              </w:rPr>
            </w:pPr>
            <w:r>
              <w:rPr>
                <w:rFonts w:ascii="Arial" w:cs="Arial" w:eastAsia="Arial" w:hAnsi="Arial"/>
                <w:sz w:val="12"/>
                <w:szCs w:val="12"/>
                <w:color w:val="auto"/>
              </w:rPr>
              <w:t>experience</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2880" w:type="dxa"/>
            <w:vAlign w:val="bottom"/>
            <w:vMerge w:val="restart"/>
          </w:tcPr>
          <w:p>
            <w:pPr>
              <w:ind w:left="80"/>
              <w:spacing w:after="0"/>
              <w:rPr>
                <w:sz w:val="20"/>
                <w:szCs w:val="20"/>
                <w:color w:val="auto"/>
              </w:rPr>
            </w:pPr>
            <w:r>
              <w:rPr>
                <w:rFonts w:ascii="Arial" w:cs="Arial" w:eastAsia="Arial" w:hAnsi="Arial"/>
                <w:sz w:val="12"/>
                <w:szCs w:val="12"/>
                <w:color w:val="auto"/>
              </w:rPr>
              <w:t>• Sponsorship of private equity funds and vehicles</w:t>
            </w: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700" w:type="dxa"/>
            <w:vAlign w:val="bottom"/>
            <w:vMerge w:val="restart"/>
          </w:tcPr>
          <w:p>
            <w:pPr>
              <w:spacing w:after="0"/>
              <w:rPr>
                <w:sz w:val="20"/>
                <w:szCs w:val="20"/>
                <w:color w:val="auto"/>
              </w:rPr>
            </w:pPr>
            <w:r>
              <w:rPr>
                <w:rFonts w:ascii="Arial" w:cs="Arial" w:eastAsia="Arial" w:hAnsi="Arial"/>
                <w:sz w:val="12"/>
                <w:szCs w:val="12"/>
                <w:color w:val="auto"/>
              </w:rPr>
              <w:t>• Opportunistic</w:t>
            </w:r>
          </w:p>
        </w:tc>
        <w:tc>
          <w:tcPr>
            <w:tcW w:w="2880" w:type="dxa"/>
            <w:vAlign w:val="bottom"/>
            <w:vMerge w:val="continue"/>
          </w:tcPr>
          <w:p>
            <w:pPr>
              <w:spacing w:after="0"/>
              <w:rPr>
                <w:sz w:val="9"/>
                <w:szCs w:val="9"/>
                <w:color w:val="auto"/>
              </w:rPr>
            </w:pPr>
          </w:p>
        </w:tc>
        <w:tc>
          <w:tcPr>
            <w:tcW w:w="28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rPr>
              <w:t>6,573</w:t>
            </w:r>
          </w:p>
        </w:tc>
        <w:tc>
          <w:tcPr>
            <w:tcW w:w="300" w:type="dxa"/>
            <w:vAlign w:val="bottom"/>
            <w:vMerge w:val="restart"/>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240"/>
              <w:spacing w:after="0"/>
              <w:rPr>
                <w:sz w:val="20"/>
                <w:szCs w:val="20"/>
                <w:color w:val="auto"/>
              </w:rPr>
            </w:pPr>
            <w:r>
              <w:rPr>
                <w:rFonts w:ascii="Arial" w:cs="Arial" w:eastAsia="Arial" w:hAnsi="Arial"/>
                <w:sz w:val="12"/>
                <w:szCs w:val="12"/>
                <w:color w:val="auto"/>
              </w:rPr>
              <w:t>4,355</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.8 %</w:t>
            </w:r>
          </w:p>
        </w:tc>
        <w:tc>
          <w:tcPr>
            <w:tcW w:w="0" w:type="dxa"/>
            <w:vAlign w:val="bottom"/>
          </w:tcPr>
          <w:p>
            <w:pPr>
              <w:spacing w:after="0"/>
              <w:rPr>
                <w:sz w:val="1"/>
                <w:szCs w:val="1"/>
                <w:color w:val="auto"/>
              </w:rPr>
            </w:pPr>
          </w:p>
        </w:tc>
      </w:tr>
      <w:tr>
        <w:trPr>
          <w:trHeight w:val="117"/>
        </w:trPr>
        <w:tc>
          <w:tcPr>
            <w:tcW w:w="1700" w:type="dxa"/>
            <w:vAlign w:val="bottom"/>
            <w:vMerge w:val="continue"/>
          </w:tcPr>
          <w:p>
            <w:pPr>
              <w:spacing w:after="0"/>
              <w:rPr>
                <w:sz w:val="10"/>
                <w:szCs w:val="10"/>
                <w:color w:val="auto"/>
              </w:rPr>
            </w:pPr>
          </w:p>
        </w:tc>
        <w:tc>
          <w:tcPr>
            <w:tcW w:w="2880" w:type="dxa"/>
            <w:vAlign w:val="bottom"/>
          </w:tcPr>
          <w:p>
            <w:pPr>
              <w:ind w:left="160"/>
              <w:spacing w:after="0" w:line="117" w:lineRule="exact"/>
              <w:rPr>
                <w:sz w:val="20"/>
                <w:szCs w:val="20"/>
                <w:color w:val="auto"/>
              </w:rPr>
            </w:pPr>
            <w:r>
              <w:rPr>
                <w:rFonts w:ascii="Arial" w:cs="Arial" w:eastAsia="Arial" w:hAnsi="Arial"/>
                <w:sz w:val="12"/>
                <w:szCs w:val="12"/>
                <w:color w:val="auto"/>
              </w:rPr>
              <w:t>earning asset management fees and performance</w:t>
            </w:r>
          </w:p>
        </w:tc>
        <w:tc>
          <w:tcPr>
            <w:tcW w:w="2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20"/>
                <w:szCs w:val="20"/>
                <w:color w:val="auto"/>
              </w:rPr>
            </w:pPr>
            <w:r>
              <w:rPr>
                <w:rFonts w:ascii="Arial" w:cs="Arial" w:eastAsia="Arial" w:hAnsi="Arial"/>
                <w:sz w:val="12"/>
                <w:szCs w:val="12"/>
                <w:color w:val="auto"/>
              </w:rPr>
              <w:t>• Other co-investment vehicles</w:t>
            </w:r>
          </w:p>
        </w:tc>
        <w:tc>
          <w:tcPr>
            <w:tcW w:w="2880" w:type="dxa"/>
            <w:vAlign w:val="bottom"/>
          </w:tcPr>
          <w:p>
            <w:pPr>
              <w:ind w:left="160"/>
              <w:spacing w:after="0"/>
              <w:rPr>
                <w:sz w:val="20"/>
                <w:szCs w:val="20"/>
                <w:color w:val="auto"/>
              </w:rPr>
            </w:pPr>
            <w:r>
              <w:rPr>
                <w:rFonts w:ascii="Arial" w:cs="Arial" w:eastAsia="Arial" w:hAnsi="Arial"/>
                <w:sz w:val="12"/>
                <w:szCs w:val="12"/>
                <w:color w:val="auto"/>
              </w:rPr>
              <w:t>fees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 More than 300 investor relationships</w:t>
      </w:r>
    </w:p>
    <w:p>
      <w:pPr>
        <w:spacing w:after="0" w:line="200" w:lineRule="exact"/>
        <w:rPr>
          <w:sz w:val="20"/>
          <w:szCs w:val="20"/>
          <w:color w:val="auto"/>
        </w:rPr>
      </w:pPr>
    </w:p>
    <w:p>
      <w:pPr>
        <w:sectPr>
          <w:pgSz w:w="11900" w:h="16838" w:orient="portrait"/>
          <w:cols w:equalWidth="0" w:num="2">
            <w:col w:w="1048" w:space="220"/>
            <w:col w:w="10040"/>
          </w:cols>
          <w:pgMar w:left="292" w:top="158" w:right="299" w:bottom="1440" w:gutter="0" w:footer="0" w:header="0"/>
          <w:type w:val="continuous"/>
        </w:sectPr>
      </w:pPr>
    </w:p>
    <w:p>
      <w:pPr>
        <w:spacing w:after="0" w:line="85" w:lineRule="exact"/>
        <w:rPr>
          <w:sz w:val="20"/>
          <w:szCs w:val="20"/>
          <w:color w:val="auto"/>
        </w:rPr>
      </w:pPr>
    </w:p>
    <w:tbl>
      <w:tblPr>
        <w:tblLayout w:type="fixed"/>
        <w:tblInd w:w="8" w:type="dxa"/>
        <w:tblCellMar>
          <w:top w:w="0" w:type="dxa"/>
          <w:left w:w="0" w:type="dxa"/>
          <w:bottom w:w="0" w:type="dxa"/>
          <w:right w:w="0" w:type="dxa"/>
        </w:tblCellMar>
      </w:tblPr>
      <w:tr>
        <w:trPr>
          <w:trHeight w:val="181"/>
        </w:trPr>
        <w:tc>
          <w:tcPr>
            <w:tcW w:w="1140" w:type="dxa"/>
            <w:vAlign w:val="bottom"/>
          </w:tcPr>
          <w:p>
            <w:pPr>
              <w:spacing w:after="0"/>
              <w:rPr>
                <w:sz w:val="20"/>
                <w:szCs w:val="20"/>
                <w:color w:val="auto"/>
              </w:rPr>
            </w:pPr>
            <w:r>
              <w:rPr>
                <w:rFonts w:ascii="Arial" w:cs="Arial" w:eastAsia="Arial" w:hAnsi="Arial"/>
                <w:sz w:val="12"/>
                <w:szCs w:val="12"/>
                <w:b w:val="1"/>
                <w:bCs w:val="1"/>
                <w:color w:val="auto"/>
              </w:rPr>
              <w:t>Retail Companies</w:t>
            </w:r>
          </w:p>
        </w:tc>
        <w:tc>
          <w:tcPr>
            <w:tcW w:w="1820" w:type="dxa"/>
            <w:vAlign w:val="bottom"/>
          </w:tcPr>
          <w:p>
            <w:pPr>
              <w:ind w:left="120"/>
              <w:spacing w:after="0"/>
              <w:rPr>
                <w:sz w:val="20"/>
                <w:szCs w:val="20"/>
                <w:color w:val="auto"/>
              </w:rPr>
            </w:pPr>
            <w:r>
              <w:rPr>
                <w:rFonts w:ascii="Arial" w:cs="Arial" w:eastAsia="Arial" w:hAnsi="Arial"/>
                <w:sz w:val="12"/>
                <w:szCs w:val="12"/>
                <w:color w:val="auto"/>
              </w:rPr>
              <w:t>• NorthStar Healthcare Income</w:t>
            </w:r>
          </w:p>
        </w:tc>
        <w:tc>
          <w:tcPr>
            <w:tcW w:w="2920" w:type="dxa"/>
            <w:vAlign w:val="bottom"/>
          </w:tcPr>
          <w:p>
            <w:pPr>
              <w:ind w:left="80"/>
              <w:spacing w:after="0"/>
              <w:rPr>
                <w:sz w:val="20"/>
                <w:szCs w:val="20"/>
                <w:color w:val="auto"/>
              </w:rPr>
            </w:pPr>
            <w:r>
              <w:rPr>
                <w:rFonts w:ascii="Arial" w:cs="Arial" w:eastAsia="Arial" w:hAnsi="Arial"/>
                <w:sz w:val="12"/>
                <w:szCs w:val="12"/>
                <w:color w:val="auto"/>
              </w:rPr>
              <w:t>• Manage public non-traded vehicles earning asset</w:t>
            </w:r>
          </w:p>
        </w:tc>
        <w:tc>
          <w:tcPr>
            <w:tcW w:w="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3,298</w:t>
            </w:r>
          </w:p>
        </w:tc>
        <w:tc>
          <w:tcPr>
            <w:tcW w:w="12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738</w:t>
            </w:r>
          </w:p>
        </w:tc>
        <w:tc>
          <w:tcPr>
            <w:tcW w:w="300" w:type="dxa"/>
            <w:vAlign w:val="bottom"/>
          </w:tcPr>
          <w:p>
            <w:pPr>
              <w:jc w:val="right"/>
              <w:ind w:right="161"/>
              <w:spacing w:after="0"/>
              <w:rPr>
                <w:sz w:val="20"/>
                <w:szCs w:val="20"/>
                <w:color w:val="auto"/>
              </w:rPr>
            </w:pPr>
            <w:r>
              <w:rPr>
                <w:rFonts w:ascii="Arial" w:cs="Arial" w:eastAsia="Arial" w:hAnsi="Arial"/>
                <w:sz w:val="8"/>
                <w:szCs w:val="8"/>
                <w:color w:val="auto"/>
                <w:w w:val="81"/>
              </w:rPr>
              <w:t>(2)</w:t>
            </w:r>
          </w:p>
        </w:tc>
        <w:tc>
          <w:tcPr>
            <w:tcW w:w="500" w:type="dxa"/>
            <w:vAlign w:val="bottom"/>
          </w:tcPr>
          <w:p>
            <w:pPr>
              <w:jc w:val="right"/>
              <w:spacing w:after="0"/>
              <w:rPr>
                <w:sz w:val="20"/>
                <w:szCs w:val="20"/>
                <w:color w:val="auto"/>
              </w:rPr>
            </w:pPr>
            <w:r>
              <w:rPr>
                <w:rFonts w:ascii="Arial" w:cs="Arial" w:eastAsia="Arial" w:hAnsi="Arial"/>
                <w:sz w:val="12"/>
                <w:szCs w:val="12"/>
                <w:color w:val="auto"/>
              </w:rPr>
              <w:t>1.5 %</w:t>
            </w:r>
          </w:p>
        </w:tc>
      </w:tr>
      <w:tr>
        <w:trPr>
          <w:trHeight w:val="145"/>
        </w:trPr>
        <w:tc>
          <w:tcPr>
            <w:tcW w:w="1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920" w:type="dxa"/>
            <w:vAlign w:val="bottom"/>
          </w:tcPr>
          <w:p>
            <w:pPr>
              <w:ind w:left="160"/>
              <w:spacing w:after="0"/>
              <w:rPr>
                <w:sz w:val="20"/>
                <w:szCs w:val="20"/>
                <w:color w:val="auto"/>
              </w:rPr>
            </w:pPr>
            <w:r>
              <w:rPr>
                <w:rFonts w:ascii="Arial" w:cs="Arial" w:eastAsia="Arial" w:hAnsi="Arial"/>
                <w:sz w:val="12"/>
                <w:szCs w:val="12"/>
                <w:color w:val="auto"/>
              </w:rPr>
              <w:t>management and performance fees</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25"/>
        </w:trPr>
        <w:tc>
          <w:tcPr>
            <w:tcW w:w="1140" w:type="dxa"/>
            <w:vAlign w:val="bottom"/>
            <w:tcBorders>
              <w:bottom w:val="single" w:sz="8" w:color="DBDBDB"/>
            </w:tcBorders>
          </w:tcPr>
          <w:p>
            <w:pPr>
              <w:spacing w:after="0"/>
              <w:rPr>
                <w:sz w:val="10"/>
                <w:szCs w:val="10"/>
                <w:color w:val="auto"/>
              </w:rPr>
            </w:pPr>
          </w:p>
        </w:tc>
        <w:tc>
          <w:tcPr>
            <w:tcW w:w="1820" w:type="dxa"/>
            <w:vAlign w:val="bottom"/>
            <w:tcBorders>
              <w:bottom w:val="single" w:sz="8" w:color="DBDBDB"/>
            </w:tcBorders>
          </w:tcPr>
          <w:p>
            <w:pPr>
              <w:spacing w:after="0"/>
              <w:rPr>
                <w:sz w:val="10"/>
                <w:szCs w:val="10"/>
                <w:color w:val="auto"/>
              </w:rPr>
            </w:pPr>
          </w:p>
        </w:tc>
        <w:tc>
          <w:tcPr>
            <w:tcW w:w="2920" w:type="dxa"/>
            <w:vAlign w:val="bottom"/>
            <w:tcBorders>
              <w:bottom w:val="single" w:sz="8" w:color="DBDBDB"/>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DBDBDB"/>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00" w:type="dxa"/>
            <w:vAlign w:val="bottom"/>
            <w:tcBorders>
              <w:bottom w:val="single" w:sz="8" w:color="DBDBDB"/>
            </w:tcBorders>
          </w:tcPr>
          <w:p>
            <w:pPr>
              <w:spacing w:after="0"/>
              <w:rPr>
                <w:sz w:val="10"/>
                <w:szCs w:val="10"/>
                <w:color w:val="auto"/>
              </w:rPr>
            </w:pPr>
          </w:p>
        </w:tc>
        <w:tc>
          <w:tcPr>
            <w:tcW w:w="500" w:type="dxa"/>
            <w:vAlign w:val="bottom"/>
            <w:tcBorders>
              <w:bottom w:val="single" w:sz="8" w:color="DBDBDB"/>
            </w:tcBorders>
          </w:tcPr>
          <w:p>
            <w:pPr>
              <w:spacing w:after="0"/>
              <w:rPr>
                <w:sz w:val="10"/>
                <w:szCs w:val="10"/>
                <w:color w:val="auto"/>
              </w:rPr>
            </w:pPr>
          </w:p>
        </w:tc>
      </w:tr>
      <w:tr>
        <w:trPr>
          <w:trHeight w:val="194"/>
        </w:trPr>
        <w:tc>
          <w:tcPr>
            <w:tcW w:w="11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b w:val="1"/>
                <w:bCs w:val="1"/>
                <w:color w:val="auto"/>
              </w:rPr>
              <w:t>Total</w:t>
            </w:r>
          </w:p>
        </w:tc>
        <w:tc>
          <w:tcPr>
            <w:tcW w:w="1820" w:type="dxa"/>
            <w:vAlign w:val="bottom"/>
            <w:tcBorders>
              <w:bottom w:val="single" w:sz="8" w:color="DBDBDB"/>
            </w:tcBorders>
            <w:shd w:val="clear" w:color="auto" w:fill="DBDBDB"/>
          </w:tcPr>
          <w:p>
            <w:pPr>
              <w:spacing w:after="0"/>
              <w:rPr>
                <w:sz w:val="16"/>
                <w:szCs w:val="16"/>
                <w:color w:val="auto"/>
              </w:rPr>
            </w:pPr>
          </w:p>
        </w:tc>
        <w:tc>
          <w:tcPr>
            <w:tcW w:w="292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jc w:val="right"/>
              <w:ind w:right="100"/>
              <w:spacing w:after="0"/>
              <w:rPr>
                <w:sz w:val="20"/>
                <w:szCs w:val="20"/>
                <w:color w:val="auto"/>
              </w:rPr>
            </w:pPr>
            <w:r>
              <w:rPr>
                <w:rFonts w:ascii="Arial" w:cs="Arial" w:eastAsia="Arial" w:hAnsi="Arial"/>
                <w:sz w:val="12"/>
                <w:szCs w:val="12"/>
                <w:b w:val="1"/>
                <w:bCs w:val="1"/>
                <w:color w:val="auto"/>
                <w:w w:val="89"/>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9,871</w:t>
            </w:r>
          </w:p>
        </w:tc>
        <w:tc>
          <w:tcPr>
            <w:tcW w:w="12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5,093</w:t>
            </w:r>
          </w:p>
        </w:tc>
        <w:tc>
          <w:tcPr>
            <w:tcW w:w="30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DBDBDB"/>
            </w:tcBorders>
            <w:shd w:val="clear" w:color="auto" w:fill="DBDBDB"/>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7" w:lineRule="exact"/>
        <w:rPr>
          <w:sz w:val="20"/>
          <w:szCs w:val="20"/>
          <w:color w:val="auto"/>
        </w:rPr>
      </w:pPr>
    </w:p>
    <w:p>
      <w:pPr>
        <w:ind w:left="208" w:right="40" w:hanging="208"/>
        <w:spacing w:after="0" w:line="266" w:lineRule="auto"/>
        <w:tabs>
          <w:tab w:leader="none" w:pos="186" w:val="left"/>
        </w:tabs>
        <w:numPr>
          <w:ilvl w:val="0"/>
          <w:numId w:val="33"/>
        </w:numPr>
        <w:rPr>
          <w:rFonts w:ascii="Arial" w:cs="Arial" w:eastAsia="Arial" w:hAnsi="Arial"/>
          <w:sz w:val="8"/>
          <w:szCs w:val="8"/>
          <w:color w:val="424242"/>
        </w:rPr>
      </w:pPr>
      <w:r>
        <w:rPr>
          <w:rFonts w:ascii="Arial" w:cs="Arial" w:eastAsia="Arial" w:hAnsi="Arial"/>
          <w:sz w:val="8"/>
          <w:szCs w:val="8"/>
          <w:color w:val="424242"/>
        </w:rPr>
        <w:t>The Company is pursuing a potential monetization of a substantial majority of the assets in its Other segment. Within Other Investment Management, $5.8 billion of third-party AUM and $4.0 billion of FEEUM are related to assets and businesses classified as discontinued operations and are included in the figures; however, the third-party AUM and FEEUM related to the CLNC management contract, which is also classified as discontinued operations, are not included in the figures as the contract was terminated on April 30, 2021 and the Company received $102.3 million of consideration. The Company's management contract with NorthStar Healthcare Income is included in the Wellness Infrastructure segment.</w:t>
      </w:r>
    </w:p>
    <w:p>
      <w:pPr>
        <w:ind w:left="188" w:hanging="188"/>
        <w:spacing w:after="0"/>
        <w:tabs>
          <w:tab w:leader="none" w:pos="188" w:val="left"/>
        </w:tabs>
        <w:numPr>
          <w:ilvl w:val="0"/>
          <w:numId w:val="33"/>
        </w:numPr>
        <w:rPr>
          <w:rFonts w:ascii="Arial" w:cs="Arial" w:eastAsia="Arial" w:hAnsi="Arial"/>
          <w:sz w:val="8"/>
          <w:szCs w:val="8"/>
          <w:color w:val="424242"/>
        </w:rPr>
      </w:pPr>
      <w:r>
        <w:rPr>
          <w:rFonts w:ascii="Arial" w:cs="Arial" w:eastAsia="Arial" w:hAnsi="Arial"/>
          <w:sz w:val="8"/>
          <w:szCs w:val="8"/>
          <w:color w:val="424242"/>
        </w:rPr>
        <w:t>FEEUM of NorthStar Healthcare Income represents its most recently published Net Asset Value.</w:t>
      </w:r>
    </w:p>
    <w:p>
      <w:pPr>
        <w:spacing w:after="0" w:line="34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28</w:t>
            </w:r>
          </w:p>
        </w:tc>
      </w:tr>
    </w:tbl>
    <w:p>
      <w:pPr>
        <w:sectPr>
          <w:pgSz w:w="11900" w:h="16838" w:orient="portrait"/>
          <w:cols w:equalWidth="0" w:num="1">
            <w:col w:w="11308"/>
          </w:cols>
          <w:pgMar w:left="292" w:top="158" w:right="299" w:bottom="1440" w:gutter="0" w:footer="0" w:header="0"/>
          <w:type w:val="continuous"/>
        </w:sectPr>
      </w:pPr>
    </w:p>
    <w:bookmarkStart w:id="43" w:name="page44"/>
    <w:bookmarkEnd w:id="43"/>
    <w:p>
      <w:pPr>
        <w:ind w:left="8"/>
        <w:spacing w:after="0"/>
        <w:rPr>
          <w:sz w:val="20"/>
          <w:szCs w:val="20"/>
          <w:color w:val="auto"/>
        </w:rPr>
      </w:pPr>
      <w:r>
        <w:rPr>
          <w:rFonts w:ascii="Arial" w:cs="Arial" w:eastAsia="Arial" w:hAnsi="Arial"/>
          <w:sz w:val="29"/>
          <w:szCs w:val="29"/>
          <w:color w:val="auto"/>
        </w:rPr>
        <w:t>IX. Total Company Assets Under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1508" w:type="dxa"/>
        <w:tblCellMar>
          <w:top w:w="0" w:type="dxa"/>
          <w:left w:w="0" w:type="dxa"/>
          <w:bottom w:w="0" w:type="dxa"/>
          <w:right w:w="0" w:type="dxa"/>
        </w:tblCellMar>
      </w:tblPr>
      <w:tr>
        <w:trPr>
          <w:trHeight w:val="145"/>
        </w:trPr>
        <w:tc>
          <w:tcPr>
            <w:tcW w:w="4300" w:type="dxa"/>
            <w:vAlign w:val="bottom"/>
            <w:gridSpan w:val="2"/>
          </w:tcPr>
          <w:p>
            <w:pPr>
              <w:spacing w:after="0"/>
              <w:rPr>
                <w:sz w:val="20"/>
                <w:szCs w:val="20"/>
                <w:color w:val="auto"/>
              </w:rPr>
            </w:pPr>
            <w:r>
              <w:rPr>
                <w:rFonts w:ascii="Arial" w:cs="Arial" w:eastAsia="Arial" w:hAnsi="Arial"/>
                <w:sz w:val="11"/>
                <w:szCs w:val="11"/>
                <w:i w:val="1"/>
                <w:iCs w:val="1"/>
                <w:color w:val="auto"/>
              </w:rPr>
              <w:t>($ in millions)</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CLNY OP Share</w:t>
            </w: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00" w:type="dxa"/>
            <w:vAlign w:val="bottom"/>
            <w:vMerge w:val="restart"/>
          </w:tcPr>
          <w:p>
            <w:pPr>
              <w:spacing w:after="0"/>
              <w:rPr>
                <w:sz w:val="20"/>
                <w:szCs w:val="20"/>
                <w:color w:val="auto"/>
              </w:rPr>
            </w:pPr>
            <w:r>
              <w:rPr>
                <w:rFonts w:ascii="Arial" w:cs="Arial" w:eastAsia="Arial" w:hAnsi="Arial"/>
                <w:sz w:val="11"/>
                <w:szCs w:val="11"/>
                <w:b w:val="1"/>
                <w:bCs w:val="1"/>
                <w:color w:val="auto"/>
              </w:rPr>
              <w:t>Segment</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1"/>
                <w:szCs w:val="11"/>
                <w:b w:val="1"/>
                <w:bCs w:val="1"/>
                <w:color w:val="auto"/>
              </w:rPr>
              <w:t>3/31/21</w:t>
            </w:r>
          </w:p>
        </w:tc>
        <w:tc>
          <w:tcPr>
            <w:tcW w:w="126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 of Grand</w:t>
            </w:r>
          </w:p>
        </w:tc>
        <w:tc>
          <w:tcPr>
            <w:tcW w:w="220" w:type="dxa"/>
            <w:vAlign w:val="bottom"/>
          </w:tcPr>
          <w:p>
            <w:pPr>
              <w:spacing w:after="0"/>
              <w:rPr>
                <w:sz w:val="10"/>
                <w:szCs w:val="10"/>
                <w:color w:val="auto"/>
              </w:rPr>
            </w:pPr>
          </w:p>
        </w:tc>
        <w:tc>
          <w:tcPr>
            <w:tcW w:w="740" w:type="dxa"/>
            <w:vAlign w:val="bottom"/>
            <w:vMerge w:val="restart"/>
          </w:tcPr>
          <w:p>
            <w:pPr>
              <w:jc w:val="right"/>
              <w:ind w:right="260"/>
              <w:spacing w:after="0"/>
              <w:rPr>
                <w:sz w:val="20"/>
                <w:szCs w:val="20"/>
                <w:color w:val="auto"/>
              </w:rPr>
            </w:pPr>
            <w:r>
              <w:rPr>
                <w:rFonts w:ascii="Arial" w:cs="Arial" w:eastAsia="Arial" w:hAnsi="Arial"/>
                <w:sz w:val="11"/>
                <w:szCs w:val="11"/>
                <w:b w:val="1"/>
                <w:bCs w:val="1"/>
                <w:color w:val="auto"/>
              </w:rPr>
              <w:t>3/31/20</w:t>
            </w:r>
          </w:p>
        </w:tc>
        <w:tc>
          <w:tcPr>
            <w:tcW w:w="820" w:type="dxa"/>
            <w:vAlign w:val="bottom"/>
          </w:tcPr>
          <w:p>
            <w:pPr>
              <w:jc w:val="right"/>
              <w:ind w:right="81"/>
              <w:spacing w:after="0" w:line="117" w:lineRule="exact"/>
              <w:rPr>
                <w:sz w:val="20"/>
                <w:szCs w:val="20"/>
                <w:color w:val="auto"/>
              </w:rPr>
            </w:pPr>
            <w:r>
              <w:rPr>
                <w:rFonts w:ascii="Arial" w:cs="Arial" w:eastAsia="Arial" w:hAnsi="Arial"/>
                <w:sz w:val="11"/>
                <w:szCs w:val="11"/>
                <w:b w:val="1"/>
                <w:bCs w:val="1"/>
                <w:color w:val="auto"/>
              </w:rPr>
              <w:t>% of Grand</w:t>
            </w:r>
          </w:p>
        </w:tc>
        <w:tc>
          <w:tcPr>
            <w:tcW w:w="0" w:type="dxa"/>
            <w:vAlign w:val="bottom"/>
          </w:tcPr>
          <w:p>
            <w:pPr>
              <w:spacing w:after="0"/>
              <w:rPr>
                <w:sz w:val="1"/>
                <w:szCs w:val="1"/>
                <w:color w:val="auto"/>
              </w:rPr>
            </w:pPr>
          </w:p>
        </w:tc>
      </w:tr>
      <w:tr>
        <w:trPr>
          <w:trHeight w:val="152"/>
        </w:trPr>
        <w:tc>
          <w:tcPr>
            <w:tcW w:w="42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Total</w:t>
            </w:r>
          </w:p>
        </w:tc>
        <w:tc>
          <w:tcPr>
            <w:tcW w:w="4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88"/>
        </w:trPr>
        <w:tc>
          <w:tcPr>
            <w:tcW w:w="430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Digital Investment Management</w:t>
            </w:r>
          </w:p>
        </w:tc>
        <w:tc>
          <w:tcPr>
            <w:tcW w:w="180" w:type="dxa"/>
            <w:vAlign w:val="bottom"/>
            <w:shd w:val="clear" w:color="auto" w:fill="DBDBDB"/>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DBDBDB"/>
          </w:tcPr>
          <w:p>
            <w:pPr>
              <w:jc w:val="right"/>
              <w:ind w:right="40"/>
              <w:spacing w:after="0"/>
              <w:rPr>
                <w:sz w:val="20"/>
                <w:szCs w:val="20"/>
                <w:color w:val="auto"/>
              </w:rPr>
            </w:pPr>
            <w:r>
              <w:rPr>
                <w:rFonts w:ascii="Arial" w:cs="Arial" w:eastAsia="Arial" w:hAnsi="Arial"/>
                <w:sz w:val="12"/>
                <w:szCs w:val="12"/>
                <w:color w:val="auto"/>
              </w:rPr>
              <w:t>30,711</w:t>
            </w:r>
          </w:p>
        </w:tc>
        <w:tc>
          <w:tcPr>
            <w:tcW w:w="8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66.5 %</w:t>
            </w:r>
          </w:p>
        </w:tc>
        <w:tc>
          <w:tcPr>
            <w:tcW w:w="440" w:type="dxa"/>
            <w:vAlign w:val="bottom"/>
            <w:shd w:val="clear" w:color="auto" w:fill="DBDBDB"/>
          </w:tcPr>
          <w:p>
            <w:pPr>
              <w:spacing w:after="0"/>
              <w:rPr>
                <w:sz w:val="16"/>
                <w:szCs w:val="16"/>
                <w:color w:val="auto"/>
              </w:rPr>
            </w:pPr>
          </w:p>
        </w:tc>
        <w:tc>
          <w:tcPr>
            <w:tcW w:w="2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ind w:right="40"/>
              <w:spacing w:after="0"/>
              <w:rPr>
                <w:sz w:val="20"/>
                <w:szCs w:val="20"/>
                <w:color w:val="auto"/>
              </w:rPr>
            </w:pPr>
            <w:r>
              <w:rPr>
                <w:rFonts w:ascii="Arial" w:cs="Arial" w:eastAsia="Arial" w:hAnsi="Arial"/>
                <w:sz w:val="12"/>
                <w:szCs w:val="12"/>
                <w:color w:val="auto"/>
              </w:rPr>
              <w:t>20,107</w:t>
            </w:r>
          </w:p>
        </w:tc>
        <w:tc>
          <w:tcPr>
            <w:tcW w:w="8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41.8 %</w:t>
            </w:r>
          </w:p>
        </w:tc>
        <w:tc>
          <w:tcPr>
            <w:tcW w:w="0" w:type="dxa"/>
            <w:vAlign w:val="bottom"/>
          </w:tcPr>
          <w:p>
            <w:pPr>
              <w:spacing w:after="0"/>
              <w:rPr>
                <w:sz w:val="1"/>
                <w:szCs w:val="1"/>
                <w:color w:val="auto"/>
              </w:rPr>
            </w:pPr>
          </w:p>
        </w:tc>
      </w:tr>
      <w:tr>
        <w:trPr>
          <w:trHeight w:val="171"/>
        </w:trPr>
        <w:tc>
          <w:tcPr>
            <w:tcW w:w="4300" w:type="dxa"/>
            <w:vAlign w:val="bottom"/>
            <w:gridSpan w:val="2"/>
          </w:tcPr>
          <w:p>
            <w:pPr>
              <w:ind w:left="140"/>
              <w:spacing w:after="0"/>
              <w:rPr>
                <w:sz w:val="20"/>
                <w:szCs w:val="20"/>
                <w:color w:val="auto"/>
              </w:rPr>
            </w:pPr>
            <w:r>
              <w:rPr>
                <w:rFonts w:ascii="Arial" w:cs="Arial" w:eastAsia="Arial" w:hAnsi="Arial"/>
                <w:sz w:val="12"/>
                <w:szCs w:val="12"/>
                <w:i w:val="1"/>
                <w:iCs w:val="1"/>
                <w:color w:val="auto"/>
              </w:rPr>
              <w:t>Digital Balance Sheet: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00" w:type="dxa"/>
            <w:vAlign w:val="bottom"/>
            <w:gridSpan w:val="2"/>
            <w:shd w:val="clear" w:color="auto" w:fill="DBDBDB"/>
          </w:tcPr>
          <w:p>
            <w:pPr>
              <w:ind w:left="300"/>
              <w:spacing w:after="0"/>
              <w:rPr>
                <w:sz w:val="20"/>
                <w:szCs w:val="20"/>
                <w:color w:val="auto"/>
              </w:rPr>
            </w:pPr>
            <w:r>
              <w:rPr>
                <w:rFonts w:ascii="Arial" w:cs="Arial" w:eastAsia="Arial" w:hAnsi="Arial"/>
                <w:sz w:val="12"/>
                <w:szCs w:val="12"/>
                <w:i w:val="1"/>
                <w:iCs w:val="1"/>
                <w:color w:val="auto"/>
              </w:rPr>
              <w:t>Digital operating</w:t>
            </w: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40"/>
              <w:spacing w:after="0"/>
              <w:rPr>
                <w:sz w:val="20"/>
                <w:szCs w:val="20"/>
                <w:color w:val="auto"/>
              </w:rPr>
            </w:pPr>
            <w:r>
              <w:rPr>
                <w:rFonts w:ascii="Arial" w:cs="Arial" w:eastAsia="Arial" w:hAnsi="Arial"/>
                <w:sz w:val="12"/>
                <w:szCs w:val="12"/>
                <w:i w:val="1"/>
                <w:iCs w:val="1"/>
                <w:color w:val="auto"/>
              </w:rPr>
              <w:t>1,073</w:t>
            </w:r>
          </w:p>
        </w:tc>
        <w:tc>
          <w:tcPr>
            <w:tcW w:w="82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40" w:type="dxa"/>
            <w:vAlign w:val="bottom"/>
            <w:shd w:val="clear" w:color="auto" w:fill="DBDBDB"/>
          </w:tcPr>
          <w:p>
            <w:pPr>
              <w:jc w:val="right"/>
              <w:ind w:right="40"/>
              <w:spacing w:after="0"/>
              <w:rPr>
                <w:sz w:val="20"/>
                <w:szCs w:val="20"/>
                <w:color w:val="auto"/>
              </w:rPr>
            </w:pPr>
            <w:r>
              <w:rPr>
                <w:rFonts w:ascii="Arial" w:cs="Arial" w:eastAsia="Arial" w:hAnsi="Arial"/>
                <w:sz w:val="12"/>
                <w:szCs w:val="12"/>
                <w:i w:val="1"/>
                <w:iCs w:val="1"/>
                <w:color w:val="auto"/>
              </w:rPr>
              <w:t>290</w:t>
            </w:r>
          </w:p>
        </w:tc>
        <w:tc>
          <w:tcPr>
            <w:tcW w:w="8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300" w:type="dxa"/>
            <w:vAlign w:val="bottom"/>
            <w:gridSpan w:val="2"/>
          </w:tcPr>
          <w:p>
            <w:pPr>
              <w:ind w:left="300"/>
              <w:spacing w:after="0"/>
              <w:rPr>
                <w:sz w:val="20"/>
                <w:szCs w:val="20"/>
                <w:color w:val="auto"/>
              </w:rPr>
            </w:pPr>
            <w:r>
              <w:rPr>
                <w:rFonts w:ascii="Arial" w:cs="Arial" w:eastAsia="Arial" w:hAnsi="Arial"/>
                <w:sz w:val="12"/>
                <w:szCs w:val="12"/>
                <w:i w:val="1"/>
                <w:iCs w:val="1"/>
                <w:color w:val="auto"/>
              </w:rPr>
              <w:t>Digital other</w:t>
            </w:r>
          </w:p>
        </w:tc>
        <w:tc>
          <w:tcPr>
            <w:tcW w:w="18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i w:val="1"/>
                <w:iCs w:val="1"/>
                <w:color w:val="auto"/>
              </w:rPr>
              <w:t>244</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Arial" w:cs="Arial" w:eastAsia="Arial" w:hAnsi="Arial"/>
                <w:sz w:val="12"/>
                <w:szCs w:val="12"/>
                <w:i w:val="1"/>
                <w:iCs w:val="1"/>
                <w:color w:val="auto"/>
              </w:rPr>
              <w:t>230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2"/>
                <w:szCs w:val="12"/>
                <w:color w:val="auto"/>
              </w:rPr>
              <w:t>Digital Balance Sheet</w:t>
            </w:r>
          </w:p>
        </w:tc>
        <w:tc>
          <w:tcPr>
            <w:tcW w:w="10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jc w:val="right"/>
              <w:ind w:right="40"/>
              <w:spacing w:after="0"/>
              <w:rPr>
                <w:sz w:val="20"/>
                <w:szCs w:val="20"/>
                <w:color w:val="auto"/>
              </w:rPr>
            </w:pPr>
            <w:r>
              <w:rPr>
                <w:rFonts w:ascii="Arial" w:cs="Arial" w:eastAsia="Arial" w:hAnsi="Arial"/>
                <w:sz w:val="12"/>
                <w:szCs w:val="12"/>
                <w:color w:val="auto"/>
              </w:rPr>
              <w:t>1,317</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2.9 %</w:t>
            </w:r>
          </w:p>
        </w:tc>
        <w:tc>
          <w:tcPr>
            <w:tcW w:w="44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740" w:type="dxa"/>
            <w:vAlign w:val="bottom"/>
            <w:tcBorders>
              <w:bottom w:val="single" w:sz="8" w:color="auto"/>
            </w:tcBorders>
            <w:shd w:val="clear" w:color="auto" w:fill="DBDBDB"/>
          </w:tcPr>
          <w:p>
            <w:pPr>
              <w:jc w:val="right"/>
              <w:ind w:right="40"/>
              <w:spacing w:after="0"/>
              <w:rPr>
                <w:sz w:val="20"/>
                <w:szCs w:val="20"/>
                <w:color w:val="auto"/>
              </w:rPr>
            </w:pPr>
            <w:r>
              <w:rPr>
                <w:rFonts w:ascii="Arial" w:cs="Arial" w:eastAsia="Arial" w:hAnsi="Arial"/>
                <w:sz w:val="12"/>
                <w:szCs w:val="12"/>
                <w:color w:val="auto"/>
              </w:rPr>
              <w:t>520</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1.1 %</w:t>
            </w:r>
          </w:p>
        </w:tc>
        <w:tc>
          <w:tcPr>
            <w:tcW w:w="0" w:type="dxa"/>
            <w:vAlign w:val="bottom"/>
          </w:tcPr>
          <w:p>
            <w:pPr>
              <w:spacing w:after="0"/>
              <w:rPr>
                <w:sz w:val="1"/>
                <w:szCs w:val="1"/>
                <w:color w:val="auto"/>
              </w:rPr>
            </w:pPr>
          </w:p>
        </w:tc>
      </w:tr>
      <w:tr>
        <w:trPr>
          <w:trHeight w:val="164"/>
        </w:trPr>
        <w:tc>
          <w:tcPr>
            <w:tcW w:w="4300" w:type="dxa"/>
            <w:vAlign w:val="bottom"/>
            <w:gridSpan w:val="2"/>
          </w:tcPr>
          <w:p>
            <w:pPr>
              <w:spacing w:after="0"/>
              <w:rPr>
                <w:sz w:val="20"/>
                <w:szCs w:val="20"/>
                <w:color w:val="auto"/>
              </w:rPr>
            </w:pPr>
            <w:r>
              <w:rPr>
                <w:rFonts w:ascii="Arial" w:cs="Arial" w:eastAsia="Arial" w:hAnsi="Arial"/>
                <w:sz w:val="12"/>
                <w:szCs w:val="12"/>
                <w:b w:val="1"/>
                <w:bCs w:val="1"/>
                <w:color w:val="auto"/>
              </w:rPr>
              <w:t>Digital Total AUM</w:t>
            </w:r>
          </w:p>
        </w:tc>
        <w:tc>
          <w:tcPr>
            <w:tcW w:w="18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b w:val="1"/>
                <w:bCs w:val="1"/>
                <w:color w:val="auto"/>
              </w:rPr>
              <w:t>32,028</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69.4 %</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Arial" w:cs="Arial" w:eastAsia="Arial" w:hAnsi="Arial"/>
                <w:sz w:val="12"/>
                <w:szCs w:val="12"/>
                <w:b w:val="1"/>
                <w:bCs w:val="1"/>
                <w:color w:val="auto"/>
              </w:rPr>
              <w:t>20,627</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42.9 %</w:t>
            </w:r>
          </w:p>
        </w:tc>
        <w:tc>
          <w:tcPr>
            <w:tcW w:w="0" w:type="dxa"/>
            <w:vAlign w:val="bottom"/>
          </w:tcPr>
          <w:p>
            <w:pPr>
              <w:spacing w:after="0"/>
              <w:rPr>
                <w:sz w:val="1"/>
                <w:szCs w:val="1"/>
                <w:color w:val="auto"/>
              </w:rPr>
            </w:pPr>
          </w:p>
        </w:tc>
      </w:tr>
      <w:tr>
        <w:trPr>
          <w:trHeight w:val="185"/>
        </w:trPr>
        <w:tc>
          <w:tcPr>
            <w:tcW w:w="4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00" w:type="dxa"/>
            <w:vAlign w:val="bottom"/>
            <w:gridSpan w:val="2"/>
          </w:tcPr>
          <w:p>
            <w:pPr>
              <w:spacing w:after="0"/>
              <w:rPr>
                <w:sz w:val="20"/>
                <w:szCs w:val="20"/>
                <w:color w:val="auto"/>
              </w:rPr>
            </w:pPr>
            <w:r>
              <w:rPr>
                <w:rFonts w:ascii="Arial" w:cs="Arial" w:eastAsia="Arial" w:hAnsi="Arial"/>
                <w:sz w:val="12"/>
                <w:szCs w:val="12"/>
                <w:color w:val="auto"/>
              </w:rPr>
              <w:t>Legacy Investment Management</w:t>
            </w:r>
            <w:r>
              <w:rPr>
                <w:rFonts w:ascii="Arial" w:cs="Arial" w:eastAsia="Arial" w:hAnsi="Arial"/>
                <w:sz w:val="15"/>
                <w:szCs w:val="15"/>
                <w:color w:val="auto"/>
                <w:vertAlign w:val="superscript"/>
              </w:rPr>
              <w:t>(1)</w:t>
            </w:r>
          </w:p>
        </w:tc>
        <w:tc>
          <w:tcPr>
            <w:tcW w:w="180" w:type="dxa"/>
            <w:vAlign w:val="bottom"/>
          </w:tcPr>
          <w:p>
            <w:pPr>
              <w:spacing w:after="0"/>
              <w:rPr>
                <w:sz w:val="15"/>
                <w:szCs w:val="15"/>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9,871</w:t>
            </w:r>
          </w:p>
        </w:tc>
        <w:tc>
          <w:tcPr>
            <w:tcW w:w="820" w:type="dxa"/>
            <w:vAlign w:val="bottom"/>
          </w:tcPr>
          <w:p>
            <w:pPr>
              <w:jc w:val="right"/>
              <w:spacing w:after="0"/>
              <w:rPr>
                <w:sz w:val="20"/>
                <w:szCs w:val="20"/>
                <w:color w:val="auto"/>
              </w:rPr>
            </w:pPr>
            <w:r>
              <w:rPr>
                <w:rFonts w:ascii="Arial" w:cs="Arial" w:eastAsia="Arial" w:hAnsi="Arial"/>
                <w:sz w:val="12"/>
                <w:szCs w:val="12"/>
                <w:color w:val="auto"/>
              </w:rPr>
              <w:t>21.4 %</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40"/>
              <w:spacing w:after="0"/>
              <w:rPr>
                <w:sz w:val="20"/>
                <w:szCs w:val="20"/>
                <w:color w:val="auto"/>
              </w:rPr>
            </w:pPr>
            <w:r>
              <w:rPr>
                <w:rFonts w:ascii="Arial" w:cs="Arial" w:eastAsia="Arial" w:hAnsi="Arial"/>
                <w:sz w:val="12"/>
                <w:szCs w:val="12"/>
                <w:color w:val="auto"/>
              </w:rPr>
              <w:t>15,612</w:t>
            </w:r>
          </w:p>
        </w:tc>
        <w:tc>
          <w:tcPr>
            <w:tcW w:w="820" w:type="dxa"/>
            <w:vAlign w:val="bottom"/>
          </w:tcPr>
          <w:p>
            <w:pPr>
              <w:jc w:val="right"/>
              <w:spacing w:after="0"/>
              <w:rPr>
                <w:sz w:val="20"/>
                <w:szCs w:val="20"/>
                <w:color w:val="auto"/>
              </w:rPr>
            </w:pPr>
            <w:r>
              <w:rPr>
                <w:rFonts w:ascii="Arial" w:cs="Arial" w:eastAsia="Arial" w:hAnsi="Arial"/>
                <w:sz w:val="12"/>
                <w:szCs w:val="12"/>
                <w:color w:val="auto"/>
              </w:rPr>
              <w:t>32.4 %</w:t>
            </w:r>
          </w:p>
        </w:tc>
        <w:tc>
          <w:tcPr>
            <w:tcW w:w="0" w:type="dxa"/>
            <w:vAlign w:val="bottom"/>
          </w:tcPr>
          <w:p>
            <w:pPr>
              <w:spacing w:after="0"/>
              <w:rPr>
                <w:sz w:val="1"/>
                <w:szCs w:val="1"/>
                <w:color w:val="auto"/>
              </w:rPr>
            </w:pPr>
          </w:p>
        </w:tc>
      </w:tr>
      <w:tr>
        <w:trPr>
          <w:trHeight w:val="180"/>
        </w:trPr>
        <w:tc>
          <w:tcPr>
            <w:tcW w:w="4300" w:type="dxa"/>
            <w:vAlign w:val="bottom"/>
            <w:gridSpan w:val="2"/>
            <w:shd w:val="clear" w:color="auto" w:fill="DBDBDB"/>
          </w:tcPr>
          <w:p>
            <w:pPr>
              <w:ind w:left="140"/>
              <w:spacing w:after="0"/>
              <w:rPr>
                <w:sz w:val="20"/>
                <w:szCs w:val="20"/>
                <w:color w:val="auto"/>
              </w:rPr>
            </w:pPr>
            <w:r>
              <w:rPr>
                <w:rFonts w:ascii="Arial" w:cs="Arial" w:eastAsia="Arial" w:hAnsi="Arial"/>
                <w:sz w:val="12"/>
                <w:szCs w:val="12"/>
                <w:i w:val="1"/>
                <w:iCs w:val="1"/>
                <w:color w:val="auto"/>
              </w:rPr>
              <w:t>Legacy Balance Sheet:</w:t>
            </w:r>
          </w:p>
        </w:tc>
        <w:tc>
          <w:tcPr>
            <w:tcW w:w="18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gridSpan w:val="2"/>
          </w:tcPr>
          <w:p>
            <w:pPr>
              <w:ind w:left="300"/>
              <w:spacing w:after="0"/>
              <w:rPr>
                <w:sz w:val="20"/>
                <w:szCs w:val="20"/>
                <w:color w:val="auto"/>
              </w:rPr>
            </w:pPr>
            <w:r>
              <w:rPr>
                <w:rFonts w:ascii="Arial" w:cs="Arial" w:eastAsia="Arial" w:hAnsi="Arial"/>
                <w:sz w:val="12"/>
                <w:szCs w:val="12"/>
                <w:i w:val="1"/>
                <w:iCs w:val="1"/>
                <w:color w:val="auto"/>
              </w:rPr>
              <w:t>Wellness Infrastructure</w:t>
            </w:r>
            <w:r>
              <w:rPr>
                <w:rFonts w:ascii="Arial" w:cs="Arial" w:eastAsia="Arial" w:hAnsi="Arial"/>
                <w:sz w:val="15"/>
                <w:szCs w:val="15"/>
                <w:i w:val="1"/>
                <w:iCs w:val="1"/>
                <w:color w:val="auto"/>
                <w:vertAlign w:val="superscript"/>
              </w:rPr>
              <w:t>(2)</w:t>
            </w:r>
          </w:p>
        </w:tc>
        <w:tc>
          <w:tcPr>
            <w:tcW w:w="180" w:type="dxa"/>
            <w:vAlign w:val="bottom"/>
          </w:tcPr>
          <w:p>
            <w:pPr>
              <w:spacing w:after="0"/>
              <w:rPr>
                <w:sz w:val="15"/>
                <w:szCs w:val="15"/>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i w:val="1"/>
                <w:iCs w:val="1"/>
                <w:color w:val="auto"/>
              </w:rPr>
              <w:t>2,676</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40"/>
              <w:spacing w:after="0"/>
              <w:rPr>
                <w:sz w:val="20"/>
                <w:szCs w:val="20"/>
                <w:color w:val="auto"/>
              </w:rPr>
            </w:pPr>
            <w:r>
              <w:rPr>
                <w:rFonts w:ascii="Arial" w:cs="Arial" w:eastAsia="Arial" w:hAnsi="Arial"/>
                <w:sz w:val="12"/>
                <w:szCs w:val="12"/>
                <w:i w:val="1"/>
                <w:iCs w:val="1"/>
                <w:color w:val="auto"/>
              </w:rPr>
              <w:t>3,606</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gridSpan w:val="2"/>
            <w:shd w:val="clear" w:color="auto" w:fill="DBDBDB"/>
          </w:tcPr>
          <w:p>
            <w:pPr>
              <w:ind w:left="300"/>
              <w:spacing w:after="0"/>
              <w:rPr>
                <w:sz w:val="20"/>
                <w:szCs w:val="20"/>
                <w:color w:val="auto"/>
              </w:rPr>
            </w:pPr>
            <w:r>
              <w:rPr>
                <w:rFonts w:ascii="Arial" w:cs="Arial" w:eastAsia="Arial" w:hAnsi="Arial"/>
                <w:sz w:val="12"/>
                <w:szCs w:val="12"/>
                <w:i w:val="1"/>
                <w:iCs w:val="1"/>
                <w:color w:val="auto"/>
              </w:rPr>
              <w:t>Hospitality</w:t>
            </w:r>
          </w:p>
        </w:tc>
        <w:tc>
          <w:tcPr>
            <w:tcW w:w="180" w:type="dxa"/>
            <w:vAlign w:val="bottom"/>
            <w:shd w:val="clear" w:color="auto" w:fill="DBDBDB"/>
          </w:tcPr>
          <w:p>
            <w:pPr>
              <w:spacing w:after="0"/>
              <w:rPr>
                <w:sz w:val="15"/>
                <w:szCs w:val="15"/>
                <w:color w:val="auto"/>
              </w:rPr>
            </w:pPr>
          </w:p>
        </w:tc>
        <w:tc>
          <w:tcPr>
            <w:tcW w:w="780" w:type="dxa"/>
            <w:vAlign w:val="bottom"/>
            <w:shd w:val="clear" w:color="auto" w:fill="DBDBDB"/>
          </w:tcPr>
          <w:p>
            <w:pPr>
              <w:jc w:val="right"/>
              <w:ind w:right="40"/>
              <w:spacing w:after="0"/>
              <w:rPr>
                <w:sz w:val="20"/>
                <w:szCs w:val="20"/>
                <w:color w:val="auto"/>
              </w:rPr>
            </w:pPr>
            <w:r>
              <w:rPr>
                <w:rFonts w:ascii="Arial" w:cs="Arial" w:eastAsia="Arial" w:hAnsi="Arial"/>
                <w:sz w:val="12"/>
                <w:szCs w:val="12"/>
                <w:i w:val="1"/>
                <w:iCs w:val="1"/>
                <w:color w:val="auto"/>
              </w:rPr>
              <w:t>—</w:t>
            </w:r>
          </w:p>
        </w:tc>
        <w:tc>
          <w:tcPr>
            <w:tcW w:w="82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740" w:type="dxa"/>
            <w:vAlign w:val="bottom"/>
            <w:shd w:val="clear" w:color="auto" w:fill="DBDBDB"/>
          </w:tcPr>
          <w:p>
            <w:pPr>
              <w:jc w:val="right"/>
              <w:ind w:right="40"/>
              <w:spacing w:after="0"/>
              <w:rPr>
                <w:sz w:val="20"/>
                <w:szCs w:val="20"/>
                <w:color w:val="auto"/>
              </w:rPr>
            </w:pPr>
            <w:r>
              <w:rPr>
                <w:rFonts w:ascii="Arial" w:cs="Arial" w:eastAsia="Arial" w:hAnsi="Arial"/>
                <w:sz w:val="12"/>
                <w:szCs w:val="12"/>
                <w:i w:val="1"/>
                <w:iCs w:val="1"/>
                <w:color w:val="auto"/>
              </w:rPr>
              <w:t>3,601</w:t>
            </w:r>
          </w:p>
        </w:tc>
        <w:tc>
          <w:tcPr>
            <w:tcW w:w="8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00" w:type="dxa"/>
            <w:vAlign w:val="bottom"/>
            <w:gridSpan w:val="2"/>
          </w:tcPr>
          <w:p>
            <w:pPr>
              <w:ind w:left="300"/>
              <w:spacing w:after="0"/>
              <w:rPr>
                <w:sz w:val="20"/>
                <w:szCs w:val="20"/>
                <w:color w:val="auto"/>
              </w:rPr>
            </w:pPr>
            <w:r>
              <w:rPr>
                <w:rFonts w:ascii="Arial" w:cs="Arial" w:eastAsia="Arial" w:hAnsi="Arial"/>
                <w:sz w:val="12"/>
                <w:szCs w:val="12"/>
                <w:i w:val="1"/>
                <w:iCs w:val="1"/>
                <w:color w:val="auto"/>
              </w:rPr>
              <w:t>Other - OED</w:t>
            </w:r>
          </w:p>
        </w:tc>
        <w:tc>
          <w:tcPr>
            <w:tcW w:w="18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i w:val="1"/>
                <w:iCs w:val="1"/>
                <w:color w:val="auto"/>
              </w:rPr>
              <w:t>1,606</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Arial" w:cs="Arial" w:eastAsia="Arial" w:hAnsi="Arial"/>
                <w:sz w:val="12"/>
                <w:szCs w:val="12"/>
                <w:i w:val="1"/>
                <w:iCs w:val="1"/>
                <w:color w:val="auto"/>
              </w:rPr>
              <w:t>4,666</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2"/>
                <w:szCs w:val="12"/>
                <w:color w:val="auto"/>
              </w:rPr>
              <w:t>Legacy Balance Sheet</w:t>
            </w:r>
          </w:p>
        </w:tc>
        <w:tc>
          <w:tcPr>
            <w:tcW w:w="10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jc w:val="right"/>
              <w:ind w:right="40"/>
              <w:spacing w:after="0"/>
              <w:rPr>
                <w:sz w:val="20"/>
                <w:szCs w:val="20"/>
                <w:color w:val="auto"/>
              </w:rPr>
            </w:pPr>
            <w:r>
              <w:rPr>
                <w:rFonts w:ascii="Arial" w:cs="Arial" w:eastAsia="Arial" w:hAnsi="Arial"/>
                <w:sz w:val="12"/>
                <w:szCs w:val="12"/>
                <w:color w:val="auto"/>
              </w:rPr>
              <w:t>4,282</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9.3 %</w:t>
            </w:r>
          </w:p>
        </w:tc>
        <w:tc>
          <w:tcPr>
            <w:tcW w:w="44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740" w:type="dxa"/>
            <w:vAlign w:val="bottom"/>
            <w:tcBorders>
              <w:bottom w:val="single" w:sz="8" w:color="auto"/>
            </w:tcBorders>
            <w:shd w:val="clear" w:color="auto" w:fill="DBDBDB"/>
          </w:tcPr>
          <w:p>
            <w:pPr>
              <w:jc w:val="right"/>
              <w:ind w:right="40"/>
              <w:spacing w:after="0"/>
              <w:rPr>
                <w:sz w:val="20"/>
                <w:szCs w:val="20"/>
                <w:color w:val="auto"/>
              </w:rPr>
            </w:pPr>
            <w:r>
              <w:rPr>
                <w:rFonts w:ascii="Arial" w:cs="Arial" w:eastAsia="Arial" w:hAnsi="Arial"/>
                <w:sz w:val="12"/>
                <w:szCs w:val="12"/>
                <w:color w:val="auto"/>
              </w:rPr>
              <w:t>11,873</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24.7 %</w:t>
            </w:r>
          </w:p>
        </w:tc>
        <w:tc>
          <w:tcPr>
            <w:tcW w:w="0" w:type="dxa"/>
            <w:vAlign w:val="bottom"/>
          </w:tcPr>
          <w:p>
            <w:pPr>
              <w:spacing w:after="0"/>
              <w:rPr>
                <w:sz w:val="1"/>
                <w:szCs w:val="1"/>
                <w:color w:val="auto"/>
              </w:rPr>
            </w:pPr>
          </w:p>
        </w:tc>
      </w:tr>
      <w:tr>
        <w:trPr>
          <w:trHeight w:val="164"/>
        </w:trPr>
        <w:tc>
          <w:tcPr>
            <w:tcW w:w="4300" w:type="dxa"/>
            <w:vAlign w:val="bottom"/>
            <w:gridSpan w:val="2"/>
          </w:tcPr>
          <w:p>
            <w:pPr>
              <w:spacing w:after="0"/>
              <w:rPr>
                <w:sz w:val="20"/>
                <w:szCs w:val="20"/>
                <w:color w:val="auto"/>
              </w:rPr>
            </w:pPr>
            <w:r>
              <w:rPr>
                <w:rFonts w:ascii="Arial" w:cs="Arial" w:eastAsia="Arial" w:hAnsi="Arial"/>
                <w:sz w:val="12"/>
                <w:szCs w:val="12"/>
                <w:b w:val="1"/>
                <w:bCs w:val="1"/>
                <w:color w:val="auto"/>
              </w:rPr>
              <w:t>Legacy Total AUM</w:t>
            </w:r>
          </w:p>
        </w:tc>
        <w:tc>
          <w:tcPr>
            <w:tcW w:w="18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b w:val="1"/>
                <w:bCs w:val="1"/>
                <w:color w:val="auto"/>
              </w:rPr>
              <w:t>14,153</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30.6 %</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Arial" w:cs="Arial" w:eastAsia="Arial" w:hAnsi="Arial"/>
                <w:sz w:val="12"/>
                <w:szCs w:val="12"/>
                <w:b w:val="1"/>
                <w:bCs w:val="1"/>
                <w:color w:val="auto"/>
              </w:rPr>
              <w:t>27,485</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57.1 %</w:t>
            </w:r>
          </w:p>
        </w:tc>
        <w:tc>
          <w:tcPr>
            <w:tcW w:w="0" w:type="dxa"/>
            <w:vAlign w:val="bottom"/>
          </w:tcPr>
          <w:p>
            <w:pPr>
              <w:spacing w:after="0"/>
              <w:rPr>
                <w:sz w:val="1"/>
                <w:szCs w:val="1"/>
                <w:color w:val="auto"/>
              </w:rPr>
            </w:pPr>
          </w:p>
        </w:tc>
      </w:tr>
      <w:tr>
        <w:trPr>
          <w:trHeight w:val="185"/>
        </w:trPr>
        <w:tc>
          <w:tcPr>
            <w:tcW w:w="4200" w:type="dxa"/>
            <w:vAlign w:val="bottom"/>
            <w:tcBorders>
              <w:bottom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Grand Total AUM</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46,181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100.0 %</w:t>
            </w:r>
          </w:p>
        </w:tc>
        <w:tc>
          <w:tcPr>
            <w:tcW w:w="44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48,112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100.0 %</w:t>
            </w: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6" w:lineRule="exact"/>
        <w:rPr>
          <w:sz w:val="20"/>
          <w:szCs w:val="20"/>
          <w:color w:val="auto"/>
        </w:rPr>
      </w:pPr>
    </w:p>
    <w:p>
      <w:pPr>
        <w:ind w:left="188" w:hanging="188"/>
        <w:spacing w:after="0"/>
        <w:tabs>
          <w:tab w:leader="none" w:pos="188" w:val="left"/>
        </w:tabs>
        <w:numPr>
          <w:ilvl w:val="0"/>
          <w:numId w:val="34"/>
        </w:numPr>
        <w:rPr>
          <w:rFonts w:ascii="Arial" w:cs="Arial" w:eastAsia="Arial" w:hAnsi="Arial"/>
          <w:sz w:val="8"/>
          <w:szCs w:val="8"/>
          <w:color w:val="424242"/>
        </w:rPr>
      </w:pPr>
      <w:r>
        <w:rPr>
          <w:rFonts w:ascii="Arial" w:cs="Arial" w:eastAsia="Arial" w:hAnsi="Arial"/>
          <w:sz w:val="8"/>
          <w:szCs w:val="8"/>
          <w:color w:val="424242"/>
        </w:rPr>
        <w:t>Legacy Investment Management: 3/31/21 includes $6.4 million Institutional AUM and $3.3 billion NorthStar Healthcare Income AUM, and 3/31/20 includes $7.7 million Institutional AUM, $3.4 billion CLNC AUM and $3.4 billion NorthStar Healthcare Income AUM.</w:t>
      </w:r>
    </w:p>
    <w:p>
      <w:pPr>
        <w:spacing w:after="0" w:line="16" w:lineRule="exact"/>
        <w:rPr>
          <w:rFonts w:ascii="Arial" w:cs="Arial" w:eastAsia="Arial" w:hAnsi="Arial"/>
          <w:sz w:val="8"/>
          <w:szCs w:val="8"/>
          <w:color w:val="424242"/>
        </w:rPr>
      </w:pPr>
    </w:p>
    <w:p>
      <w:pPr>
        <w:ind w:left="208" w:right="200" w:hanging="208"/>
        <w:spacing w:after="0" w:line="268" w:lineRule="auto"/>
        <w:tabs>
          <w:tab w:leader="none" w:pos="188" w:val="left"/>
        </w:tabs>
        <w:numPr>
          <w:ilvl w:val="0"/>
          <w:numId w:val="34"/>
        </w:numPr>
        <w:rPr>
          <w:rFonts w:ascii="Arial" w:cs="Arial" w:eastAsia="Arial" w:hAnsi="Arial"/>
          <w:sz w:val="8"/>
          <w:szCs w:val="8"/>
          <w:color w:val="424242"/>
        </w:rPr>
      </w:pPr>
      <w:r>
        <w:rPr>
          <w:rFonts w:ascii="Arial" w:cs="Arial" w:eastAsia="Arial" w:hAnsi="Arial"/>
          <w:sz w:val="8"/>
          <w:szCs w:val="8"/>
          <w:color w:val="424242"/>
        </w:rPr>
        <w:t>In connection with accelerating the monetization of substantially all of the assets in the Company's Other segment in the first quarter of 2021, the Company reorganized its Wellness Infrastructure segment to retrospectively include other healthcare related assets and obligations. These assets encompass the Company's management contract and equity interests in NorthStar Healthcare Income, equity investment in a healthcare asset manager, and N-Star CDO bonds collateralized largely by certain debt and preferred equity within the capital structure of Wellness Infrastructure, all of which previously resided in the Other segment. The details of these assets are outlined on page 25.</w:t>
      </w: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29</w:t>
            </w:r>
          </w:p>
        </w:tc>
      </w:tr>
    </w:tbl>
    <w:p>
      <w:pPr>
        <w:sectPr>
          <w:pgSz w:w="11900" w:h="16838" w:orient="portrait"/>
          <w:cols w:equalWidth="0" w:num="1">
            <w:col w:w="11308"/>
          </w:cols>
          <w:pgMar w:left="292" w:top="158" w:right="29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443230</wp:posOffset>
            </wp:positionV>
            <wp:extent cx="7178040" cy="22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3E5A99"/>
        </w:rPr>
        <w:t>APPENDICES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30</w:t>
            </w:r>
          </w:p>
        </w:tc>
      </w:tr>
    </w:tbl>
    <w:p>
      <w:pPr>
        <w:sectPr>
          <w:pgSz w:w="11900" w:h="16838" w:orient="portrait"/>
          <w:cols w:equalWidth="0" w:num="1">
            <w:col w:w="11300"/>
          </w:cols>
          <w:pgMar w:left="300" w:top="1440" w:right="299" w:bottom="1440" w:gutter="0" w:footer="0" w:header="0"/>
        </w:sectPr>
      </w:pPr>
    </w:p>
    <w:bookmarkStart w:id="45" w:name="page46"/>
    <w:bookmarkEnd w:id="45"/>
    <w:p>
      <w:pPr>
        <w:ind w:left="8"/>
        <w:spacing w:after="0"/>
        <w:rPr>
          <w:sz w:val="20"/>
          <w:szCs w:val="20"/>
          <w:color w:val="auto"/>
        </w:rPr>
      </w:pPr>
      <w:r>
        <w:rPr>
          <w:rFonts w:ascii="Arial" w:cs="Arial" w:eastAsia="Arial" w:hAnsi="Arial"/>
          <w:sz w:val="29"/>
          <w:szCs w:val="29"/>
          <w:color w:val="auto"/>
        </w:rPr>
        <w:t>Xa. Appendices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Assets Under Management (“AUM”)</w:t>
      </w:r>
    </w:p>
    <w:p>
      <w:pPr>
        <w:spacing w:after="0" w:line="14" w:lineRule="exact"/>
        <w:rPr>
          <w:sz w:val="20"/>
          <w:szCs w:val="20"/>
          <w:color w:val="auto"/>
        </w:rPr>
      </w:pPr>
    </w:p>
    <w:p>
      <w:pPr>
        <w:ind w:left="8" w:right="80"/>
        <w:spacing w:after="0" w:line="249" w:lineRule="auto"/>
        <w:rPr>
          <w:sz w:val="20"/>
          <w:szCs w:val="20"/>
          <w:color w:val="auto"/>
        </w:rPr>
      </w:pPr>
      <w:r>
        <w:rPr>
          <w:rFonts w:ascii="Arial" w:cs="Arial" w:eastAsia="Arial" w:hAnsi="Arial"/>
          <w:sz w:val="10"/>
          <w:szCs w:val="10"/>
          <w:color w:val="424242"/>
        </w:rPr>
        <w:t>Assets owned by the Company’s balance sheet and assets for which the Company and its affiliates provide investment management services, including assets for which the Company may or may not charge management fees and/or performance allocations. Balance sheet AUM is based on the undepreciated carrying value of digital investments and the impaired carrying value of non digital investments as of the report date. Investment management AUM is based on the cost basis of managed investments as reported by each underlying vehicle as of the report date. AUM further includes uncalled capital commitments, but excludes CLNY OP’s share of non wholly-owned real estate investment management platform’s AUM. The Company's calculations of AUM may differ from the calculations of other asset managers, and as a result, this measure may not be comparable to similar measures presented by other asset managers.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Contracted Revenue Growth (“Bookings”)</w:t>
      </w:r>
    </w:p>
    <w:p>
      <w:pPr>
        <w:spacing w:after="0" w:line="14" w:lineRule="exact"/>
        <w:rPr>
          <w:sz w:val="20"/>
          <w:szCs w:val="20"/>
          <w:color w:val="auto"/>
        </w:rPr>
      </w:pPr>
    </w:p>
    <w:p>
      <w:pPr>
        <w:jc w:val="both"/>
        <w:ind w:left="8"/>
        <w:spacing w:after="0" w:line="261" w:lineRule="auto"/>
        <w:rPr>
          <w:sz w:val="20"/>
          <w:szCs w:val="20"/>
          <w:color w:val="auto"/>
        </w:rPr>
      </w:pPr>
      <w:r>
        <w:rPr>
          <w:rFonts w:ascii="Arial" w:cs="Arial" w:eastAsia="Arial" w:hAnsi="Arial"/>
          <w:sz w:val="10"/>
          <w:szCs w:val="10"/>
          <w:color w:val="424242"/>
        </w:rPr>
        <w:t>The Company defines Bookings as either (1) a new data center customer contract for new or additional services over and above any services already being provided as well as (2) an increase in contracted rates on the same services when a contract renews. In both instances a booking is considered to be generated when a new contract is signed with the recognition of new revenue to occur when the new contract begins billing.</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Churn</w:t>
      </w:r>
    </w:p>
    <w:p>
      <w:pPr>
        <w:spacing w:after="0" w:line="14" w:lineRule="exact"/>
        <w:rPr>
          <w:sz w:val="20"/>
          <w:szCs w:val="20"/>
          <w:color w:val="auto"/>
        </w:rPr>
      </w:pPr>
    </w:p>
    <w:p>
      <w:pPr>
        <w:jc w:val="both"/>
        <w:ind w:left="8"/>
        <w:spacing w:after="0" w:line="261" w:lineRule="auto"/>
        <w:rPr>
          <w:sz w:val="20"/>
          <w:szCs w:val="20"/>
          <w:color w:val="auto"/>
        </w:rPr>
      </w:pPr>
      <w:r>
        <w:rPr>
          <w:rFonts w:ascii="Arial" w:cs="Arial" w:eastAsia="Arial" w:hAnsi="Arial"/>
          <w:sz w:val="10"/>
          <w:szCs w:val="10"/>
          <w:color w:val="424242"/>
        </w:rPr>
        <w:t>The Company calculates Churn as the percentage of MRR lost during the period divided by the prior period’s MRR. Churn is intended to represent data center customer contracts which are terminated during the period, not renewed or are renewed at a lower rate.</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CLNY Operating Partnership (“CLNY OP”)</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0"/>
          <w:szCs w:val="10"/>
          <w:color w:val="424242"/>
        </w:rPr>
        <w:t>The operating partnership through which the Company conducts all of its activities and holds substantially all of its assets and liabilities. CLNY OP share excludes noncontrolling interests in investment entities.</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Fee-Earning Equity Under Management (“FEEUM”)</w:t>
      </w:r>
    </w:p>
    <w:p>
      <w:pPr>
        <w:spacing w:after="0" w:line="14" w:lineRule="exact"/>
        <w:rPr>
          <w:sz w:val="20"/>
          <w:szCs w:val="20"/>
          <w:color w:val="auto"/>
        </w:rPr>
      </w:pPr>
    </w:p>
    <w:p>
      <w:pPr>
        <w:jc w:val="both"/>
        <w:ind w:left="8"/>
        <w:spacing w:after="0" w:line="252" w:lineRule="auto"/>
        <w:rPr>
          <w:sz w:val="20"/>
          <w:szCs w:val="20"/>
          <w:color w:val="auto"/>
        </w:rPr>
      </w:pPr>
      <w:r>
        <w:rPr>
          <w:rFonts w:ascii="Arial" w:cs="Arial" w:eastAsia="Arial" w:hAnsi="Arial"/>
          <w:sz w:val="10"/>
          <w:szCs w:val="10"/>
          <w:color w:val="424242"/>
        </w:rPr>
        <w:t>Equity for which the Company and its affiliates provides investment management services and derives management fees and/or performance allocations. FEEUM generally represents the basis used to derive fees, which may be based on invested equity, stockholders’ equity, or fair value pursuant to the terms of each underlying investment management agreement. The Company's calculations of FEEUM may differ materially from the calculations of other asset managers, and as a result, this measure may not be comparable to similar measures presented by other asset managers.</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Wellness Infrastructure same store portfolio:</w:t>
      </w:r>
      <w:r>
        <w:rPr>
          <w:rFonts w:ascii="Arial" w:cs="Arial" w:eastAsia="Arial" w:hAnsi="Arial"/>
          <w:sz w:val="10"/>
          <w:szCs w:val="10"/>
          <w:b w:val="1"/>
          <w:bCs w:val="1"/>
          <w:color w:val="424242"/>
        </w:rPr>
        <w:t xml:space="preserve"> </w:t>
      </w:r>
      <w:r>
        <w:rPr>
          <w:rFonts w:ascii="Arial" w:cs="Arial" w:eastAsia="Arial" w:hAnsi="Arial"/>
          <w:sz w:val="10"/>
          <w:szCs w:val="10"/>
          <w:color w:val="424242"/>
        </w:rPr>
        <w:t>defined as properties in operation throughout the full periods presented under the comparison. Properties acquired or disposed during these periods are excluded for the same store portfolio.</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Max Critical I.T. Square Feet</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0"/>
          <w:szCs w:val="10"/>
          <w:color w:val="424242"/>
        </w:rPr>
        <w:t>Amount of total rentable square footage.</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Monthly Recurring Revenue (“MRR”)</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0"/>
          <w:szCs w:val="10"/>
          <w:color w:val="424242"/>
        </w:rPr>
        <w:t>The Company defines MRR as revenue from ongoing services that is generally fixed in price and contracted for longer than 30 days.</w:t>
      </w:r>
    </w:p>
    <w:p>
      <w:pPr>
        <w:spacing w:after="0" w:line="152" w:lineRule="exact"/>
        <w:rPr>
          <w:sz w:val="20"/>
          <w:szCs w:val="20"/>
          <w:color w:val="auto"/>
        </w:rPr>
      </w:pPr>
    </w:p>
    <w:p>
      <w:pPr>
        <w:jc w:val="both"/>
        <w:ind w:left="8"/>
        <w:spacing w:after="0" w:line="286" w:lineRule="auto"/>
        <w:rPr>
          <w:sz w:val="20"/>
          <w:szCs w:val="20"/>
          <w:color w:val="auto"/>
        </w:rPr>
      </w:pPr>
      <w:r>
        <w:rPr>
          <w:rFonts w:ascii="Arial" w:cs="Arial" w:eastAsia="Arial" w:hAnsi="Arial"/>
          <w:sz w:val="10"/>
          <w:szCs w:val="10"/>
          <w:b w:val="1"/>
          <w:bCs w:val="1"/>
          <w:u w:val="single" w:color="auto"/>
          <w:color w:val="424242"/>
        </w:rPr>
        <w:t>NOI:</w:t>
      </w:r>
      <w:r>
        <w:rPr>
          <w:rFonts w:ascii="Arial" w:cs="Arial" w:eastAsia="Arial" w:hAnsi="Arial"/>
          <w:sz w:val="10"/>
          <w:szCs w:val="10"/>
          <w:b w:val="1"/>
          <w:bCs w:val="1"/>
          <w:color w:val="424242"/>
        </w:rPr>
        <w:t xml:space="preserve"> </w:t>
      </w:r>
      <w:r>
        <w:rPr>
          <w:rFonts w:ascii="Arial" w:cs="Arial" w:eastAsia="Arial" w:hAnsi="Arial"/>
          <w:sz w:val="10"/>
          <w:szCs w:val="10"/>
          <w:color w:val="424242"/>
        </w:rPr>
        <w:t>Net Operating Income. NOI for the Company's real estate segments represents total property and related income less property operating expenses, adjusted for the effects of (i) straight-line rental income adjustments; (ii) amortization of</w:t>
      </w:r>
      <w:r>
        <w:rPr>
          <w:rFonts w:ascii="Arial" w:cs="Arial" w:eastAsia="Arial" w:hAnsi="Arial"/>
          <w:sz w:val="10"/>
          <w:szCs w:val="10"/>
          <w:b w:val="1"/>
          <w:bCs w:val="1"/>
          <w:color w:val="424242"/>
        </w:rPr>
        <w:t xml:space="preserve"> </w:t>
      </w:r>
      <w:r>
        <w:rPr>
          <w:rFonts w:ascii="Arial" w:cs="Arial" w:eastAsia="Arial" w:hAnsi="Arial"/>
          <w:sz w:val="10"/>
          <w:szCs w:val="10"/>
          <w:color w:val="424242"/>
        </w:rPr>
        <w:t>acquired above- and below-market lease adjustments to rental income; and (iii) other items such as adjustments for the Company’s share of NOI of unconsolidated ventures.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TTM Lease Coverage</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0"/>
          <w:szCs w:val="10"/>
          <w:color w:val="424242"/>
        </w:rPr>
        <w:t>Represents the ratio of EBITDAR to recognized cash rent for owned facilities on a trailing twelve month basis. TTM Lease Coverage is a supplemental measure of a tenant’s/operator’s ability to meet their cash rent obligations to the Company.</w:t>
      </w:r>
    </w:p>
    <w:p>
      <w:pPr>
        <w:spacing w:after="0" w:line="2" w:lineRule="exact"/>
        <w:rPr>
          <w:sz w:val="20"/>
          <w:szCs w:val="20"/>
          <w:color w:val="auto"/>
        </w:rPr>
      </w:pPr>
    </w:p>
    <w:p>
      <w:pPr>
        <w:ind w:left="8"/>
        <w:spacing w:after="0"/>
        <w:rPr>
          <w:sz w:val="20"/>
          <w:szCs w:val="20"/>
          <w:color w:val="auto"/>
        </w:rPr>
      </w:pPr>
      <w:r>
        <w:rPr>
          <w:rFonts w:ascii="Arial" w:cs="Arial" w:eastAsia="Arial" w:hAnsi="Arial"/>
          <w:sz w:val="10"/>
          <w:szCs w:val="10"/>
          <w:color w:val="424242"/>
        </w:rPr>
        <w:t>However, its usefulness is limited by, among other things, the same factors that limit the usefulness of EBITDAR.</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UPB:</w:t>
      </w:r>
      <w:r>
        <w:rPr>
          <w:rFonts w:ascii="Arial" w:cs="Arial" w:eastAsia="Arial" w:hAnsi="Arial"/>
          <w:sz w:val="10"/>
          <w:szCs w:val="10"/>
          <w:b w:val="1"/>
          <w:bCs w:val="1"/>
          <w:color w:val="424242"/>
        </w:rPr>
        <w:t xml:space="preserve"> </w:t>
      </w:r>
      <w:r>
        <w:rPr>
          <w:rFonts w:ascii="Arial" w:cs="Arial" w:eastAsia="Arial" w:hAnsi="Arial"/>
          <w:sz w:val="10"/>
          <w:szCs w:val="10"/>
          <w:color w:val="424242"/>
        </w:rPr>
        <w:t>Unpaid Principal Balance</w:t>
      </w:r>
    </w:p>
    <w:p>
      <w:pPr>
        <w:spacing w:after="0" w:line="164" w:lineRule="exact"/>
        <w:rPr>
          <w:sz w:val="20"/>
          <w:szCs w:val="20"/>
          <w:color w:val="auto"/>
        </w:rPr>
      </w:pPr>
    </w:p>
    <w:p>
      <w:pPr>
        <w:ind w:left="128" w:hanging="128"/>
        <w:spacing w:after="0"/>
        <w:tabs>
          <w:tab w:leader="none" w:pos="128" w:val="left"/>
        </w:tabs>
        <w:numPr>
          <w:ilvl w:val="0"/>
          <w:numId w:val="35"/>
        </w:numPr>
        <w:rPr>
          <w:rFonts w:ascii="Arial" w:cs="Arial" w:eastAsia="Arial" w:hAnsi="Arial"/>
          <w:sz w:val="10"/>
          <w:szCs w:val="10"/>
          <w:b w:val="1"/>
          <w:bCs w:val="1"/>
          <w:u w:val="single" w:color="auto"/>
          <w:color w:val="424242"/>
        </w:rPr>
      </w:pPr>
      <w:r>
        <w:rPr>
          <w:rFonts w:ascii="Arial" w:cs="Arial" w:eastAsia="Arial" w:hAnsi="Arial"/>
          <w:sz w:val="10"/>
          <w:szCs w:val="10"/>
          <w:b w:val="1"/>
          <w:bCs w:val="1"/>
          <w:u w:val="single" w:color="auto"/>
          <w:color w:val="424242"/>
        </w:rPr>
        <w:t>Utilization Rate:</w:t>
      </w:r>
      <w:r>
        <w:rPr>
          <w:rFonts w:ascii="Arial" w:cs="Arial" w:eastAsia="Arial" w:hAnsi="Arial"/>
          <w:sz w:val="10"/>
          <w:szCs w:val="10"/>
          <w:b w:val="1"/>
          <w:bCs w:val="1"/>
          <w:color w:val="424242"/>
        </w:rPr>
        <w:t xml:space="preserve"> </w:t>
      </w:r>
      <w:r>
        <w:rPr>
          <w:rFonts w:ascii="Arial" w:cs="Arial" w:eastAsia="Arial" w:hAnsi="Arial"/>
          <w:sz w:val="10"/>
          <w:szCs w:val="10"/>
          <w:color w:val="424242"/>
        </w:rPr>
        <w:t>Amount of leased square feet divided by max critical I.T. square feet.</w:t>
      </w:r>
    </w:p>
    <w:p>
      <w:pPr>
        <w:spacing w:after="0" w:line="330"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31</w:t>
            </w:r>
          </w:p>
        </w:tc>
      </w:tr>
    </w:tbl>
    <w:p>
      <w:pPr>
        <w:sectPr>
          <w:pgSz w:w="11900" w:h="16838" w:orient="portrait"/>
          <w:cols w:equalWidth="0" w:num="1">
            <w:col w:w="11308"/>
          </w:cols>
          <w:pgMar w:left="292" w:top="158" w:right="299" w:bottom="1440" w:gutter="0" w:footer="0" w:header="0"/>
        </w:sectPr>
      </w:pPr>
    </w:p>
    <w:bookmarkStart w:id="46" w:name="page47"/>
    <w:bookmarkEnd w:id="46"/>
    <w:p>
      <w:pPr>
        <w:ind w:left="8"/>
        <w:spacing w:after="0"/>
        <w:rPr>
          <w:sz w:val="20"/>
          <w:szCs w:val="20"/>
          <w:color w:val="auto"/>
        </w:rPr>
      </w:pPr>
      <w:r>
        <w:rPr>
          <w:rFonts w:ascii="Arial" w:cs="Arial" w:eastAsia="Arial" w:hAnsi="Arial"/>
          <w:sz w:val="29"/>
          <w:szCs w:val="29"/>
          <w:color w:val="auto"/>
        </w:rPr>
        <w:t>Xb. Appendices - Reconciliation of Net Income (Loss) to 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22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6840" w:type="dxa"/>
            <w:vAlign w:val="bottom"/>
          </w:tcPr>
          <w:p>
            <w:pPr>
              <w:spacing w:after="0"/>
              <w:rPr>
                <w:sz w:val="20"/>
                <w:szCs w:val="20"/>
                <w:color w:val="auto"/>
              </w:rPr>
            </w:pPr>
            <w:r>
              <w:rPr>
                <w:rFonts w:ascii="Arial" w:cs="Arial" w:eastAsia="Arial" w:hAnsi="Arial"/>
                <w:sz w:val="11"/>
                <w:szCs w:val="11"/>
                <w:i w:val="1"/>
                <w:iCs w:val="1"/>
                <w:color w:val="auto"/>
              </w:rPr>
              <w:t>($ in thousands; for the three months ended March 31, 2021)</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6840" w:type="dxa"/>
            <w:vAlign w:val="bottom"/>
          </w:tcPr>
          <w:p>
            <w:pPr>
              <w:spacing w:after="0"/>
              <w:rPr>
                <w:sz w:val="20"/>
                <w:szCs w:val="20"/>
                <w:color w:val="auto"/>
              </w:rPr>
            </w:pPr>
            <w:r>
              <w:rPr>
                <w:rFonts w:ascii="Arial" w:cs="Arial" w:eastAsia="Arial" w:hAnsi="Arial"/>
                <w:sz w:val="12"/>
                <w:szCs w:val="12"/>
                <w:b w:val="1"/>
                <w:bCs w:val="1"/>
                <w:i w:val="1"/>
                <w:iCs w:val="1"/>
                <w:color w:val="003366"/>
              </w:rPr>
              <w:t>NOI Determined as Follows</w:t>
            </w:r>
          </w:p>
        </w:tc>
        <w:tc>
          <w:tcPr>
            <w:tcW w:w="10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Wellness Infrastructure</w:t>
            </w:r>
          </w:p>
        </w:tc>
      </w:tr>
      <w:tr>
        <w:trPr>
          <w:trHeight w:val="151"/>
        </w:trPr>
        <w:tc>
          <w:tcPr>
            <w:tcW w:w="684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2"/>
                <w:szCs w:val="12"/>
                <w:color w:val="auto"/>
              </w:rPr>
              <w:t>Total revenues</w:t>
            </w: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88,666</w:t>
            </w:r>
          </w:p>
        </w:tc>
        <w:tc>
          <w:tcPr>
            <w:tcW w:w="80" w:type="dxa"/>
            <w:vAlign w:val="bottom"/>
            <w:tcBorders>
              <w:top w:val="single" w:sz="8" w:color="DBDBDB"/>
            </w:tcBorders>
            <w:shd w:val="clear" w:color="auto" w:fill="DBDBDB"/>
          </w:tcPr>
          <w:p>
            <w:pPr>
              <w:spacing w:after="0"/>
              <w:rPr>
                <w:sz w:val="13"/>
                <w:szCs w:val="13"/>
                <w:color w:val="auto"/>
              </w:rPr>
            </w:pPr>
          </w:p>
        </w:tc>
      </w:tr>
      <w:tr>
        <w:trPr>
          <w:trHeight w:val="171"/>
        </w:trPr>
        <w:tc>
          <w:tcPr>
            <w:tcW w:w="6840" w:type="dxa"/>
            <w:vAlign w:val="bottom"/>
          </w:tcPr>
          <w:p>
            <w:pPr>
              <w:spacing w:after="0"/>
              <w:rPr>
                <w:sz w:val="20"/>
                <w:szCs w:val="20"/>
                <w:color w:val="auto"/>
              </w:rPr>
            </w:pPr>
            <w:r>
              <w:rPr>
                <w:rFonts w:ascii="Arial" w:cs="Arial" w:eastAsia="Arial" w:hAnsi="Arial"/>
                <w:sz w:val="12"/>
                <w:szCs w:val="12"/>
                <w:color w:val="auto"/>
              </w:rPr>
              <w:t>Straight-line rent revenue and amortization of above- and below-market lease intangibles</w:t>
            </w:r>
          </w:p>
        </w:tc>
        <w:tc>
          <w:tcPr>
            <w:tcW w:w="100" w:type="dxa"/>
            <w:vAlign w:val="bottom"/>
          </w:tcPr>
          <w:p>
            <w:pPr>
              <w:spacing w:after="0"/>
              <w:rPr>
                <w:sz w:val="14"/>
                <w:szCs w:val="14"/>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24,571</w:t>
            </w:r>
          </w:p>
        </w:tc>
        <w:tc>
          <w:tcPr>
            <w:tcW w:w="80" w:type="dxa"/>
            <w:vAlign w:val="bottom"/>
          </w:tcPr>
          <w:p>
            <w:pPr>
              <w:spacing w:after="0"/>
              <w:rPr>
                <w:sz w:val="14"/>
                <w:szCs w:val="14"/>
                <w:color w:val="auto"/>
              </w:rPr>
            </w:pPr>
          </w:p>
        </w:tc>
      </w:tr>
      <w:tr>
        <w:trPr>
          <w:trHeight w:val="171"/>
        </w:trPr>
        <w:tc>
          <w:tcPr>
            <w:tcW w:w="6840" w:type="dxa"/>
            <w:vAlign w:val="bottom"/>
            <w:shd w:val="clear" w:color="auto" w:fill="DBDBDB"/>
          </w:tcPr>
          <w:p>
            <w:pPr>
              <w:spacing w:after="0"/>
              <w:rPr>
                <w:sz w:val="20"/>
                <w:szCs w:val="20"/>
                <w:color w:val="auto"/>
              </w:rPr>
            </w:pPr>
            <w:r>
              <w:rPr>
                <w:rFonts w:ascii="Arial" w:cs="Arial" w:eastAsia="Arial" w:hAnsi="Arial"/>
                <w:sz w:val="12"/>
                <w:szCs w:val="12"/>
                <w:color w:val="auto"/>
              </w:rPr>
              <w:t>Interest income</w:t>
            </w:r>
          </w:p>
        </w:tc>
        <w:tc>
          <w:tcPr>
            <w:tcW w:w="10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(53)</w:t>
            </w:r>
          </w:p>
        </w:tc>
        <w:tc>
          <w:tcPr>
            <w:tcW w:w="80" w:type="dxa"/>
            <w:vAlign w:val="bottom"/>
            <w:shd w:val="clear" w:color="auto" w:fill="DBDBDB"/>
          </w:tcPr>
          <w:p>
            <w:pPr>
              <w:spacing w:after="0"/>
              <w:rPr>
                <w:sz w:val="14"/>
                <w:szCs w:val="14"/>
                <w:color w:val="auto"/>
              </w:rPr>
            </w:pPr>
          </w:p>
        </w:tc>
      </w:tr>
      <w:tr>
        <w:trPr>
          <w:trHeight w:val="171"/>
        </w:trPr>
        <w:tc>
          <w:tcPr>
            <w:tcW w:w="6840" w:type="dxa"/>
            <w:vAlign w:val="bottom"/>
            <w:tcBorders>
              <w:bottom w:val="single" w:sz="8" w:color="DBDBDB"/>
            </w:tcBorders>
          </w:tcPr>
          <w:p>
            <w:pPr>
              <w:spacing w:after="0" w:line="171" w:lineRule="exact"/>
              <w:rPr>
                <w:sz w:val="20"/>
                <w:szCs w:val="20"/>
                <w:color w:val="auto"/>
              </w:rPr>
            </w:pPr>
            <w:r>
              <w:rPr>
                <w:rFonts w:ascii="Arial" w:cs="Arial" w:eastAsia="Arial" w:hAnsi="Arial"/>
                <w:sz w:val="12"/>
                <w:szCs w:val="12"/>
                <w:color w:val="auto"/>
              </w:rPr>
              <w:t>Property operating expenses</w:t>
            </w:r>
            <w:r>
              <w:rPr>
                <w:rFonts w:ascii="Arial" w:cs="Arial" w:eastAsia="Arial" w:hAnsi="Arial"/>
                <w:sz w:val="15"/>
                <w:szCs w:val="15"/>
                <w:color w:val="auto"/>
                <w:vertAlign w:val="superscript"/>
              </w:rPr>
              <w:t>(1)</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(52,400)</w:t>
            </w:r>
          </w:p>
        </w:tc>
        <w:tc>
          <w:tcPr>
            <w:tcW w:w="80" w:type="dxa"/>
            <w:vAlign w:val="bottom"/>
            <w:tcBorders>
              <w:bottom w:val="single" w:sz="8" w:color="DBDBDB"/>
            </w:tcBorders>
          </w:tcPr>
          <w:p>
            <w:pPr>
              <w:spacing w:after="0"/>
              <w:rPr>
                <w:sz w:val="14"/>
                <w:szCs w:val="14"/>
                <w:color w:val="auto"/>
              </w:rPr>
            </w:pPr>
          </w:p>
        </w:tc>
      </w:tr>
      <w:tr>
        <w:trPr>
          <w:trHeight w:val="162"/>
        </w:trPr>
        <w:tc>
          <w:tcPr>
            <w:tcW w:w="68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NOI</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60,784</w:t>
            </w:r>
          </w:p>
        </w:tc>
        <w:tc>
          <w:tcPr>
            <w:tcW w:w="80" w:type="dxa"/>
            <w:vAlign w:val="bottom"/>
            <w:tcBorders>
              <w:bottom w:val="single" w:sz="8" w:color="DBDBDB"/>
            </w:tcBorders>
            <w:shd w:val="clear" w:color="auto" w:fill="DBDBDB"/>
          </w:tcPr>
          <w:p>
            <w:pPr>
              <w:spacing w:after="0"/>
              <w:rPr>
                <w:sz w:val="14"/>
                <w:szCs w:val="14"/>
                <w:color w:val="auto"/>
              </w:rPr>
            </w:pPr>
          </w:p>
        </w:tc>
      </w:tr>
      <w:tr>
        <w:trPr>
          <w:trHeight w:val="509"/>
        </w:trPr>
        <w:tc>
          <w:tcPr>
            <w:tcW w:w="6840" w:type="dxa"/>
            <w:vAlign w:val="bottom"/>
          </w:tcPr>
          <w:p>
            <w:pPr>
              <w:spacing w:after="0"/>
              <w:rPr>
                <w:sz w:val="20"/>
                <w:szCs w:val="20"/>
                <w:color w:val="auto"/>
              </w:rPr>
            </w:pPr>
            <w:r>
              <w:rPr>
                <w:rFonts w:ascii="Arial" w:cs="Arial" w:eastAsia="Arial" w:hAnsi="Arial"/>
                <w:sz w:val="12"/>
                <w:szCs w:val="12"/>
                <w:b w:val="1"/>
                <w:bCs w:val="1"/>
                <w:i w:val="1"/>
                <w:iCs w:val="1"/>
                <w:color w:val="003366"/>
              </w:rPr>
              <w:t>Reconciliation of Net Income (Loss) from Continuing Operations to NOI</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Wellness Infrastructure</w:t>
            </w:r>
          </w:p>
        </w:tc>
      </w:tr>
      <w:tr>
        <w:trPr>
          <w:trHeight w:val="153"/>
        </w:trPr>
        <w:tc>
          <w:tcPr>
            <w:tcW w:w="684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2"/>
                <w:szCs w:val="12"/>
                <w:color w:val="auto"/>
              </w:rPr>
              <w:t>Income (loss)</w:t>
            </w: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(41,210)</w:t>
            </w:r>
          </w:p>
        </w:tc>
        <w:tc>
          <w:tcPr>
            <w:tcW w:w="80" w:type="dxa"/>
            <w:vAlign w:val="bottom"/>
            <w:tcBorders>
              <w:top w:val="single" w:sz="8" w:color="DBDBDB"/>
            </w:tcBorders>
            <w:shd w:val="clear" w:color="auto" w:fill="DBDBDB"/>
          </w:tcPr>
          <w:p>
            <w:pPr>
              <w:spacing w:after="0"/>
              <w:rPr>
                <w:sz w:val="13"/>
                <w:szCs w:val="13"/>
                <w:color w:val="auto"/>
              </w:rPr>
            </w:pPr>
          </w:p>
        </w:tc>
      </w:tr>
      <w:tr>
        <w:trPr>
          <w:trHeight w:val="171"/>
        </w:trPr>
        <w:tc>
          <w:tcPr>
            <w:tcW w:w="6840" w:type="dxa"/>
            <w:vAlign w:val="bottom"/>
          </w:tcPr>
          <w:p>
            <w:pPr>
              <w:spacing w:after="0"/>
              <w:rPr>
                <w:sz w:val="20"/>
                <w:szCs w:val="20"/>
                <w:color w:val="auto"/>
              </w:rPr>
            </w:pPr>
            <w:r>
              <w:rPr>
                <w:rFonts w:ascii="Arial" w:cs="Arial" w:eastAsia="Arial" w:hAnsi="Arial"/>
                <w:sz w:val="12"/>
                <w:szCs w:val="12"/>
                <w:color w:val="auto"/>
              </w:rPr>
              <w:t>Adjustments:</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840" w:type="dxa"/>
            <w:vAlign w:val="bottom"/>
            <w:shd w:val="clear" w:color="auto" w:fill="DBDBDB"/>
          </w:tcPr>
          <w:p>
            <w:pPr>
              <w:ind w:left="120"/>
              <w:spacing w:after="0"/>
              <w:rPr>
                <w:sz w:val="20"/>
                <w:szCs w:val="20"/>
                <w:color w:val="auto"/>
              </w:rPr>
            </w:pPr>
            <w:r>
              <w:rPr>
                <w:rFonts w:ascii="Arial" w:cs="Arial" w:eastAsia="Arial" w:hAnsi="Arial"/>
                <w:sz w:val="12"/>
                <w:szCs w:val="12"/>
                <w:color w:val="auto"/>
              </w:rPr>
              <w:t>Straight-line rent revenue and amortization of above- and below-market lease intangibles</w:t>
            </w:r>
          </w:p>
        </w:tc>
        <w:tc>
          <w:tcPr>
            <w:tcW w:w="100" w:type="dxa"/>
            <w:vAlign w:val="bottom"/>
            <w:shd w:val="clear" w:color="auto" w:fill="DBDBDB"/>
          </w:tcPr>
          <w:p>
            <w:pPr>
              <w:spacing w:after="0"/>
              <w:rPr>
                <w:sz w:val="14"/>
                <w:szCs w:val="14"/>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24,571</w:t>
            </w:r>
          </w:p>
        </w:tc>
        <w:tc>
          <w:tcPr>
            <w:tcW w:w="80" w:type="dxa"/>
            <w:vAlign w:val="bottom"/>
            <w:shd w:val="clear" w:color="auto" w:fill="DBDBDB"/>
          </w:tcPr>
          <w:p>
            <w:pPr>
              <w:spacing w:after="0"/>
              <w:rPr>
                <w:sz w:val="14"/>
                <w:szCs w:val="14"/>
                <w:color w:val="auto"/>
              </w:rPr>
            </w:pPr>
          </w:p>
        </w:tc>
      </w:tr>
      <w:tr>
        <w:trPr>
          <w:trHeight w:val="171"/>
        </w:trPr>
        <w:tc>
          <w:tcPr>
            <w:tcW w:w="6840" w:type="dxa"/>
            <w:vAlign w:val="bottom"/>
          </w:tcPr>
          <w:p>
            <w:pPr>
              <w:ind w:left="120"/>
              <w:spacing w:after="0"/>
              <w:rPr>
                <w:sz w:val="20"/>
                <w:szCs w:val="20"/>
                <w:color w:val="auto"/>
              </w:rPr>
            </w:pPr>
            <w:r>
              <w:rPr>
                <w:rFonts w:ascii="Arial" w:cs="Arial" w:eastAsia="Arial" w:hAnsi="Arial"/>
                <w:sz w:val="12"/>
                <w:szCs w:val="12"/>
                <w:color w:val="auto"/>
              </w:rPr>
              <w:t>Interest income</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(999)</w:t>
            </w:r>
          </w:p>
        </w:tc>
        <w:tc>
          <w:tcPr>
            <w:tcW w:w="80" w:type="dxa"/>
            <w:vAlign w:val="bottom"/>
          </w:tcPr>
          <w:p>
            <w:pPr>
              <w:spacing w:after="0"/>
              <w:rPr>
                <w:sz w:val="14"/>
                <w:szCs w:val="14"/>
                <w:color w:val="auto"/>
              </w:rPr>
            </w:pPr>
          </w:p>
        </w:tc>
      </w:tr>
      <w:tr>
        <w:trPr>
          <w:trHeight w:val="171"/>
        </w:trPr>
        <w:tc>
          <w:tcPr>
            <w:tcW w:w="6840" w:type="dxa"/>
            <w:vAlign w:val="bottom"/>
            <w:shd w:val="clear" w:color="auto" w:fill="DBDBDB"/>
          </w:tcPr>
          <w:p>
            <w:pPr>
              <w:ind w:left="120"/>
              <w:spacing w:after="0"/>
              <w:rPr>
                <w:sz w:val="20"/>
                <w:szCs w:val="20"/>
                <w:color w:val="auto"/>
              </w:rPr>
            </w:pPr>
            <w:r>
              <w:rPr>
                <w:rFonts w:ascii="Arial" w:cs="Arial" w:eastAsia="Arial" w:hAnsi="Arial"/>
                <w:sz w:val="12"/>
                <w:szCs w:val="12"/>
                <w:color w:val="auto"/>
              </w:rPr>
              <w:t>Fee income</w:t>
            </w:r>
          </w:p>
        </w:tc>
        <w:tc>
          <w:tcPr>
            <w:tcW w:w="10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(2,769)</w:t>
            </w:r>
          </w:p>
        </w:tc>
        <w:tc>
          <w:tcPr>
            <w:tcW w:w="80" w:type="dxa"/>
            <w:vAlign w:val="bottom"/>
            <w:shd w:val="clear" w:color="auto" w:fill="DBDBDB"/>
          </w:tcPr>
          <w:p>
            <w:pPr>
              <w:spacing w:after="0"/>
              <w:rPr>
                <w:sz w:val="14"/>
                <w:szCs w:val="14"/>
                <w:color w:val="auto"/>
              </w:rPr>
            </w:pPr>
          </w:p>
        </w:tc>
      </w:tr>
      <w:tr>
        <w:trPr>
          <w:trHeight w:val="171"/>
        </w:trPr>
        <w:tc>
          <w:tcPr>
            <w:tcW w:w="6840" w:type="dxa"/>
            <w:vAlign w:val="bottom"/>
          </w:tcPr>
          <w:p>
            <w:pPr>
              <w:ind w:left="120"/>
              <w:spacing w:after="0"/>
              <w:rPr>
                <w:sz w:val="20"/>
                <w:szCs w:val="20"/>
                <w:color w:val="auto"/>
              </w:rPr>
            </w:pPr>
            <w:r>
              <w:rPr>
                <w:rFonts w:ascii="Arial" w:cs="Arial" w:eastAsia="Arial" w:hAnsi="Arial"/>
                <w:sz w:val="12"/>
                <w:szCs w:val="12"/>
                <w:color w:val="auto"/>
              </w:rPr>
              <w:t>Other income</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(1,162)</w:t>
            </w:r>
          </w:p>
        </w:tc>
        <w:tc>
          <w:tcPr>
            <w:tcW w:w="80" w:type="dxa"/>
            <w:vAlign w:val="bottom"/>
          </w:tcPr>
          <w:p>
            <w:pPr>
              <w:spacing w:after="0"/>
              <w:rPr>
                <w:sz w:val="14"/>
                <w:szCs w:val="14"/>
                <w:color w:val="auto"/>
              </w:rPr>
            </w:pPr>
          </w:p>
        </w:tc>
      </w:tr>
      <w:tr>
        <w:trPr>
          <w:trHeight w:val="171"/>
        </w:trPr>
        <w:tc>
          <w:tcPr>
            <w:tcW w:w="6840" w:type="dxa"/>
            <w:vAlign w:val="bottom"/>
            <w:shd w:val="clear" w:color="auto" w:fill="DBDBDB"/>
          </w:tcPr>
          <w:p>
            <w:pPr>
              <w:ind w:left="120"/>
              <w:spacing w:after="0"/>
              <w:rPr>
                <w:sz w:val="20"/>
                <w:szCs w:val="20"/>
                <w:color w:val="auto"/>
              </w:rPr>
            </w:pPr>
            <w:r>
              <w:rPr>
                <w:rFonts w:ascii="Arial" w:cs="Arial" w:eastAsia="Arial" w:hAnsi="Arial"/>
                <w:sz w:val="12"/>
                <w:szCs w:val="12"/>
                <w:color w:val="auto"/>
              </w:rPr>
              <w:t>Interest expense</w:t>
            </w:r>
          </w:p>
        </w:tc>
        <w:tc>
          <w:tcPr>
            <w:tcW w:w="100" w:type="dxa"/>
            <w:vAlign w:val="bottom"/>
            <w:shd w:val="clear" w:color="auto" w:fill="DBDBDB"/>
          </w:tcPr>
          <w:p>
            <w:pPr>
              <w:spacing w:after="0"/>
              <w:rPr>
                <w:sz w:val="14"/>
                <w:szCs w:val="14"/>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32,705</w:t>
            </w:r>
          </w:p>
        </w:tc>
        <w:tc>
          <w:tcPr>
            <w:tcW w:w="80" w:type="dxa"/>
            <w:vAlign w:val="bottom"/>
            <w:shd w:val="clear" w:color="auto" w:fill="DBDBDB"/>
          </w:tcPr>
          <w:p>
            <w:pPr>
              <w:spacing w:after="0"/>
              <w:rPr>
                <w:sz w:val="14"/>
                <w:szCs w:val="14"/>
                <w:color w:val="auto"/>
              </w:rPr>
            </w:pPr>
          </w:p>
        </w:tc>
      </w:tr>
      <w:tr>
        <w:trPr>
          <w:trHeight w:val="171"/>
        </w:trPr>
        <w:tc>
          <w:tcPr>
            <w:tcW w:w="6840" w:type="dxa"/>
            <w:vAlign w:val="bottom"/>
          </w:tcPr>
          <w:p>
            <w:pPr>
              <w:ind w:left="120"/>
              <w:spacing w:after="0"/>
              <w:rPr>
                <w:sz w:val="20"/>
                <w:szCs w:val="20"/>
                <w:color w:val="auto"/>
              </w:rPr>
            </w:pPr>
            <w:r>
              <w:rPr>
                <w:rFonts w:ascii="Arial" w:cs="Arial" w:eastAsia="Arial" w:hAnsi="Arial"/>
                <w:sz w:val="12"/>
                <w:szCs w:val="12"/>
                <w:color w:val="auto"/>
              </w:rPr>
              <w:t>Transaction, investment and servicing costs</w:t>
            </w:r>
          </w:p>
        </w:tc>
        <w:tc>
          <w:tcPr>
            <w:tcW w:w="100" w:type="dxa"/>
            <w:vAlign w:val="bottom"/>
          </w:tcPr>
          <w:p>
            <w:pPr>
              <w:spacing w:after="0"/>
              <w:rPr>
                <w:sz w:val="14"/>
                <w:szCs w:val="14"/>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2,163</w:t>
            </w:r>
          </w:p>
        </w:tc>
        <w:tc>
          <w:tcPr>
            <w:tcW w:w="80" w:type="dxa"/>
            <w:vAlign w:val="bottom"/>
          </w:tcPr>
          <w:p>
            <w:pPr>
              <w:spacing w:after="0"/>
              <w:rPr>
                <w:sz w:val="14"/>
                <w:szCs w:val="14"/>
                <w:color w:val="auto"/>
              </w:rPr>
            </w:pPr>
          </w:p>
        </w:tc>
      </w:tr>
      <w:tr>
        <w:trPr>
          <w:trHeight w:val="171"/>
        </w:trPr>
        <w:tc>
          <w:tcPr>
            <w:tcW w:w="6840" w:type="dxa"/>
            <w:vAlign w:val="bottom"/>
            <w:shd w:val="clear" w:color="auto" w:fill="DBDBDB"/>
          </w:tcPr>
          <w:p>
            <w:pPr>
              <w:ind w:left="120"/>
              <w:spacing w:after="0"/>
              <w:rPr>
                <w:sz w:val="20"/>
                <w:szCs w:val="20"/>
                <w:color w:val="auto"/>
              </w:rPr>
            </w:pPr>
            <w:r>
              <w:rPr>
                <w:rFonts w:ascii="Arial" w:cs="Arial" w:eastAsia="Arial" w:hAnsi="Arial"/>
                <w:sz w:val="12"/>
                <w:szCs w:val="12"/>
                <w:color w:val="auto"/>
              </w:rPr>
              <w:t>Depreciation and amortization</w:t>
            </w:r>
          </w:p>
        </w:tc>
        <w:tc>
          <w:tcPr>
            <w:tcW w:w="100" w:type="dxa"/>
            <w:vAlign w:val="bottom"/>
            <w:shd w:val="clear" w:color="auto" w:fill="DBDBDB"/>
          </w:tcPr>
          <w:p>
            <w:pPr>
              <w:spacing w:after="0"/>
              <w:rPr>
                <w:sz w:val="14"/>
                <w:szCs w:val="14"/>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31,418</w:t>
            </w:r>
          </w:p>
        </w:tc>
        <w:tc>
          <w:tcPr>
            <w:tcW w:w="80" w:type="dxa"/>
            <w:vAlign w:val="bottom"/>
            <w:shd w:val="clear" w:color="auto" w:fill="DBDBDB"/>
          </w:tcPr>
          <w:p>
            <w:pPr>
              <w:spacing w:after="0"/>
              <w:rPr>
                <w:sz w:val="14"/>
                <w:szCs w:val="14"/>
                <w:color w:val="auto"/>
              </w:rPr>
            </w:pPr>
          </w:p>
        </w:tc>
      </w:tr>
      <w:tr>
        <w:trPr>
          <w:trHeight w:val="171"/>
        </w:trPr>
        <w:tc>
          <w:tcPr>
            <w:tcW w:w="6840" w:type="dxa"/>
            <w:vAlign w:val="bottom"/>
          </w:tcPr>
          <w:p>
            <w:pPr>
              <w:ind w:left="120"/>
              <w:spacing w:after="0"/>
              <w:rPr>
                <w:sz w:val="20"/>
                <w:szCs w:val="20"/>
                <w:color w:val="auto"/>
              </w:rPr>
            </w:pPr>
            <w:r>
              <w:rPr>
                <w:rFonts w:ascii="Arial" w:cs="Arial" w:eastAsia="Arial" w:hAnsi="Arial"/>
                <w:sz w:val="12"/>
                <w:szCs w:val="12"/>
                <w:color w:val="auto"/>
              </w:rPr>
              <w:t>Impairment loss</w:t>
            </w:r>
          </w:p>
        </w:tc>
        <w:tc>
          <w:tcPr>
            <w:tcW w:w="100" w:type="dxa"/>
            <w:vAlign w:val="bottom"/>
          </w:tcPr>
          <w:p>
            <w:pPr>
              <w:spacing w:after="0"/>
              <w:rPr>
                <w:sz w:val="14"/>
                <w:szCs w:val="14"/>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15,232</w:t>
            </w:r>
          </w:p>
        </w:tc>
        <w:tc>
          <w:tcPr>
            <w:tcW w:w="80" w:type="dxa"/>
            <w:vAlign w:val="bottom"/>
          </w:tcPr>
          <w:p>
            <w:pPr>
              <w:spacing w:after="0"/>
              <w:rPr>
                <w:sz w:val="14"/>
                <w:szCs w:val="14"/>
                <w:color w:val="auto"/>
              </w:rPr>
            </w:pPr>
          </w:p>
        </w:tc>
      </w:tr>
      <w:tr>
        <w:trPr>
          <w:trHeight w:val="171"/>
        </w:trPr>
        <w:tc>
          <w:tcPr>
            <w:tcW w:w="6840" w:type="dxa"/>
            <w:vAlign w:val="bottom"/>
            <w:shd w:val="clear" w:color="auto" w:fill="DBDBDB"/>
          </w:tcPr>
          <w:p>
            <w:pPr>
              <w:ind w:left="120"/>
              <w:spacing w:after="0"/>
              <w:rPr>
                <w:sz w:val="20"/>
                <w:szCs w:val="20"/>
                <w:color w:val="auto"/>
              </w:rPr>
            </w:pPr>
            <w:r>
              <w:rPr>
                <w:rFonts w:ascii="Arial" w:cs="Arial" w:eastAsia="Arial" w:hAnsi="Arial"/>
                <w:sz w:val="12"/>
                <w:szCs w:val="12"/>
                <w:color w:val="auto"/>
              </w:rPr>
              <w:t>Compensation and administrative expense</w:t>
            </w:r>
          </w:p>
        </w:tc>
        <w:tc>
          <w:tcPr>
            <w:tcW w:w="100" w:type="dxa"/>
            <w:vAlign w:val="bottom"/>
            <w:shd w:val="clear" w:color="auto" w:fill="DBDBDB"/>
          </w:tcPr>
          <w:p>
            <w:pPr>
              <w:spacing w:after="0"/>
              <w:rPr>
                <w:sz w:val="14"/>
                <w:szCs w:val="14"/>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3,913</w:t>
            </w:r>
          </w:p>
        </w:tc>
        <w:tc>
          <w:tcPr>
            <w:tcW w:w="80" w:type="dxa"/>
            <w:vAlign w:val="bottom"/>
            <w:shd w:val="clear" w:color="auto" w:fill="DBDBDB"/>
          </w:tcPr>
          <w:p>
            <w:pPr>
              <w:spacing w:after="0"/>
              <w:rPr>
                <w:sz w:val="14"/>
                <w:szCs w:val="14"/>
                <w:color w:val="auto"/>
              </w:rPr>
            </w:pPr>
          </w:p>
        </w:tc>
      </w:tr>
      <w:tr>
        <w:trPr>
          <w:trHeight w:val="171"/>
        </w:trPr>
        <w:tc>
          <w:tcPr>
            <w:tcW w:w="6840" w:type="dxa"/>
            <w:vAlign w:val="bottom"/>
          </w:tcPr>
          <w:p>
            <w:pPr>
              <w:ind w:left="120"/>
              <w:spacing w:after="0"/>
              <w:rPr>
                <w:sz w:val="20"/>
                <w:szCs w:val="20"/>
                <w:color w:val="auto"/>
              </w:rPr>
            </w:pPr>
            <w:r>
              <w:rPr>
                <w:rFonts w:ascii="Arial" w:cs="Arial" w:eastAsia="Arial" w:hAnsi="Arial"/>
                <w:sz w:val="12"/>
                <w:szCs w:val="12"/>
                <w:color w:val="auto"/>
              </w:rPr>
              <w:t>Other (gain) loss, net</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(657)</w:t>
            </w:r>
          </w:p>
        </w:tc>
        <w:tc>
          <w:tcPr>
            <w:tcW w:w="80" w:type="dxa"/>
            <w:vAlign w:val="bottom"/>
          </w:tcPr>
          <w:p>
            <w:pPr>
              <w:spacing w:after="0"/>
              <w:rPr>
                <w:sz w:val="14"/>
                <w:szCs w:val="14"/>
                <w:color w:val="auto"/>
              </w:rPr>
            </w:pPr>
          </w:p>
        </w:tc>
      </w:tr>
      <w:tr>
        <w:trPr>
          <w:trHeight w:val="171"/>
        </w:trPr>
        <w:tc>
          <w:tcPr>
            <w:tcW w:w="6840" w:type="dxa"/>
            <w:vAlign w:val="bottom"/>
            <w:shd w:val="clear" w:color="auto" w:fill="DBDBDB"/>
          </w:tcPr>
          <w:p>
            <w:pPr>
              <w:ind w:left="120"/>
              <w:spacing w:after="0"/>
              <w:rPr>
                <w:sz w:val="20"/>
                <w:szCs w:val="20"/>
                <w:color w:val="auto"/>
              </w:rPr>
            </w:pPr>
            <w:r>
              <w:rPr>
                <w:rFonts w:ascii="Arial" w:cs="Arial" w:eastAsia="Arial" w:hAnsi="Arial"/>
                <w:sz w:val="12"/>
                <w:szCs w:val="12"/>
                <w:color w:val="auto"/>
              </w:rPr>
              <w:t>Income tax (benefit) expense</w:t>
            </w:r>
          </w:p>
        </w:tc>
        <w:tc>
          <w:tcPr>
            <w:tcW w:w="100" w:type="dxa"/>
            <w:vAlign w:val="bottom"/>
            <w:tcBorders>
              <w:bottom w:val="single" w:sz="8" w:color="auto"/>
            </w:tcBorders>
            <w:shd w:val="clear" w:color="auto" w:fill="DBDBDB"/>
          </w:tcPr>
          <w:p>
            <w:pPr>
              <w:spacing w:after="0"/>
              <w:rPr>
                <w:sz w:val="14"/>
                <w:szCs w:val="14"/>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(2,421)</w:t>
            </w:r>
          </w:p>
        </w:tc>
        <w:tc>
          <w:tcPr>
            <w:tcW w:w="80" w:type="dxa"/>
            <w:vAlign w:val="bottom"/>
            <w:shd w:val="clear" w:color="auto" w:fill="DBDBDB"/>
          </w:tcPr>
          <w:p>
            <w:pPr>
              <w:spacing w:after="0"/>
              <w:rPr>
                <w:sz w:val="14"/>
                <w:szCs w:val="14"/>
                <w:color w:val="auto"/>
              </w:rPr>
            </w:pPr>
          </w:p>
        </w:tc>
      </w:tr>
      <w:tr>
        <w:trPr>
          <w:trHeight w:val="142"/>
        </w:trPr>
        <w:tc>
          <w:tcPr>
            <w:tcW w:w="6840" w:type="dxa"/>
            <w:vAlign w:val="bottom"/>
          </w:tcPr>
          <w:p>
            <w:pPr>
              <w:spacing w:after="0"/>
              <w:rPr>
                <w:sz w:val="20"/>
                <w:szCs w:val="20"/>
                <w:color w:val="auto"/>
              </w:rPr>
            </w:pPr>
            <w:r>
              <w:rPr>
                <w:rFonts w:ascii="Arial" w:cs="Arial" w:eastAsia="Arial" w:hAnsi="Arial"/>
                <w:sz w:val="12"/>
                <w:szCs w:val="12"/>
                <w:color w:val="auto"/>
              </w:rPr>
              <w:t>NOI</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60,784</w:t>
            </w:r>
          </w:p>
        </w:tc>
        <w:tc>
          <w:tcPr>
            <w:tcW w:w="80" w:type="dxa"/>
            <w:vAlign w:val="bottom"/>
          </w:tcPr>
          <w:p>
            <w:pPr>
              <w:spacing w:after="0"/>
              <w:rPr>
                <w:sz w:val="12"/>
                <w:szCs w:val="12"/>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6" w:lineRule="exact"/>
        <w:rPr>
          <w:sz w:val="20"/>
          <w:szCs w:val="20"/>
          <w:color w:val="auto"/>
        </w:rPr>
      </w:pPr>
    </w:p>
    <w:p>
      <w:pPr>
        <w:ind w:left="188" w:hanging="188"/>
        <w:spacing w:after="0"/>
        <w:tabs>
          <w:tab w:leader="none" w:pos="188" w:val="left"/>
        </w:tabs>
        <w:numPr>
          <w:ilvl w:val="0"/>
          <w:numId w:val="36"/>
        </w:numPr>
        <w:rPr>
          <w:rFonts w:ascii="Arial" w:cs="Arial" w:eastAsia="Arial" w:hAnsi="Arial"/>
          <w:sz w:val="8"/>
          <w:szCs w:val="8"/>
          <w:color w:val="424242"/>
        </w:rPr>
      </w:pPr>
      <w:r>
        <w:rPr>
          <w:rFonts w:ascii="Arial" w:cs="Arial" w:eastAsia="Arial" w:hAnsi="Arial"/>
          <w:sz w:val="8"/>
          <w:szCs w:val="8"/>
          <w:color w:val="424242"/>
        </w:rPr>
        <w:t>Property operating expenses includes property management fees paid to third parties.</w:t>
      </w:r>
    </w:p>
    <w:p>
      <w:pPr>
        <w:spacing w:after="0" w:line="34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32</w:t>
            </w:r>
          </w:p>
        </w:tc>
      </w:tr>
    </w:tbl>
    <w:p>
      <w:pPr>
        <w:sectPr>
          <w:pgSz w:w="11900" w:h="16838" w:orient="portrait"/>
          <w:cols w:equalWidth="0" w:num="1">
            <w:col w:w="11308"/>
          </w:cols>
          <w:pgMar w:left="292" w:top="158" w:right="299" w:bottom="1440" w:gutter="0" w:footer="0" w:header="0"/>
        </w:sectPr>
      </w:pPr>
    </w:p>
    <w:bookmarkStart w:id="47" w:name="page48"/>
    <w:bookmarkEnd w:id="47"/>
    <w:p>
      <w:pPr>
        <w:ind w:left="8" w:right="660"/>
        <w:spacing w:after="0" w:line="228" w:lineRule="auto"/>
        <w:rPr>
          <w:sz w:val="20"/>
          <w:szCs w:val="20"/>
          <w:color w:val="auto"/>
        </w:rPr>
      </w:pPr>
      <w:r>
        <w:rPr>
          <w:rFonts w:ascii="Arial" w:cs="Arial" w:eastAsia="Arial" w:hAnsi="Arial"/>
          <w:sz w:val="29"/>
          <w:szCs w:val="29"/>
          <w:color w:val="auto"/>
        </w:rPr>
        <w:t>Xc. Appendices - Reconciliations of Net Income (Loss) to Digital IM FRE and Digital Operating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228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1488" w:type="dxa"/>
        <w:tblCellMar>
          <w:top w:w="0" w:type="dxa"/>
          <w:left w:w="0" w:type="dxa"/>
          <w:bottom w:w="0" w:type="dxa"/>
          <w:right w:w="0" w:type="dxa"/>
        </w:tblCellMar>
      </w:tblPr>
      <w:tr>
        <w:trPr>
          <w:trHeight w:val="157"/>
        </w:trPr>
        <w:tc>
          <w:tcPr>
            <w:tcW w:w="6800" w:type="dxa"/>
            <w:vAlign w:val="bottom"/>
          </w:tcPr>
          <w:p>
            <w:pPr>
              <w:ind w:left="20"/>
              <w:spacing w:after="0"/>
              <w:rPr>
                <w:sz w:val="20"/>
                <w:szCs w:val="20"/>
                <w:color w:val="auto"/>
              </w:rPr>
            </w:pPr>
            <w:r>
              <w:rPr>
                <w:rFonts w:ascii="Arial" w:cs="Arial" w:eastAsia="Arial" w:hAnsi="Arial"/>
                <w:sz w:val="12"/>
                <w:szCs w:val="12"/>
                <w:i w:val="1"/>
                <w:iCs w:val="1"/>
                <w:color w:val="auto"/>
              </w:rPr>
              <w:t>($ in thousands; for the three months ended March 31, 2021)</w:t>
            </w: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6800" w:type="dxa"/>
            <w:vAlign w:val="bottom"/>
          </w:tcPr>
          <w:p>
            <w:pPr>
              <w:ind w:left="20"/>
              <w:spacing w:after="0"/>
              <w:rPr>
                <w:sz w:val="20"/>
                <w:szCs w:val="20"/>
                <w:color w:val="auto"/>
              </w:rPr>
            </w:pPr>
            <w:r>
              <w:rPr>
                <w:rFonts w:ascii="Arial" w:cs="Arial" w:eastAsia="Arial" w:hAnsi="Arial"/>
                <w:sz w:val="12"/>
                <w:szCs w:val="12"/>
                <w:b w:val="1"/>
                <w:bCs w:val="1"/>
                <w:color w:val="auto"/>
              </w:rPr>
              <w:t>Digital Investment Management FRE Determined as Follows</w:t>
            </w: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800" w:type="dxa"/>
            <w:vAlign w:val="bottom"/>
            <w:shd w:val="clear" w:color="auto" w:fill="DBDBDB"/>
          </w:tcPr>
          <w:p>
            <w:pPr>
              <w:ind w:left="20"/>
              <w:spacing w:after="0"/>
              <w:rPr>
                <w:sz w:val="20"/>
                <w:szCs w:val="20"/>
                <w:color w:val="auto"/>
              </w:rPr>
            </w:pPr>
            <w:r>
              <w:rPr>
                <w:rFonts w:ascii="Arial" w:cs="Arial" w:eastAsia="Arial" w:hAnsi="Arial"/>
                <w:sz w:val="12"/>
                <w:szCs w:val="12"/>
                <w:color w:val="auto"/>
              </w:rPr>
              <w:t>Digital Investment Management Net income (loss)</w:t>
            </w:r>
          </w:p>
        </w:tc>
        <w:tc>
          <w:tcPr>
            <w:tcW w:w="500" w:type="dxa"/>
            <w:vAlign w:val="bottom"/>
            <w:shd w:val="clear" w:color="auto" w:fill="DBDBDB"/>
          </w:tcPr>
          <w:p>
            <w:pPr>
              <w:jc w:val="right"/>
              <w:ind w:right="3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6,041</w:t>
            </w:r>
          </w:p>
        </w:tc>
        <w:tc>
          <w:tcPr>
            <w:tcW w:w="80" w:type="dxa"/>
            <w:vAlign w:val="bottom"/>
            <w:shd w:val="clear" w:color="auto" w:fill="DBDBDB"/>
          </w:tcPr>
          <w:p>
            <w:pPr>
              <w:spacing w:after="0"/>
              <w:rPr>
                <w:sz w:val="14"/>
                <w:szCs w:val="14"/>
                <w:color w:val="auto"/>
              </w:rPr>
            </w:pPr>
          </w:p>
        </w:tc>
      </w:tr>
      <w:tr>
        <w:trPr>
          <w:trHeight w:val="171"/>
        </w:trPr>
        <w:tc>
          <w:tcPr>
            <w:tcW w:w="6800" w:type="dxa"/>
            <w:vAlign w:val="bottom"/>
          </w:tcPr>
          <w:p>
            <w:pPr>
              <w:ind w:left="20"/>
              <w:spacing w:after="0"/>
              <w:rPr>
                <w:sz w:val="20"/>
                <w:szCs w:val="20"/>
                <w:color w:val="auto"/>
              </w:rPr>
            </w:pPr>
            <w:r>
              <w:rPr>
                <w:rFonts w:ascii="Arial" w:cs="Arial" w:eastAsia="Arial" w:hAnsi="Arial"/>
                <w:sz w:val="12"/>
                <w:szCs w:val="12"/>
                <w:color w:val="auto"/>
              </w:rPr>
              <w:t>Adjustments:</w:t>
            </w: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800" w:type="dxa"/>
            <w:vAlign w:val="bottom"/>
            <w:shd w:val="clear" w:color="auto" w:fill="DBDBDB"/>
          </w:tcPr>
          <w:p>
            <w:pPr>
              <w:ind w:left="120"/>
              <w:spacing w:after="0"/>
              <w:rPr>
                <w:sz w:val="20"/>
                <w:szCs w:val="20"/>
                <w:color w:val="auto"/>
              </w:rPr>
            </w:pPr>
            <w:r>
              <w:rPr>
                <w:rFonts w:ascii="Arial" w:cs="Arial" w:eastAsia="Arial" w:hAnsi="Arial"/>
                <w:sz w:val="12"/>
                <w:szCs w:val="12"/>
                <w:color w:val="auto"/>
              </w:rPr>
              <w:t>Interest income</w:t>
            </w:r>
          </w:p>
        </w:tc>
        <w:tc>
          <w:tcPr>
            <w:tcW w:w="50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DBDBDB"/>
          </w:tcPr>
          <w:p>
            <w:pPr>
              <w:spacing w:after="0"/>
              <w:rPr>
                <w:sz w:val="14"/>
                <w:szCs w:val="14"/>
                <w:color w:val="auto"/>
              </w:rPr>
            </w:pPr>
          </w:p>
        </w:tc>
      </w:tr>
      <w:tr>
        <w:trPr>
          <w:trHeight w:val="171"/>
        </w:trPr>
        <w:tc>
          <w:tcPr>
            <w:tcW w:w="6800" w:type="dxa"/>
            <w:vAlign w:val="bottom"/>
          </w:tcPr>
          <w:p>
            <w:pPr>
              <w:ind w:left="120"/>
              <w:spacing w:after="0"/>
              <w:rPr>
                <w:sz w:val="20"/>
                <w:szCs w:val="20"/>
                <w:color w:val="auto"/>
              </w:rPr>
            </w:pPr>
            <w:r>
              <w:rPr>
                <w:rFonts w:ascii="Arial" w:cs="Arial" w:eastAsia="Arial" w:hAnsi="Arial"/>
                <w:sz w:val="12"/>
                <w:szCs w:val="12"/>
                <w:color w:val="auto"/>
              </w:rPr>
              <w:t>Fee income eliminated in the Company's consolidated Statement of Operations</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1,622</w:t>
            </w:r>
          </w:p>
        </w:tc>
        <w:tc>
          <w:tcPr>
            <w:tcW w:w="80" w:type="dxa"/>
            <w:vAlign w:val="bottom"/>
          </w:tcPr>
          <w:p>
            <w:pPr>
              <w:spacing w:after="0"/>
              <w:rPr>
                <w:sz w:val="14"/>
                <w:szCs w:val="14"/>
                <w:color w:val="auto"/>
              </w:rPr>
            </w:pPr>
          </w:p>
        </w:tc>
      </w:tr>
      <w:tr>
        <w:trPr>
          <w:trHeight w:val="171"/>
        </w:trPr>
        <w:tc>
          <w:tcPr>
            <w:tcW w:w="6800" w:type="dxa"/>
            <w:vAlign w:val="bottom"/>
            <w:shd w:val="clear" w:color="auto" w:fill="DBDBDB"/>
          </w:tcPr>
          <w:p>
            <w:pPr>
              <w:ind w:left="120"/>
              <w:spacing w:after="0"/>
              <w:rPr>
                <w:sz w:val="20"/>
                <w:szCs w:val="20"/>
                <w:color w:val="auto"/>
              </w:rPr>
            </w:pPr>
            <w:r>
              <w:rPr>
                <w:rFonts w:ascii="Arial" w:cs="Arial" w:eastAsia="Arial" w:hAnsi="Arial"/>
                <w:sz w:val="12"/>
                <w:szCs w:val="12"/>
                <w:color w:val="auto"/>
              </w:rPr>
              <w:t>Investment and servicing expense</w:t>
            </w:r>
          </w:p>
        </w:tc>
        <w:tc>
          <w:tcPr>
            <w:tcW w:w="50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w:t>
            </w:r>
          </w:p>
        </w:tc>
        <w:tc>
          <w:tcPr>
            <w:tcW w:w="80" w:type="dxa"/>
            <w:vAlign w:val="bottom"/>
            <w:shd w:val="clear" w:color="auto" w:fill="DBDBDB"/>
          </w:tcPr>
          <w:p>
            <w:pPr>
              <w:spacing w:after="0"/>
              <w:rPr>
                <w:sz w:val="14"/>
                <w:szCs w:val="14"/>
                <w:color w:val="auto"/>
              </w:rPr>
            </w:pPr>
          </w:p>
        </w:tc>
      </w:tr>
      <w:tr>
        <w:trPr>
          <w:trHeight w:val="171"/>
        </w:trPr>
        <w:tc>
          <w:tcPr>
            <w:tcW w:w="680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8,912</w:t>
            </w:r>
          </w:p>
        </w:tc>
        <w:tc>
          <w:tcPr>
            <w:tcW w:w="80" w:type="dxa"/>
            <w:vAlign w:val="bottom"/>
          </w:tcPr>
          <w:p>
            <w:pPr>
              <w:spacing w:after="0"/>
              <w:rPr>
                <w:sz w:val="14"/>
                <w:szCs w:val="14"/>
                <w:color w:val="auto"/>
              </w:rPr>
            </w:pPr>
          </w:p>
        </w:tc>
      </w:tr>
      <w:tr>
        <w:trPr>
          <w:trHeight w:val="171"/>
        </w:trPr>
        <w:tc>
          <w:tcPr>
            <w:tcW w:w="6800" w:type="dxa"/>
            <w:vAlign w:val="bottom"/>
            <w:shd w:val="clear" w:color="auto" w:fill="DBDBDB"/>
          </w:tcPr>
          <w:p>
            <w:pPr>
              <w:ind w:left="120"/>
              <w:spacing w:after="0"/>
              <w:rPr>
                <w:sz w:val="20"/>
                <w:szCs w:val="20"/>
                <w:color w:val="auto"/>
              </w:rPr>
            </w:pPr>
            <w:r>
              <w:rPr>
                <w:rFonts w:ascii="Arial" w:cs="Arial" w:eastAsia="Arial" w:hAnsi="Arial"/>
                <w:sz w:val="12"/>
                <w:szCs w:val="12"/>
                <w:color w:val="auto"/>
              </w:rPr>
              <w:t>Compensation expense—equity-based</w:t>
            </w:r>
          </w:p>
        </w:tc>
        <w:tc>
          <w:tcPr>
            <w:tcW w:w="50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1,533</w:t>
            </w:r>
          </w:p>
        </w:tc>
        <w:tc>
          <w:tcPr>
            <w:tcW w:w="80" w:type="dxa"/>
            <w:vAlign w:val="bottom"/>
            <w:shd w:val="clear" w:color="auto" w:fill="DBDBDB"/>
          </w:tcPr>
          <w:p>
            <w:pPr>
              <w:spacing w:after="0"/>
              <w:rPr>
                <w:sz w:val="14"/>
                <w:szCs w:val="14"/>
                <w:color w:val="auto"/>
              </w:rPr>
            </w:pPr>
          </w:p>
        </w:tc>
      </w:tr>
      <w:tr>
        <w:trPr>
          <w:trHeight w:val="171"/>
        </w:trPr>
        <w:tc>
          <w:tcPr>
            <w:tcW w:w="6800" w:type="dxa"/>
            <w:vAlign w:val="bottom"/>
          </w:tcPr>
          <w:p>
            <w:pPr>
              <w:ind w:left="120"/>
              <w:spacing w:after="0"/>
              <w:rPr>
                <w:sz w:val="20"/>
                <w:szCs w:val="20"/>
                <w:color w:val="auto"/>
              </w:rPr>
            </w:pPr>
            <w:r>
              <w:rPr>
                <w:rFonts w:ascii="Arial" w:cs="Arial" w:eastAsia="Arial" w:hAnsi="Arial"/>
                <w:sz w:val="12"/>
                <w:szCs w:val="12"/>
                <w:color w:val="auto"/>
              </w:rPr>
              <w:t>Compensation expense—carried interest and incentive</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4"/>
                <w:szCs w:val="14"/>
                <w:color w:val="auto"/>
              </w:rPr>
            </w:pPr>
          </w:p>
        </w:tc>
      </w:tr>
      <w:tr>
        <w:trPr>
          <w:trHeight w:val="171"/>
        </w:trPr>
        <w:tc>
          <w:tcPr>
            <w:tcW w:w="6800" w:type="dxa"/>
            <w:vAlign w:val="bottom"/>
            <w:shd w:val="clear" w:color="auto" w:fill="DBDBDB"/>
          </w:tcPr>
          <w:p>
            <w:pPr>
              <w:ind w:left="120"/>
              <w:spacing w:after="0"/>
              <w:rPr>
                <w:sz w:val="20"/>
                <w:szCs w:val="20"/>
                <w:color w:val="auto"/>
              </w:rPr>
            </w:pPr>
            <w:r>
              <w:rPr>
                <w:rFonts w:ascii="Arial" w:cs="Arial" w:eastAsia="Arial" w:hAnsi="Arial"/>
                <w:sz w:val="12"/>
                <w:szCs w:val="12"/>
                <w:color w:val="auto"/>
              </w:rPr>
              <w:t>Administrative expenses—straight-line rent</w:t>
            </w:r>
          </w:p>
        </w:tc>
        <w:tc>
          <w:tcPr>
            <w:tcW w:w="50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DBDBDB"/>
          </w:tcPr>
          <w:p>
            <w:pPr>
              <w:spacing w:after="0"/>
              <w:rPr>
                <w:sz w:val="14"/>
                <w:szCs w:val="14"/>
                <w:color w:val="auto"/>
              </w:rPr>
            </w:pPr>
          </w:p>
        </w:tc>
      </w:tr>
      <w:tr>
        <w:trPr>
          <w:trHeight w:val="171"/>
        </w:trPr>
        <w:tc>
          <w:tcPr>
            <w:tcW w:w="6800" w:type="dxa"/>
            <w:vAlign w:val="bottom"/>
          </w:tcPr>
          <w:p>
            <w:pPr>
              <w:ind w:left="120"/>
              <w:spacing w:after="0"/>
              <w:rPr>
                <w:sz w:val="20"/>
                <w:szCs w:val="20"/>
                <w:color w:val="auto"/>
              </w:rPr>
            </w:pPr>
            <w:r>
              <w:rPr>
                <w:rFonts w:ascii="Arial" w:cs="Arial" w:eastAsia="Arial" w:hAnsi="Arial"/>
                <w:sz w:val="12"/>
                <w:szCs w:val="12"/>
                <w:color w:val="auto"/>
              </w:rPr>
              <w:t>Administrative expenses—placement agent fee</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59</w:t>
            </w:r>
          </w:p>
        </w:tc>
        <w:tc>
          <w:tcPr>
            <w:tcW w:w="80" w:type="dxa"/>
            <w:vAlign w:val="bottom"/>
          </w:tcPr>
          <w:p>
            <w:pPr>
              <w:spacing w:after="0"/>
              <w:rPr>
                <w:sz w:val="14"/>
                <w:szCs w:val="14"/>
                <w:color w:val="auto"/>
              </w:rPr>
            </w:pPr>
          </w:p>
        </w:tc>
      </w:tr>
      <w:tr>
        <w:trPr>
          <w:trHeight w:val="171"/>
        </w:trPr>
        <w:tc>
          <w:tcPr>
            <w:tcW w:w="6800" w:type="dxa"/>
            <w:vAlign w:val="bottom"/>
            <w:shd w:val="clear" w:color="auto" w:fill="DBDBDB"/>
          </w:tcPr>
          <w:p>
            <w:pPr>
              <w:ind w:left="120"/>
              <w:spacing w:after="0"/>
              <w:rPr>
                <w:sz w:val="20"/>
                <w:szCs w:val="20"/>
                <w:color w:val="auto"/>
              </w:rPr>
            </w:pPr>
            <w:r>
              <w:rPr>
                <w:rFonts w:ascii="Arial" w:cs="Arial" w:eastAsia="Arial" w:hAnsi="Arial"/>
                <w:sz w:val="12"/>
                <w:szCs w:val="12"/>
                <w:color w:val="auto"/>
              </w:rPr>
              <w:t>Equity method (earnings) losses</w:t>
            </w:r>
          </w:p>
        </w:tc>
        <w:tc>
          <w:tcPr>
            <w:tcW w:w="50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195</w:t>
            </w:r>
          </w:p>
        </w:tc>
        <w:tc>
          <w:tcPr>
            <w:tcW w:w="80" w:type="dxa"/>
            <w:vAlign w:val="bottom"/>
            <w:shd w:val="clear" w:color="auto" w:fill="DBDBDB"/>
          </w:tcPr>
          <w:p>
            <w:pPr>
              <w:spacing w:after="0"/>
              <w:rPr>
                <w:sz w:val="14"/>
                <w:szCs w:val="14"/>
                <w:color w:val="auto"/>
              </w:rPr>
            </w:pPr>
          </w:p>
        </w:tc>
      </w:tr>
      <w:tr>
        <w:trPr>
          <w:trHeight w:val="171"/>
        </w:trPr>
        <w:tc>
          <w:tcPr>
            <w:tcW w:w="6800" w:type="dxa"/>
            <w:vAlign w:val="bottom"/>
          </w:tcPr>
          <w:p>
            <w:pPr>
              <w:ind w:left="120"/>
              <w:spacing w:after="0"/>
              <w:rPr>
                <w:sz w:val="20"/>
                <w:szCs w:val="20"/>
                <w:color w:val="auto"/>
              </w:rPr>
            </w:pPr>
            <w:r>
              <w:rPr>
                <w:rFonts w:ascii="Arial" w:cs="Arial" w:eastAsia="Arial" w:hAnsi="Arial"/>
                <w:sz w:val="12"/>
                <w:szCs w:val="12"/>
                <w:color w:val="auto"/>
              </w:rPr>
              <w:t>Other (gain) loss, net</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(165)</w:t>
            </w:r>
          </w:p>
        </w:tc>
        <w:tc>
          <w:tcPr>
            <w:tcW w:w="80" w:type="dxa"/>
            <w:vAlign w:val="bottom"/>
          </w:tcPr>
          <w:p>
            <w:pPr>
              <w:spacing w:after="0"/>
              <w:rPr>
                <w:sz w:val="14"/>
                <w:szCs w:val="14"/>
                <w:color w:val="auto"/>
              </w:rPr>
            </w:pPr>
          </w:p>
        </w:tc>
      </w:tr>
      <w:tr>
        <w:trPr>
          <w:trHeight w:val="171"/>
        </w:trPr>
        <w:tc>
          <w:tcPr>
            <w:tcW w:w="6800" w:type="dxa"/>
            <w:vAlign w:val="bottom"/>
            <w:shd w:val="clear" w:color="auto" w:fill="DBDBDB"/>
          </w:tcPr>
          <w:p>
            <w:pPr>
              <w:ind w:left="120"/>
              <w:spacing w:after="0"/>
              <w:rPr>
                <w:sz w:val="20"/>
                <w:szCs w:val="20"/>
                <w:color w:val="auto"/>
              </w:rPr>
            </w:pPr>
            <w:r>
              <w:rPr>
                <w:rFonts w:ascii="Arial" w:cs="Arial" w:eastAsia="Arial" w:hAnsi="Arial"/>
                <w:sz w:val="12"/>
                <w:szCs w:val="12"/>
                <w:color w:val="auto"/>
              </w:rPr>
              <w:t>Income tax (benefit) expense</w:t>
            </w:r>
          </w:p>
        </w:tc>
        <w:tc>
          <w:tcPr>
            <w:tcW w:w="500" w:type="dxa"/>
            <w:vAlign w:val="bottom"/>
            <w:tcBorders>
              <w:bottom w:val="single" w:sz="8" w:color="auto"/>
            </w:tcBorders>
            <w:shd w:val="clear" w:color="auto" w:fill="DBDBDB"/>
          </w:tcPr>
          <w:p>
            <w:pPr>
              <w:spacing w:after="0"/>
              <w:rPr>
                <w:sz w:val="14"/>
                <w:szCs w:val="14"/>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DBDBDB"/>
          </w:tcPr>
          <w:p>
            <w:pPr>
              <w:spacing w:after="0"/>
              <w:rPr>
                <w:sz w:val="14"/>
                <w:szCs w:val="14"/>
                <w:color w:val="auto"/>
              </w:rPr>
            </w:pPr>
          </w:p>
        </w:tc>
      </w:tr>
      <w:tr>
        <w:trPr>
          <w:trHeight w:val="217"/>
        </w:trPr>
        <w:tc>
          <w:tcPr>
            <w:tcW w:w="6800" w:type="dxa"/>
            <w:vAlign w:val="bottom"/>
            <w:tcBorders>
              <w:bottom w:val="single" w:sz="8" w:color="DBDBDB"/>
            </w:tcBorders>
          </w:tcPr>
          <w:p>
            <w:pPr>
              <w:ind w:left="20"/>
              <w:spacing w:after="0" w:line="142" w:lineRule="exact"/>
              <w:rPr>
                <w:sz w:val="20"/>
                <w:szCs w:val="20"/>
                <w:color w:val="auto"/>
              </w:rPr>
            </w:pPr>
            <w:r>
              <w:rPr>
                <w:rFonts w:ascii="Arial" w:cs="Arial" w:eastAsia="Arial" w:hAnsi="Arial"/>
                <w:sz w:val="12"/>
                <w:szCs w:val="12"/>
                <w:b w:val="1"/>
                <w:bCs w:val="1"/>
                <w:color w:val="auto"/>
              </w:rPr>
              <w:t>FRE</w:t>
            </w:r>
            <w:r>
              <w:rPr>
                <w:rFonts w:ascii="Arial" w:cs="Arial" w:eastAsia="Arial" w:hAnsi="Arial"/>
                <w:sz w:val="15"/>
                <w:szCs w:val="15"/>
                <w:b w:val="1"/>
                <w:bCs w:val="1"/>
                <w:color w:val="auto"/>
                <w:vertAlign w:val="superscript"/>
              </w:rPr>
              <w:t>(1)</w:t>
            </w: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18,200</w:t>
            </w:r>
          </w:p>
        </w:tc>
        <w:tc>
          <w:tcPr>
            <w:tcW w:w="80" w:type="dxa"/>
            <w:vAlign w:val="bottom"/>
            <w:tcBorders>
              <w:bottom w:val="single" w:sz="8" w:color="DBDBDB"/>
            </w:tcBorders>
          </w:tcPr>
          <w:p>
            <w:pPr>
              <w:spacing w:after="0"/>
              <w:rPr>
                <w:sz w:val="18"/>
                <w:szCs w:val="18"/>
                <w:color w:val="auto"/>
              </w:rPr>
            </w:pPr>
          </w:p>
        </w:tc>
      </w:tr>
      <w:tr>
        <w:trPr>
          <w:trHeight w:val="72"/>
        </w:trPr>
        <w:tc>
          <w:tcPr>
            <w:tcW w:w="6800" w:type="dxa"/>
            <w:vAlign w:val="bottom"/>
            <w:tcBorders>
              <w:top w:val="single" w:sz="8" w:color="DBDBDB"/>
            </w:tcBorders>
          </w:tcPr>
          <w:p>
            <w:pPr>
              <w:spacing w:after="0"/>
              <w:rPr>
                <w:sz w:val="6"/>
                <w:szCs w:val="6"/>
                <w:color w:val="auto"/>
              </w:rPr>
            </w:pPr>
          </w:p>
        </w:tc>
        <w:tc>
          <w:tcPr>
            <w:tcW w:w="500" w:type="dxa"/>
            <w:vAlign w:val="bottom"/>
            <w:tcBorders>
              <w:top w:val="single" w:sz="8" w:color="DBDBDB"/>
            </w:tcBorders>
          </w:tcPr>
          <w:p>
            <w:pPr>
              <w:spacing w:after="0"/>
              <w:rPr>
                <w:sz w:val="6"/>
                <w:szCs w:val="6"/>
                <w:color w:val="auto"/>
              </w:rPr>
            </w:pPr>
          </w:p>
        </w:tc>
        <w:tc>
          <w:tcPr>
            <w:tcW w:w="940" w:type="dxa"/>
            <w:vAlign w:val="bottom"/>
            <w:tcBorders>
              <w:top w:val="single" w:sz="8" w:color="DBDBDB"/>
            </w:tcBorders>
          </w:tcPr>
          <w:p>
            <w:pPr>
              <w:spacing w:after="0"/>
              <w:rPr>
                <w:sz w:val="6"/>
                <w:szCs w:val="6"/>
                <w:color w:val="auto"/>
              </w:rPr>
            </w:pPr>
          </w:p>
        </w:tc>
        <w:tc>
          <w:tcPr>
            <w:tcW w:w="80" w:type="dxa"/>
            <w:vAlign w:val="bottom"/>
            <w:tcBorders>
              <w:top w:val="single" w:sz="8" w:color="DBDBDB"/>
            </w:tcBorders>
          </w:tcPr>
          <w:p>
            <w:pPr>
              <w:spacing w:after="0"/>
              <w:rPr>
                <w:sz w:val="6"/>
                <w:szCs w:val="6"/>
                <w:color w:val="auto"/>
              </w:rPr>
            </w:pPr>
          </w:p>
        </w:tc>
      </w:tr>
      <w:tr>
        <w:trPr>
          <w:trHeight w:val="171"/>
        </w:trPr>
        <w:tc>
          <w:tcPr>
            <w:tcW w:w="680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Digital Operating Adjusted EBITDA Determined as Follows</w:t>
            </w:r>
          </w:p>
        </w:tc>
        <w:tc>
          <w:tcPr>
            <w:tcW w:w="500" w:type="dxa"/>
            <w:vAlign w:val="bottom"/>
            <w:tcBorders>
              <w:bottom w:val="single" w:sz="8" w:color="auto"/>
            </w:tcBorders>
            <w:shd w:val="clear" w:color="auto" w:fill="DBDBDB"/>
          </w:tcPr>
          <w:p>
            <w:pPr>
              <w:spacing w:after="0"/>
              <w:rPr>
                <w:sz w:val="14"/>
                <w:szCs w:val="14"/>
                <w:color w:val="auto"/>
              </w:rPr>
            </w:pPr>
          </w:p>
        </w:tc>
        <w:tc>
          <w:tcPr>
            <w:tcW w:w="940" w:type="dxa"/>
            <w:vAlign w:val="bottom"/>
            <w:tcBorders>
              <w:bottom w:val="single" w:sz="8" w:color="auto"/>
            </w:tcBorders>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r>
      <w:tr>
        <w:trPr>
          <w:trHeight w:val="151"/>
        </w:trPr>
        <w:tc>
          <w:tcPr>
            <w:tcW w:w="6800" w:type="dxa"/>
            <w:vAlign w:val="bottom"/>
          </w:tcPr>
          <w:p>
            <w:pPr>
              <w:ind w:left="20"/>
              <w:spacing w:after="0"/>
              <w:rPr>
                <w:sz w:val="20"/>
                <w:szCs w:val="20"/>
                <w:color w:val="auto"/>
              </w:rPr>
            </w:pPr>
            <w:r>
              <w:rPr>
                <w:rFonts w:ascii="Arial" w:cs="Arial" w:eastAsia="Arial" w:hAnsi="Arial"/>
                <w:sz w:val="12"/>
                <w:szCs w:val="12"/>
                <w:color w:val="auto"/>
              </w:rPr>
              <w:t>Net income (loss) from continuing operations</w:t>
            </w: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(62,844)</w:t>
            </w:r>
          </w:p>
        </w:tc>
        <w:tc>
          <w:tcPr>
            <w:tcW w:w="80" w:type="dxa"/>
            <w:vAlign w:val="bottom"/>
          </w:tcPr>
          <w:p>
            <w:pPr>
              <w:spacing w:after="0"/>
              <w:rPr>
                <w:sz w:val="13"/>
                <w:szCs w:val="13"/>
                <w:color w:val="auto"/>
              </w:rPr>
            </w:pPr>
          </w:p>
        </w:tc>
      </w:tr>
      <w:tr>
        <w:trPr>
          <w:trHeight w:val="171"/>
        </w:trPr>
        <w:tc>
          <w:tcPr>
            <w:tcW w:w="6800" w:type="dxa"/>
            <w:vAlign w:val="bottom"/>
            <w:shd w:val="clear" w:color="auto" w:fill="DBDBDB"/>
          </w:tcPr>
          <w:p>
            <w:pPr>
              <w:ind w:left="20"/>
              <w:spacing w:after="0"/>
              <w:rPr>
                <w:sz w:val="20"/>
                <w:szCs w:val="20"/>
                <w:color w:val="auto"/>
              </w:rPr>
            </w:pPr>
            <w:r>
              <w:rPr>
                <w:rFonts w:ascii="Arial" w:cs="Arial" w:eastAsia="Arial" w:hAnsi="Arial"/>
                <w:sz w:val="12"/>
                <w:szCs w:val="12"/>
                <w:color w:val="auto"/>
              </w:rPr>
              <w:t>Adjustments:</w:t>
            </w:r>
          </w:p>
        </w:tc>
        <w:tc>
          <w:tcPr>
            <w:tcW w:w="50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r>
      <w:tr>
        <w:trPr>
          <w:trHeight w:val="171"/>
        </w:trPr>
        <w:tc>
          <w:tcPr>
            <w:tcW w:w="6800" w:type="dxa"/>
            <w:vAlign w:val="bottom"/>
          </w:tcPr>
          <w:p>
            <w:pPr>
              <w:ind w:left="120"/>
              <w:spacing w:after="0"/>
              <w:rPr>
                <w:sz w:val="20"/>
                <w:szCs w:val="20"/>
                <w:color w:val="auto"/>
              </w:rPr>
            </w:pPr>
            <w:r>
              <w:rPr>
                <w:rFonts w:ascii="Arial" w:cs="Arial" w:eastAsia="Arial" w:hAnsi="Arial"/>
                <w:sz w:val="12"/>
                <w:szCs w:val="12"/>
                <w:color w:val="auto"/>
              </w:rPr>
              <w:t>Interest expense</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31,133</w:t>
            </w:r>
          </w:p>
        </w:tc>
        <w:tc>
          <w:tcPr>
            <w:tcW w:w="80" w:type="dxa"/>
            <w:vAlign w:val="bottom"/>
          </w:tcPr>
          <w:p>
            <w:pPr>
              <w:spacing w:after="0"/>
              <w:rPr>
                <w:sz w:val="14"/>
                <w:szCs w:val="14"/>
                <w:color w:val="auto"/>
              </w:rPr>
            </w:pPr>
          </w:p>
        </w:tc>
      </w:tr>
      <w:tr>
        <w:trPr>
          <w:trHeight w:val="171"/>
        </w:trPr>
        <w:tc>
          <w:tcPr>
            <w:tcW w:w="6800" w:type="dxa"/>
            <w:vAlign w:val="bottom"/>
            <w:shd w:val="clear" w:color="auto" w:fill="DBDBDB"/>
          </w:tcPr>
          <w:p>
            <w:pPr>
              <w:ind w:left="120"/>
              <w:spacing w:after="0"/>
              <w:rPr>
                <w:sz w:val="20"/>
                <w:szCs w:val="20"/>
                <w:color w:val="auto"/>
              </w:rPr>
            </w:pPr>
            <w:r>
              <w:rPr>
                <w:rFonts w:ascii="Arial" w:cs="Arial" w:eastAsia="Arial" w:hAnsi="Arial"/>
                <w:sz w:val="12"/>
                <w:szCs w:val="12"/>
                <w:color w:val="auto"/>
              </w:rPr>
              <w:t>Income tax (benefit) expense</w:t>
            </w:r>
          </w:p>
        </w:tc>
        <w:tc>
          <w:tcPr>
            <w:tcW w:w="50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(12,269)</w:t>
            </w:r>
          </w:p>
        </w:tc>
        <w:tc>
          <w:tcPr>
            <w:tcW w:w="80" w:type="dxa"/>
            <w:vAlign w:val="bottom"/>
            <w:shd w:val="clear" w:color="auto" w:fill="DBDBDB"/>
          </w:tcPr>
          <w:p>
            <w:pPr>
              <w:spacing w:after="0"/>
              <w:rPr>
                <w:sz w:val="14"/>
                <w:szCs w:val="14"/>
                <w:color w:val="auto"/>
              </w:rPr>
            </w:pPr>
          </w:p>
        </w:tc>
      </w:tr>
      <w:tr>
        <w:trPr>
          <w:trHeight w:val="171"/>
        </w:trPr>
        <w:tc>
          <w:tcPr>
            <w:tcW w:w="680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122,220</w:t>
            </w:r>
          </w:p>
        </w:tc>
        <w:tc>
          <w:tcPr>
            <w:tcW w:w="80" w:type="dxa"/>
            <w:vAlign w:val="bottom"/>
          </w:tcPr>
          <w:p>
            <w:pPr>
              <w:spacing w:after="0"/>
              <w:rPr>
                <w:sz w:val="14"/>
                <w:szCs w:val="14"/>
                <w:color w:val="auto"/>
              </w:rPr>
            </w:pPr>
          </w:p>
        </w:tc>
      </w:tr>
      <w:tr>
        <w:trPr>
          <w:trHeight w:val="171"/>
        </w:trPr>
        <w:tc>
          <w:tcPr>
            <w:tcW w:w="6800" w:type="dxa"/>
            <w:vAlign w:val="bottom"/>
            <w:shd w:val="clear" w:color="auto" w:fill="DBDBDB"/>
          </w:tcPr>
          <w:p>
            <w:pPr>
              <w:ind w:left="120"/>
              <w:spacing w:after="0"/>
              <w:rPr>
                <w:sz w:val="20"/>
                <w:szCs w:val="20"/>
                <w:color w:val="auto"/>
              </w:rPr>
            </w:pPr>
            <w:r>
              <w:rPr>
                <w:rFonts w:ascii="Arial" w:cs="Arial" w:eastAsia="Arial" w:hAnsi="Arial"/>
                <w:sz w:val="12"/>
                <w:szCs w:val="12"/>
                <w:color w:val="auto"/>
              </w:rPr>
              <w:t>Other gain loss</w:t>
            </w:r>
          </w:p>
        </w:tc>
        <w:tc>
          <w:tcPr>
            <w:tcW w:w="500" w:type="dxa"/>
            <w:vAlign w:val="bottom"/>
            <w:tcBorders>
              <w:bottom w:val="single" w:sz="8" w:color="auto"/>
            </w:tcBorders>
            <w:shd w:val="clear" w:color="auto" w:fill="DBDBDB"/>
          </w:tcPr>
          <w:p>
            <w:pPr>
              <w:spacing w:after="0"/>
              <w:rPr>
                <w:sz w:val="14"/>
                <w:szCs w:val="14"/>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DBDBDB"/>
          </w:tcPr>
          <w:p>
            <w:pPr>
              <w:spacing w:after="0"/>
              <w:rPr>
                <w:sz w:val="14"/>
                <w:szCs w:val="14"/>
                <w:color w:val="auto"/>
              </w:rPr>
            </w:pPr>
          </w:p>
        </w:tc>
      </w:tr>
      <w:tr>
        <w:trPr>
          <w:trHeight w:val="151"/>
        </w:trPr>
        <w:tc>
          <w:tcPr>
            <w:tcW w:w="6800" w:type="dxa"/>
            <w:vAlign w:val="bottom"/>
          </w:tcPr>
          <w:p>
            <w:pPr>
              <w:ind w:left="260"/>
              <w:spacing w:after="0"/>
              <w:rPr>
                <w:sz w:val="20"/>
                <w:szCs w:val="20"/>
                <w:color w:val="auto"/>
              </w:rPr>
            </w:pPr>
            <w:r>
              <w:rPr>
                <w:rFonts w:ascii="Arial" w:cs="Arial" w:eastAsia="Arial" w:hAnsi="Arial"/>
                <w:sz w:val="12"/>
                <w:szCs w:val="12"/>
                <w:b w:val="1"/>
                <w:bCs w:val="1"/>
                <w:color w:val="auto"/>
              </w:rPr>
              <w:t>EBITDAre:</w:t>
            </w:r>
          </w:p>
        </w:tc>
        <w:tc>
          <w:tcPr>
            <w:tcW w:w="5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78,244</w:t>
            </w:r>
          </w:p>
        </w:tc>
        <w:tc>
          <w:tcPr>
            <w:tcW w:w="80" w:type="dxa"/>
            <w:vAlign w:val="bottom"/>
          </w:tcPr>
          <w:p>
            <w:pPr>
              <w:spacing w:after="0"/>
              <w:rPr>
                <w:sz w:val="13"/>
                <w:szCs w:val="13"/>
                <w:color w:val="auto"/>
              </w:rPr>
            </w:pPr>
          </w:p>
        </w:tc>
      </w:tr>
      <w:tr>
        <w:trPr>
          <w:trHeight w:val="63"/>
        </w:trPr>
        <w:tc>
          <w:tcPr>
            <w:tcW w:w="6800" w:type="dxa"/>
            <w:vAlign w:val="bottom"/>
            <w:shd w:val="clear" w:color="auto" w:fill="DBDBDB"/>
          </w:tcPr>
          <w:p>
            <w:pPr>
              <w:spacing w:after="0"/>
              <w:rPr>
                <w:sz w:val="5"/>
                <w:szCs w:val="5"/>
                <w:color w:val="auto"/>
              </w:rPr>
            </w:pPr>
          </w:p>
        </w:tc>
        <w:tc>
          <w:tcPr>
            <w:tcW w:w="500" w:type="dxa"/>
            <w:vAlign w:val="bottom"/>
            <w:shd w:val="clear" w:color="auto" w:fill="DBDBDB"/>
          </w:tcPr>
          <w:p>
            <w:pPr>
              <w:spacing w:after="0"/>
              <w:rPr>
                <w:sz w:val="5"/>
                <w:szCs w:val="5"/>
                <w:color w:val="auto"/>
              </w:rPr>
            </w:pPr>
          </w:p>
        </w:tc>
        <w:tc>
          <w:tcPr>
            <w:tcW w:w="94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r>
      <w:tr>
        <w:trPr>
          <w:trHeight w:val="171"/>
        </w:trPr>
        <w:tc>
          <w:tcPr>
            <w:tcW w:w="6800" w:type="dxa"/>
            <w:vAlign w:val="bottom"/>
          </w:tcPr>
          <w:p>
            <w:pPr>
              <w:ind w:left="120"/>
              <w:spacing w:after="0"/>
              <w:rPr>
                <w:sz w:val="20"/>
                <w:szCs w:val="20"/>
                <w:color w:val="auto"/>
              </w:rPr>
            </w:pPr>
            <w:r>
              <w:rPr>
                <w:rFonts w:ascii="Arial" w:cs="Arial" w:eastAsia="Arial" w:hAnsi="Arial"/>
                <w:sz w:val="12"/>
                <w:szCs w:val="12"/>
                <w:color w:val="auto"/>
              </w:rPr>
              <w:t>Straight-line rent expenses and amortization of above- and below-market lease intangibles</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(399)</w:t>
            </w:r>
          </w:p>
        </w:tc>
        <w:tc>
          <w:tcPr>
            <w:tcW w:w="80" w:type="dxa"/>
            <w:vAlign w:val="bottom"/>
          </w:tcPr>
          <w:p>
            <w:pPr>
              <w:spacing w:after="0"/>
              <w:rPr>
                <w:sz w:val="14"/>
                <w:szCs w:val="14"/>
                <w:color w:val="auto"/>
              </w:rPr>
            </w:pPr>
          </w:p>
        </w:tc>
      </w:tr>
      <w:tr>
        <w:trPr>
          <w:trHeight w:val="171"/>
        </w:trPr>
        <w:tc>
          <w:tcPr>
            <w:tcW w:w="6800" w:type="dxa"/>
            <w:vAlign w:val="bottom"/>
            <w:shd w:val="clear" w:color="auto" w:fill="DBDBDB"/>
          </w:tcPr>
          <w:p>
            <w:pPr>
              <w:ind w:left="120"/>
              <w:spacing w:after="0"/>
              <w:rPr>
                <w:sz w:val="20"/>
                <w:szCs w:val="20"/>
                <w:color w:val="auto"/>
              </w:rPr>
            </w:pPr>
            <w:r>
              <w:rPr>
                <w:rFonts w:ascii="Arial" w:cs="Arial" w:eastAsia="Arial" w:hAnsi="Arial"/>
                <w:sz w:val="12"/>
                <w:szCs w:val="12"/>
                <w:color w:val="auto"/>
              </w:rPr>
              <w:t>Compensation expense—equity-based</w:t>
            </w:r>
          </w:p>
        </w:tc>
        <w:tc>
          <w:tcPr>
            <w:tcW w:w="50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308</w:t>
            </w:r>
          </w:p>
        </w:tc>
        <w:tc>
          <w:tcPr>
            <w:tcW w:w="80" w:type="dxa"/>
            <w:vAlign w:val="bottom"/>
            <w:shd w:val="clear" w:color="auto" w:fill="DBDBDB"/>
          </w:tcPr>
          <w:p>
            <w:pPr>
              <w:spacing w:after="0"/>
              <w:rPr>
                <w:sz w:val="14"/>
                <w:szCs w:val="14"/>
                <w:color w:val="auto"/>
              </w:rPr>
            </w:pPr>
          </w:p>
        </w:tc>
      </w:tr>
      <w:tr>
        <w:trPr>
          <w:trHeight w:val="171"/>
        </w:trPr>
        <w:tc>
          <w:tcPr>
            <w:tcW w:w="6800" w:type="dxa"/>
            <w:vAlign w:val="bottom"/>
          </w:tcPr>
          <w:p>
            <w:pPr>
              <w:ind w:left="120"/>
              <w:spacing w:after="0"/>
              <w:rPr>
                <w:sz w:val="20"/>
                <w:szCs w:val="20"/>
                <w:color w:val="auto"/>
              </w:rPr>
            </w:pPr>
            <w:r>
              <w:rPr>
                <w:rFonts w:ascii="Arial" w:cs="Arial" w:eastAsia="Arial" w:hAnsi="Arial"/>
                <w:sz w:val="12"/>
                <w:szCs w:val="12"/>
                <w:color w:val="auto"/>
              </w:rPr>
              <w:t>Installation services</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880</w:t>
            </w:r>
          </w:p>
        </w:tc>
        <w:tc>
          <w:tcPr>
            <w:tcW w:w="80" w:type="dxa"/>
            <w:vAlign w:val="bottom"/>
          </w:tcPr>
          <w:p>
            <w:pPr>
              <w:spacing w:after="0"/>
              <w:rPr>
                <w:sz w:val="14"/>
                <w:szCs w:val="14"/>
                <w:color w:val="auto"/>
              </w:rPr>
            </w:pPr>
          </w:p>
        </w:tc>
      </w:tr>
      <w:tr>
        <w:trPr>
          <w:trHeight w:val="171"/>
        </w:trPr>
        <w:tc>
          <w:tcPr>
            <w:tcW w:w="6800" w:type="dxa"/>
            <w:vAlign w:val="bottom"/>
            <w:shd w:val="clear" w:color="auto" w:fill="DBDBDB"/>
          </w:tcPr>
          <w:p>
            <w:pPr>
              <w:ind w:left="120"/>
              <w:spacing w:after="0"/>
              <w:rPr>
                <w:sz w:val="20"/>
                <w:szCs w:val="20"/>
                <w:color w:val="auto"/>
              </w:rPr>
            </w:pPr>
            <w:r>
              <w:rPr>
                <w:rFonts w:ascii="Arial" w:cs="Arial" w:eastAsia="Arial" w:hAnsi="Arial"/>
                <w:sz w:val="12"/>
                <w:szCs w:val="12"/>
                <w:color w:val="auto"/>
              </w:rPr>
              <w:t>Transaction, restructuring &amp; integration costs</w:t>
            </w:r>
          </w:p>
        </w:tc>
        <w:tc>
          <w:tcPr>
            <w:tcW w:w="500" w:type="dxa"/>
            <w:vAlign w:val="bottom"/>
            <w:tcBorders>
              <w:bottom w:val="single" w:sz="8" w:color="auto"/>
            </w:tcBorders>
            <w:shd w:val="clear" w:color="auto" w:fill="DBDBDB"/>
          </w:tcPr>
          <w:p>
            <w:pPr>
              <w:spacing w:after="0"/>
              <w:rPr>
                <w:sz w:val="14"/>
                <w:szCs w:val="14"/>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1,767</w:t>
            </w:r>
          </w:p>
        </w:tc>
        <w:tc>
          <w:tcPr>
            <w:tcW w:w="80" w:type="dxa"/>
            <w:vAlign w:val="bottom"/>
            <w:shd w:val="clear" w:color="auto" w:fill="DBDBDB"/>
          </w:tcPr>
          <w:p>
            <w:pPr>
              <w:spacing w:after="0"/>
              <w:rPr>
                <w:sz w:val="14"/>
                <w:szCs w:val="14"/>
                <w:color w:val="auto"/>
              </w:rPr>
            </w:pPr>
          </w:p>
        </w:tc>
      </w:tr>
      <w:tr>
        <w:trPr>
          <w:trHeight w:val="151"/>
        </w:trPr>
        <w:tc>
          <w:tcPr>
            <w:tcW w:w="6800" w:type="dxa"/>
            <w:vAlign w:val="bottom"/>
          </w:tcPr>
          <w:p>
            <w:pPr>
              <w:ind w:left="260"/>
              <w:spacing w:after="0"/>
              <w:rPr>
                <w:sz w:val="20"/>
                <w:szCs w:val="20"/>
                <w:color w:val="auto"/>
              </w:rPr>
            </w:pPr>
            <w:r>
              <w:rPr>
                <w:rFonts w:ascii="Arial" w:cs="Arial" w:eastAsia="Arial" w:hAnsi="Arial"/>
                <w:sz w:val="12"/>
                <w:szCs w:val="12"/>
                <w:b w:val="1"/>
                <w:bCs w:val="1"/>
                <w:color w:val="auto"/>
              </w:rPr>
              <w:t>Adjusted EBITDA:</w:t>
            </w:r>
          </w:p>
        </w:tc>
        <w:tc>
          <w:tcPr>
            <w:tcW w:w="500" w:type="dxa"/>
            <w:vAlign w:val="bottom"/>
          </w:tcPr>
          <w:p>
            <w:pPr>
              <w:jc w:val="right"/>
              <w:ind w:right="360"/>
              <w:spacing w:after="0"/>
              <w:rPr>
                <w:sz w:val="20"/>
                <w:szCs w:val="20"/>
                <w:color w:val="auto"/>
              </w:rPr>
            </w:pPr>
            <w:r>
              <w:rPr>
                <w:rFonts w:ascii="Arial" w:cs="Arial" w:eastAsia="Arial" w:hAnsi="Arial"/>
                <w:sz w:val="12"/>
                <w:szCs w:val="12"/>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80,800</w:t>
            </w:r>
          </w:p>
        </w:tc>
        <w:tc>
          <w:tcPr>
            <w:tcW w:w="80" w:type="dxa"/>
            <w:vAlign w:val="bottom"/>
          </w:tcPr>
          <w:p>
            <w:pPr>
              <w:spacing w:after="0"/>
              <w:rPr>
                <w:sz w:val="13"/>
                <w:szCs w:val="13"/>
                <w:color w:val="auto"/>
              </w:rPr>
            </w:pPr>
          </w:p>
        </w:tc>
      </w:tr>
    </w:tbl>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7" w:lineRule="exact"/>
        <w:rPr>
          <w:sz w:val="20"/>
          <w:szCs w:val="20"/>
          <w:color w:val="auto"/>
        </w:rPr>
      </w:pPr>
    </w:p>
    <w:p>
      <w:pPr>
        <w:ind w:left="188" w:hanging="188"/>
        <w:spacing w:after="0"/>
        <w:tabs>
          <w:tab w:leader="none" w:pos="188" w:val="left"/>
        </w:tabs>
        <w:numPr>
          <w:ilvl w:val="0"/>
          <w:numId w:val="37"/>
        </w:numPr>
        <w:rPr>
          <w:rFonts w:ascii="Arial" w:cs="Arial" w:eastAsia="Arial" w:hAnsi="Arial"/>
          <w:sz w:val="8"/>
          <w:szCs w:val="8"/>
          <w:color w:val="424242"/>
        </w:rPr>
      </w:pPr>
      <w:r>
        <w:rPr>
          <w:rFonts w:ascii="Arial" w:cs="Arial" w:eastAsia="Arial" w:hAnsi="Arial"/>
          <w:sz w:val="8"/>
          <w:szCs w:val="8"/>
          <w:color w:val="424242"/>
        </w:rPr>
        <w:t>Includes a $2.7 million benefit from the unused portion of a one-time fourth quarter 2020 outperformance incentive expense.</w:t>
      </w: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480" w:type="dxa"/>
            <w:vAlign w:val="bottom"/>
            <w:tcBorders>
              <w:top w:val="single" w:sz="8" w:color="auto"/>
            </w:tcBorders>
          </w:tcPr>
          <w:p>
            <w:pPr>
              <w:spacing w:after="0"/>
              <w:rPr>
                <w:sz w:val="20"/>
                <w:szCs w:val="20"/>
                <w:color w:val="auto"/>
              </w:rPr>
            </w:pPr>
            <w:r>
              <w:rPr>
                <w:rFonts w:ascii="Arial" w:cs="Arial" w:eastAsia="Arial" w:hAnsi="Arial"/>
                <w:sz w:val="10"/>
                <w:szCs w:val="10"/>
                <w:color w:val="930007"/>
              </w:rPr>
              <w:t xml:space="preserve">Colony </w:t>
            </w:r>
            <w:r>
              <w:rPr>
                <w:rFonts w:ascii="Arial" w:cs="Arial" w:eastAsia="Arial" w:hAnsi="Arial"/>
                <w:sz w:val="10"/>
                <w:szCs w:val="10"/>
                <w:color w:val="000000"/>
              </w:rPr>
              <w:t>Capital |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33</w:t>
            </w:r>
          </w:p>
        </w:tc>
      </w:tr>
    </w:tbl>
    <w:p>
      <w:pPr>
        <w:sectPr>
          <w:pgSz w:w="11900" w:h="16838" w:orient="portrait"/>
          <w:cols w:equalWidth="0" w:num="1">
            <w:col w:w="11308"/>
          </w:cols>
          <w:pgMar w:left="292" w:top="158" w:right="299" w:bottom="1440"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70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3427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4"/>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upperLetter"/>
      <w:start w:val="9"/>
    </w:lvl>
  </w:abstractNum>
  <w:abstractNum w:abstractNumId="10">
    <w:nsid w:val="75A2A8D4"/>
    <w:multiLevelType w:val="hybridMultilevel"/>
    <w:lvl w:ilvl="0">
      <w:lvlJc w:val="left"/>
      <w:lvlText w:val="%1."/>
      <w:numFmt w:val="upperLetter"/>
      <w:start w:val="35"/>
    </w:lvl>
  </w:abstractNum>
  <w:abstractNum w:abstractNumId="11">
    <w:nsid w:val="8EDBDAB"/>
    <w:multiLevelType w:val="hybridMultilevel"/>
    <w:lvl w:ilvl="0">
      <w:lvlJc w:val="left"/>
      <w:lvlText w:val="%1."/>
      <w:numFmt w:val="lowerLetter"/>
      <w:start w:val="4"/>
    </w:lvl>
  </w:abstractNum>
  <w:abstractNum w:abstractNumId="12">
    <w:nsid w:val="79838CB2"/>
    <w:multiLevelType w:val="hybridMultilevel"/>
    <w:lvl w:ilvl="0">
      <w:lvlJc w:val="left"/>
      <w:lvlText w:val="%1."/>
      <w:numFmt w:val="lowerLetter"/>
      <w:start w:val="5"/>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upperLetter"/>
      <w:start w:val="24"/>
    </w:lvl>
    <w:lvl w:ilvl="1">
      <w:lvlJc w:val="left"/>
      <w:lvlText w:val="%2."/>
      <w:numFmt w:val="lowerLetter"/>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2021-05-06T07:04:07Z</dcterms:created>
  <dcterms:modified xsi:type="dcterms:W3CDTF">2021-05-06T07:04:07Z</dcterms:modified>
</cp:coreProperties>
</file>